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302D6D3A" w:rsidR="00D41963" w:rsidRPr="00B8192F"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3A1D80EF"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3AF3BD89" w14:textId="33BAFB4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EloRank: As it increases Win Percentage goes down.</w:t>
      </w:r>
    </w:p>
    <w:p w14:paraId="34AE28F1" w14:textId="70F0ED91"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DoubleFP: As it increases Win Percentages goes down.</w:t>
      </w:r>
    </w:p>
    <w:p w14:paraId="07E21458" w14:textId="3414AC1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ReturnPWP: As it increases Win Percentage goes up.</w:t>
      </w:r>
    </w:p>
    <w:p w14:paraId="781831F8" w14:textId="1B406B38" w:rsidR="000024FE" w:rsidRPr="00F940BF" w:rsidRDefault="00F85CAC" w:rsidP="00A66B6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AcesPDF: As it increases Win Percentage goes up.</w:t>
      </w:r>
    </w:p>
    <w:p w14:paraId="711CF0F5" w14:textId="3DC5815F"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R-sq(adj) 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2058F09E">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1A1E8820">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11E6EB51"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EloRank: A 1 unit increase in EloRank is associated with a 0.002182 percent decrease in Win Percentage.</w:t>
      </w:r>
    </w:p>
    <w:p w14:paraId="679942A7"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ReturnPWP: A 1 unit increase in ReturnPWP is associated with a 1.840 percent increase in Win Percentage.</w:t>
      </w:r>
    </w:p>
    <w:p w14:paraId="5EFD6F00" w14:textId="02F762E3" w:rsidR="00A66B6C" w:rsidRPr="00A66B6C" w:rsidRDefault="00A66B6C" w:rsidP="00A66B6C">
      <w:pPr>
        <w:pStyle w:val="ListParagraph"/>
        <w:rPr>
          <w:rFonts w:asciiTheme="minorHAnsi" w:hAnsiTheme="minorHAnsi"/>
          <w:sz w:val="20"/>
          <w:szCs w:val="18"/>
        </w:rPr>
      </w:pPr>
      <w:r>
        <w:rPr>
          <w:rFonts w:asciiTheme="minorHAnsi" w:hAnsiTheme="minorHAnsi" w:cstheme="minorHAns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54.51</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isn’t a very good R-sq value.</w:t>
      </w:r>
    </w:p>
    <w:p w14:paraId="68A6E4D0" w14:textId="4F520F37"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Below is a model fitted including the categorical surface variable. Interpret the</w:t>
      </w:r>
      <w:r w:rsidR="00A66B6C">
        <w:rPr>
          <w:rFonts w:asciiTheme="minorHAnsi" w:hAnsiTheme="minorHAnsi" w:cstheme="minorHAnsi"/>
          <w:sz w:val="20"/>
          <w:szCs w:val="20"/>
        </w:rPr>
        <w:t xml:space="preserve"> grass and clay </w:t>
      </w:r>
      <w:r>
        <w:rPr>
          <w:rFonts w:asciiTheme="minorHAnsi" w:hAnsiTheme="minorHAnsi" w:cstheme="minorHAnsi"/>
          <w:sz w:val="20"/>
          <w:szCs w:val="20"/>
        </w:rPr>
        <w:t>coefficients and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5521C7E5" w14:textId="76CB1B0B" w:rsidR="000024FE" w:rsidRDefault="004A1E22" w:rsidP="004A1E22">
      <w:pPr>
        <w:rPr>
          <w:rStyle w:val="Heading1Char"/>
          <w:rFonts w:ascii="Segoe UI" w:hAnsi="Segoe UI" w:cs="Segoe UI"/>
          <w:color w:val="000000"/>
          <w:sz w:val="18"/>
          <w:szCs w:val="18"/>
          <w:shd w:val="clear" w:color="auto" w:fill="FFFFFF"/>
        </w:rPr>
      </w:pPr>
      <w:r w:rsidRPr="004A1E22">
        <w:rPr>
          <w:rStyle w:val="Heading1Char"/>
          <w:rFonts w:ascii="Segoe UI" w:hAnsi="Segoe UI" w:cs="Segoe UI"/>
          <w:color w:val="000000"/>
          <w:sz w:val="18"/>
          <w:szCs w:val="18"/>
          <w:shd w:val="clear" w:color="auto" w:fill="FFFFFF"/>
        </w:rPr>
        <w:t xml:space="preserve"> </w:t>
      </w:r>
    </w:p>
    <w:p w14:paraId="3B1CECED" w14:textId="77777777" w:rsidR="000024FE" w:rsidRDefault="000024FE" w:rsidP="004A1E22">
      <w:pPr>
        <w:rPr>
          <w:rStyle w:val="Heading1Char"/>
          <w:rFonts w:ascii="Segoe UI" w:hAnsi="Segoe UI" w:cs="Segoe UI"/>
          <w:color w:val="000000"/>
          <w:sz w:val="18"/>
          <w:szCs w:val="18"/>
          <w:shd w:val="clear" w:color="auto" w:fill="FFFFFF"/>
        </w:rPr>
      </w:pPr>
    </w:p>
    <w:p w14:paraId="7F1AB988" w14:textId="77777777" w:rsidR="000024FE" w:rsidRDefault="000024FE" w:rsidP="004A1E22">
      <w:pPr>
        <w:rPr>
          <w:rStyle w:val="Heading1Char"/>
          <w:rFonts w:ascii="Segoe UI" w:hAnsi="Segoe UI" w:cs="Segoe UI"/>
          <w:color w:val="000000"/>
          <w:sz w:val="18"/>
          <w:szCs w:val="18"/>
          <w:shd w:val="clear" w:color="auto" w:fill="FFFFFF"/>
        </w:rPr>
      </w:pPr>
    </w:p>
    <w:p w14:paraId="7906CF35" w14:textId="5FBA09E7" w:rsidR="004A1E22" w:rsidRPr="004A1E22" w:rsidRDefault="004A1E22" w:rsidP="004A1E22">
      <w:pPr>
        <w:rPr>
          <w:rFonts w:asciiTheme="minorHAnsi" w:hAnsiTheme="minorHAnsi" w:cstheme="minorHAnsi"/>
          <w:sz w:val="20"/>
          <w:szCs w:val="20"/>
        </w:rPr>
      </w:pPr>
      <w:r>
        <w:rPr>
          <w:rFonts w:ascii="Segoe UI" w:hAnsi="Segoe UI" w:cs="Segoe UI"/>
          <w:color w:val="000000"/>
          <w:sz w:val="18"/>
          <w:szCs w:val="18"/>
          <w:shd w:val="clear" w:color="auto" w:fill="FFFFFF"/>
        </w:rPr>
        <w:br/>
      </w:r>
      <w:r>
        <w:rPr>
          <w:rFonts w:ascii="Segoe UI" w:hAnsi="Segoe UI" w:cs="Segoe UI"/>
          <w:color w:val="000000"/>
          <w:sz w:val="18"/>
          <w:szCs w:val="18"/>
          <w:shd w:val="clear" w:color="auto" w:fill="FFFFFF"/>
        </w:rPr>
        <w:br/>
      </w:r>
    </w:p>
    <w:p w14:paraId="42388AEB" w14:textId="5BF348AE" w:rsidR="000024FE" w:rsidRDefault="000024FE" w:rsidP="000024FE">
      <w:pPr>
        <w:pStyle w:val="ListParagraph"/>
        <w:numPr>
          <w:ilvl w:val="0"/>
          <w:numId w:val="3"/>
        </w:numPr>
        <w:rPr>
          <w:rFonts w:asciiTheme="minorHAnsi" w:hAnsiTheme="minorHAnsi" w:cstheme="minorHAnsi"/>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29D4517F">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 xml:space="preserve">Notice, the number of matches increasing typically means that a player is getting deeper into a tournament, as well as their comfortability 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2B503791">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r w:rsidR="009326DA">
        <w:rPr>
          <w:rFonts w:ascii="Segoe UI" w:hAnsi="Segoe UI" w:cs="Segoe UI"/>
          <w:color w:val="000000"/>
          <w:sz w:val="18"/>
          <w:szCs w:val="18"/>
          <w:shd w:val="clear" w:color="auto" w:fill="FFFFFF"/>
        </w:rPr>
        <w:br/>
      </w:r>
      <w:r w:rsidR="009326DA">
        <w:rPr>
          <w:rFonts w:ascii="Segoe UI" w:hAnsi="Segoe UI" w:cs="Segoe UI"/>
          <w:color w:val="000000"/>
          <w:sz w:val="18"/>
          <w:szCs w:val="18"/>
          <w:shd w:val="clear" w:color="auto" w:fill="FFFFFF"/>
        </w:rPr>
        <w:br/>
      </w:r>
      <w:r w:rsidR="009326DA" w:rsidRPr="009326DA">
        <w:rPr>
          <w:rFonts w:ascii="Segoe UI" w:hAnsi="Segoe UI" w:cs="Segoe UI"/>
          <w:color w:val="000000"/>
          <w:sz w:val="18"/>
          <w:szCs w:val="18"/>
          <w:shd w:val="clear" w:color="auto" w:fill="FFFFFF"/>
        </w:rPr>
        <w:br/>
      </w:r>
      <w:r w:rsidR="009326DA" w:rsidRPr="009326DA">
        <w:rPr>
          <w:rFonts w:ascii="Segoe UI" w:hAnsi="Segoe UI" w:cs="Segoe UI"/>
          <w:color w:val="000000"/>
          <w:sz w:val="18"/>
          <w:szCs w:val="18"/>
          <w:shd w:val="clear" w:color="auto" w:fill="FFFFFF"/>
        </w:rPr>
        <w:br/>
      </w:r>
      <w:r w:rsidR="009326DA" w:rsidRPr="009326DA">
        <w:rPr>
          <w:rFonts w:ascii="Segoe UI" w:hAnsi="Segoe UI" w:cs="Segoe UI"/>
          <w:color w:val="000000"/>
          <w:sz w:val="18"/>
          <w:szCs w:val="18"/>
          <w:shd w:val="clear" w:color="auto" w:fill="FFFFFF"/>
        </w:rPr>
        <w:br/>
      </w:r>
      <w:r w:rsidR="009326DA" w:rsidRPr="009326DA">
        <w:rPr>
          <w:rFonts w:ascii="Segoe UI" w:hAnsi="Segoe UI" w:cs="Segoe UI"/>
          <w:color w:val="000000"/>
          <w:sz w:val="18"/>
          <w:szCs w:val="18"/>
          <w:shd w:val="clear" w:color="auto" w:fill="FFFFFF"/>
        </w:rPr>
        <w:br/>
      </w:r>
      <w:r w:rsidR="009326DA" w:rsidRPr="009326DA">
        <w:rPr>
          <w:rFonts w:ascii="Segoe UI" w:hAnsi="Segoe UI" w:cs="Segoe UI"/>
          <w:color w:val="000000"/>
          <w:sz w:val="18"/>
          <w:szCs w:val="18"/>
          <w:shd w:val="clear" w:color="auto" w:fill="FFFFFF"/>
        </w:rPr>
        <w:br/>
      </w:r>
      <w:r w:rsidR="009326DA" w:rsidRPr="009326DA">
        <w:rPr>
          <w:rFonts w:ascii="Segoe UI" w:hAnsi="Segoe UI" w:cs="Segoe UI"/>
          <w:color w:val="000000"/>
          <w:sz w:val="18"/>
          <w:szCs w:val="18"/>
          <w:shd w:val="clear" w:color="auto" w:fill="FFFFFF"/>
        </w:rPr>
        <w:lastRenderedPageBreak/>
        <w:br/>
      </w:r>
      <w:r w:rsidR="009326DA" w:rsidRPr="009326DA">
        <w:rPr>
          <w:rFonts w:ascii="Segoe UI" w:hAnsi="Segoe UI" w:cs="Segoe UI"/>
          <w:color w:val="000000"/>
          <w:sz w:val="18"/>
          <w:szCs w:val="18"/>
          <w:shd w:val="clear" w:color="auto" w:fill="FFFFFF"/>
        </w:rPr>
        <w:br/>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p>
    <w:p w14:paraId="6495F300" w14:textId="77777777" w:rsidR="000024FE" w:rsidRPr="000024FE" w:rsidRDefault="000024FE" w:rsidP="000024FE">
      <w:pPr>
        <w:pStyle w:val="ListParagraph"/>
        <w:rPr>
          <w:rFonts w:asciiTheme="minorHAnsi" w:hAnsiTheme="minorHAnsi" w:cstheme="minorHAnsi"/>
          <w:sz w:val="20"/>
          <w:szCs w:val="20"/>
        </w:rPr>
      </w:pPr>
    </w:p>
    <w:p w14:paraId="5ECEF953" w14:textId="0A7A2A8C" w:rsidR="00C2318A" w:rsidRPr="00C2318A" w:rsidRDefault="00C2318A"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Does this model seem to meet the necessary assumptions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0D2B7505" w14:textId="4308EDD9" w:rsidR="009E1156" w:rsidRDefault="009E1156" w:rsidP="009E1156">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CEC6D3B" w14:textId="77777777" w:rsidR="008B433C" w:rsidRDefault="008B433C"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2C95FC8"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08036B39"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3EAA85E0"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32743551"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1A823A9D"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32F8FBA" w14:textId="19889AC1" w:rsidR="00C2318A" w:rsidRPr="00C2318A" w:rsidRDefault="00C2318A" w:rsidP="00A97A92">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Pr>
          <w:rFonts w:asciiTheme="minorHAnsi" w:eastAsia="Times New Roman" w:hAnsiTheme="minorHAnsi" w:cs="system-ui"/>
          <w:color w:val="000000"/>
          <w:sz w:val="20"/>
          <w:szCs w:val="20"/>
        </w:rPr>
        <w:t>Comment on the overall quality of the model. How has R-sq(adj) improved as we added more variables?</w:t>
      </w:r>
    </w:p>
    <w:p w14:paraId="745261E1" w14:textId="4A696A0A" w:rsidR="006661C0" w:rsidRPr="00B8192F" w:rsidRDefault="00820C0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820C00">
        <w:rPr>
          <w:noProof/>
          <w:sz w:val="20"/>
          <w:szCs w:val="20"/>
          <w14:ligatures w14:val="standardContextual"/>
        </w:rPr>
        <w:drawing>
          <wp:inline distT="0" distB="0" distL="0" distR="0" wp14:anchorId="3ECD0835" wp14:editId="5AC0A202">
            <wp:extent cx="1790700" cy="1019175"/>
            <wp:effectExtent l="0" t="0" r="0" b="9525"/>
            <wp:docPr id="4" name="Picture 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hart&#10;&#10;Description automatically generated"/>
                    <pic:cNvPicPr/>
                  </pic:nvPicPr>
                  <pic:blipFill>
                    <a:blip r:embed="rId19"/>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Pr="00820C00">
        <w:rPr>
          <w:noProof/>
          <w:sz w:val="20"/>
          <w:szCs w:val="20"/>
          <w14:ligatures w14:val="standardContextual"/>
        </w:rPr>
        <w:drawing>
          <wp:inline distT="0" distB="0" distL="0" distR="0" wp14:anchorId="4915E5F6" wp14:editId="6823F085">
            <wp:extent cx="2905125" cy="1362075"/>
            <wp:effectExtent l="0" t="0" r="9525" b="9525"/>
            <wp:docPr id="5" name="Picture 5" descr="A black and white tex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 with numbers and numbers&#10;&#10;Description automatically generated"/>
                    <pic:cNvPicPr/>
                  </pic:nvPicPr>
                  <pic:blipFill>
                    <a:blip r:embed="rId20"/>
                    <a:stretch>
                      <a:fillRect/>
                    </a:stretch>
                  </pic:blipFill>
                  <pic:spPr>
                    <a:xfrm>
                      <a:off x="0" y="0"/>
                      <a:ext cx="2905125" cy="1362075"/>
                    </a:xfrm>
                    <a:prstGeom prst="rect">
                      <a:avLst/>
                    </a:prstGeom>
                  </pic:spPr>
                </pic:pic>
              </a:graphicData>
            </a:graphic>
          </wp:inline>
        </w:drawing>
      </w:r>
    </w:p>
    <w:p w14:paraId="2E9BA6E2" w14:textId="34A27D04"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About 7</w:t>
      </w:r>
      <w:r w:rsidR="00820C00">
        <w:rPr>
          <w:rFonts w:asciiTheme="minorHAnsi" w:eastAsia="Times New Roman" w:hAnsiTheme="minorHAnsi" w:cs="system-ui"/>
          <w:color w:val="FF0000"/>
          <w:sz w:val="20"/>
          <w:szCs w:val="20"/>
        </w:rPr>
        <w:t>9</w:t>
      </w:r>
      <w:r w:rsidRPr="00B8192F">
        <w:rPr>
          <w:rFonts w:asciiTheme="minorHAnsi" w:eastAsia="Times New Roman" w:hAnsiTheme="minorHAnsi" w:cs="system-ui"/>
          <w:color w:val="FF0000"/>
          <w:sz w:val="20"/>
          <w:szCs w:val="20"/>
        </w:rPr>
        <w:t>.69% of the variability of win percentage is explained by the multiple linear regression model. This is quite a goo</w:t>
      </w:r>
      <w:r w:rsidR="00A66B6C">
        <w:rPr>
          <w:rFonts w:asciiTheme="minorHAnsi" w:eastAsia="Times New Roman" w:hAnsiTheme="minorHAnsi" w:cs="system-ui"/>
          <w:color w:val="FF0000"/>
          <w:sz w:val="20"/>
          <w:szCs w:val="20"/>
        </w:rPr>
        <w:t>d</w:t>
      </w:r>
      <w:r w:rsidRPr="00B8192F">
        <w:rPr>
          <w:rFonts w:asciiTheme="minorHAnsi" w:eastAsia="Times New Roman" w:hAnsiTheme="minorHAnsi" w:cs="system-ui"/>
          <w:color w:val="FF0000"/>
          <w:sz w:val="20"/>
          <w:szCs w:val="20"/>
        </w:rPr>
        <w:t xml:space="preserve"> R-Squared value. </w:t>
      </w:r>
    </w:p>
    <w:p w14:paraId="34463DA5" w14:textId="77777777"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p>
    <w:p w14:paraId="71E6B7F3" w14:textId="20EF0D52"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lastRenderedPageBreak/>
        <w:t>In our Analysis of Variance test, there is very strong evidence that the model containing Return Points Won Percentage, Elo Rank, Number of Matches, Surface, and Aces Per Double Fault is useful for predicting win percentage. F=</w:t>
      </w:r>
      <w:r w:rsidR="00820C00">
        <w:rPr>
          <w:rFonts w:asciiTheme="minorHAnsi" w:eastAsia="Times New Roman" w:hAnsiTheme="minorHAnsi" w:cs="system-ui"/>
          <w:color w:val="FF0000"/>
          <w:sz w:val="20"/>
          <w:szCs w:val="20"/>
        </w:rPr>
        <w:t>29.27</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B92C1F3" w14:textId="671A9705" w:rsidR="00754A14" w:rsidRPr="00B8192F" w:rsidRDefault="00F47EF0" w:rsidP="00754A14">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Use the model to predict the Win Percentage of a player with </w:t>
      </w:r>
    </w:p>
    <w:p w14:paraId="0C9B7DF4" w14:textId="6801CBB8" w:rsidR="00754A14" w:rsidRPr="00B8192F" w:rsidRDefault="009E1156"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noProof/>
          <w:color w:val="FF0000"/>
          <w:sz w:val="20"/>
          <w:szCs w:val="20"/>
        </w:rPr>
        <w:drawing>
          <wp:inline distT="0" distB="0" distL="0" distR="0" wp14:anchorId="27F140F7" wp14:editId="6D560584">
            <wp:extent cx="3714750" cy="273367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1"/>
                    <a:stretch>
                      <a:fillRect/>
                    </a:stretch>
                  </pic:blipFill>
                  <pic:spPr>
                    <a:xfrm>
                      <a:off x="0" y="0"/>
                      <a:ext cx="3714750" cy="2733675"/>
                    </a:xfrm>
                    <a:prstGeom prst="rect">
                      <a:avLst/>
                    </a:prstGeom>
                  </pic:spPr>
                </pic:pic>
              </a:graphicData>
            </a:graphic>
          </wp:inline>
        </w:drawing>
      </w:r>
    </w:p>
    <w:p w14:paraId="47AB1315" w14:textId="37B8714B" w:rsidR="00754A14" w:rsidRPr="00B8192F" w:rsidRDefault="00A636DC"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 xml:space="preserve">Return Points: A 1 unit increase in the return points won percentage is associated with a </w:t>
      </w:r>
      <w:r w:rsidR="009E1156" w:rsidRPr="00B8192F">
        <w:rPr>
          <w:rFonts w:asciiTheme="minorHAnsi" w:eastAsia="Times New Roman" w:hAnsiTheme="minorHAnsi" w:cs="system-ui"/>
          <w:color w:val="FF0000"/>
          <w:sz w:val="20"/>
          <w:szCs w:val="20"/>
        </w:rPr>
        <w:t>1.632</w:t>
      </w:r>
      <w:r w:rsidRPr="00B8192F">
        <w:rPr>
          <w:rFonts w:asciiTheme="minorHAnsi" w:eastAsia="Times New Roman" w:hAnsiTheme="minorHAnsi" w:cs="system-ui"/>
          <w:color w:val="FF0000"/>
          <w:sz w:val="20"/>
          <w:szCs w:val="20"/>
        </w:rPr>
        <w:t xml:space="preserve"> increase in win percentage holding all else constant.</w:t>
      </w:r>
    </w:p>
    <w:p w14:paraId="106ECC44" w14:textId="77777777" w:rsidR="00754A14" w:rsidRPr="00B8192F" w:rsidRDefault="00754A14" w:rsidP="00754A14">
      <w:pPr>
        <w:pStyle w:val="ListParagraph"/>
        <w:rPr>
          <w:rFonts w:asciiTheme="minorHAnsi" w:eastAsia="Times New Roman" w:hAnsiTheme="minorHAnsi" w:cs="system-ui"/>
          <w:color w:val="FF0000"/>
          <w:sz w:val="20"/>
          <w:szCs w:val="20"/>
        </w:rPr>
      </w:pPr>
    </w:p>
    <w:p w14:paraId="5D0FD196" w14:textId="0C883B95" w:rsidR="00B8192F" w:rsidRDefault="00A636DC" w:rsidP="00B8192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sidR="009E1156" w:rsidRPr="00B8192F">
        <w:rPr>
          <w:rFonts w:asciiTheme="minorHAnsi" w:eastAsia="Times New Roman" w:hAnsiTheme="minorHAnsi" w:cs="system-ui"/>
          <w:color w:val="FF0000"/>
          <w:sz w:val="20"/>
          <w:szCs w:val="20"/>
        </w:rPr>
        <w:t>0255</w:t>
      </w:r>
      <w:r w:rsidRPr="00B8192F">
        <w:rPr>
          <w:rFonts w:asciiTheme="minorHAnsi" w:eastAsia="Times New Roman" w:hAnsiTheme="minorHAnsi" w:cs="system-ui"/>
          <w:color w:val="FF0000"/>
          <w:sz w:val="20"/>
          <w:szCs w:val="20"/>
        </w:rPr>
        <w:t xml:space="preserve"> higher, on average, holding all else constant.</w:t>
      </w:r>
    </w:p>
    <w:p w14:paraId="6C26C1A5" w14:textId="77777777" w:rsidR="0012585F" w:rsidRDefault="0012585F" w:rsidP="00B8192F">
      <w:pPr>
        <w:pStyle w:val="ListParagraph"/>
        <w:rPr>
          <w:rFonts w:asciiTheme="minorHAnsi" w:eastAsia="Times New Roman" w:hAnsiTheme="minorHAnsi" w:cs="system-ui"/>
          <w:color w:val="FF0000"/>
          <w:sz w:val="20"/>
          <w:szCs w:val="20"/>
        </w:rPr>
      </w:pPr>
    </w:p>
    <w:p w14:paraId="1653635E" w14:textId="06ADBD72" w:rsidR="0012585F" w:rsidRDefault="0012585F" w:rsidP="00B8192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Compared to playing on clay courts, we would expect the win percentage for a player having played 10 games on hard courts to be </w:t>
      </w:r>
      <w:r w:rsidR="00B70AC0">
        <w:rPr>
          <w:rFonts w:asciiTheme="minorHAnsi" w:eastAsia="Times New Roman" w:hAnsiTheme="minorHAnsi" w:cs="system-ui"/>
          <w:color w:val="FF0000"/>
          <w:sz w:val="20"/>
          <w:szCs w:val="20"/>
        </w:rPr>
        <w:t xml:space="preserve">0.716 </w:t>
      </w:r>
      <w:r w:rsidR="00A97A92">
        <w:rPr>
          <w:rFonts w:asciiTheme="minorHAnsi" w:eastAsia="Times New Roman" w:hAnsiTheme="minorHAnsi" w:cs="system-ui"/>
          <w:color w:val="FF0000"/>
          <w:sz w:val="20"/>
          <w:szCs w:val="20"/>
        </w:rPr>
        <w:t>lower</w:t>
      </w:r>
      <w:r w:rsidR="00876736">
        <w:rPr>
          <w:rFonts w:asciiTheme="minorHAnsi" w:eastAsia="Times New Roman" w:hAnsiTheme="minorHAnsi" w:cs="system-ui"/>
          <w:color w:val="FF0000"/>
          <w:sz w:val="20"/>
          <w:szCs w:val="20"/>
        </w:rPr>
        <w:t>, on average, holding all else constant.</w:t>
      </w:r>
    </w:p>
    <w:p w14:paraId="3AE8606A" w14:textId="6D510929" w:rsidR="00F47EF0" w:rsidRPr="00F47EF0" w:rsidRDefault="00F47EF0" w:rsidP="00F47EF0">
      <w:pPr>
        <w:rPr>
          <w:rFonts w:asciiTheme="minorHAnsi" w:eastAsia="Times New Roman" w:hAnsiTheme="minorHAnsi" w:cs="system-ui"/>
          <w:color w:val="FF0000"/>
          <w:sz w:val="20"/>
          <w:szCs w:val="20"/>
        </w:rPr>
      </w:pPr>
    </w:p>
    <w:sectPr w:rsidR="00F47EF0" w:rsidRPr="00F47EF0" w:rsidSect="00A636DC">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BFB48" w14:textId="77777777" w:rsidR="005B3C3A" w:rsidRDefault="005B3C3A">
      <w:pPr>
        <w:spacing w:before="0" w:after="0"/>
      </w:pPr>
      <w:r>
        <w:separator/>
      </w:r>
    </w:p>
  </w:endnote>
  <w:endnote w:type="continuationSeparator" w:id="0">
    <w:p w14:paraId="37B86912" w14:textId="77777777" w:rsidR="005B3C3A" w:rsidRDefault="005B3C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5B921" w14:textId="77777777" w:rsidR="005B3C3A" w:rsidRDefault="005B3C3A">
      <w:pPr>
        <w:spacing w:before="0" w:after="0"/>
      </w:pPr>
      <w:r>
        <w:separator/>
      </w:r>
    </w:p>
  </w:footnote>
  <w:footnote w:type="continuationSeparator" w:id="0">
    <w:p w14:paraId="29995989" w14:textId="77777777" w:rsidR="005B3C3A" w:rsidRDefault="005B3C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C106B"/>
    <w:rsid w:val="000F3BA7"/>
    <w:rsid w:val="0012585F"/>
    <w:rsid w:val="001908F9"/>
    <w:rsid w:val="00256264"/>
    <w:rsid w:val="0034384D"/>
    <w:rsid w:val="00357F45"/>
    <w:rsid w:val="003A5E45"/>
    <w:rsid w:val="003C0D58"/>
    <w:rsid w:val="003D7E56"/>
    <w:rsid w:val="004800E8"/>
    <w:rsid w:val="004965C2"/>
    <w:rsid w:val="004A1E22"/>
    <w:rsid w:val="005B3C3A"/>
    <w:rsid w:val="00651C07"/>
    <w:rsid w:val="006661C0"/>
    <w:rsid w:val="006C6EC4"/>
    <w:rsid w:val="00754A14"/>
    <w:rsid w:val="007D01A3"/>
    <w:rsid w:val="007D2C32"/>
    <w:rsid w:val="00820C00"/>
    <w:rsid w:val="00876736"/>
    <w:rsid w:val="008B433C"/>
    <w:rsid w:val="00923A38"/>
    <w:rsid w:val="009326DA"/>
    <w:rsid w:val="009C067A"/>
    <w:rsid w:val="009C6357"/>
    <w:rsid w:val="009E1156"/>
    <w:rsid w:val="009E115B"/>
    <w:rsid w:val="00A636DC"/>
    <w:rsid w:val="00A66B6C"/>
    <w:rsid w:val="00A97A92"/>
    <w:rsid w:val="00B70AC0"/>
    <w:rsid w:val="00B8192F"/>
    <w:rsid w:val="00C2318A"/>
    <w:rsid w:val="00C549BD"/>
    <w:rsid w:val="00C54D5C"/>
    <w:rsid w:val="00C746DC"/>
    <w:rsid w:val="00D25F3C"/>
    <w:rsid w:val="00D41963"/>
    <w:rsid w:val="00EF36C9"/>
    <w:rsid w:val="00F22C4E"/>
    <w:rsid w:val="00F36B35"/>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23</cp:revision>
  <dcterms:created xsi:type="dcterms:W3CDTF">2024-06-12T18:21:00Z</dcterms:created>
  <dcterms:modified xsi:type="dcterms:W3CDTF">2024-07-18T19:11:00Z</dcterms:modified>
</cp:coreProperties>
</file>