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The FINA Junior World Diving Championships is an elite dive meet where top divers around the world aged 16 to 18 compete. In this worksheet, you will determine if there is a significant difference in the average total score between </w:t>
      </w:r>
      <w:r w:rsidDel="00000000" w:rsidR="00000000" w:rsidRPr="00000000">
        <w:rPr>
          <w:color w:val="000000"/>
          <w:sz w:val="20"/>
          <w:szCs w:val="20"/>
          <w:rtl w:val="0"/>
        </w:rPr>
        <w:t xml:space="preserve">divers</w:t>
      </w:r>
      <w:r w:rsidDel="00000000" w:rsidR="00000000" w:rsidRPr="00000000">
        <w:rPr>
          <w:color w:val="000000"/>
          <w:sz w:val="20"/>
          <w:szCs w:val="20"/>
          <w:rtl w:val="0"/>
        </w:rPr>
        <w:t xml:space="preserve"> aged 16, 17, and 18. </w:t>
      </w:r>
    </w:p>
    <w:p w:rsidR="00000000" w:rsidDel="00000000" w:rsidP="00000000" w:rsidRDefault="00000000" w:rsidRPr="00000000" w14:paraId="0000000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Individual Tests for Difference in Means: </w:t>
      </w:r>
    </w:p>
    <w:p w:rsidR="00000000" w:rsidDel="00000000" w:rsidP="00000000" w:rsidRDefault="00000000" w:rsidRPr="00000000" w14:paraId="000000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For the whole sample: n = 39, </w:t>
      </w:r>
      <m:oMath>
        <m:bar>
          <m:barPr>
            <m:pos/>
            <m:ctrlPr>
              <w:rPr>
                <w:rFonts w:ascii="Cambria Math" w:cs="Cambria Math" w:eastAsia="Cambria Math" w:hAnsi="Cambria Math"/>
                <w:color w:val="000000"/>
                <w:sz w:val="20"/>
                <w:szCs w:val="20"/>
              </w:rPr>
            </m:ctrlPr>
          </m:barPr>
          <m:e>
            <m:r>
              <w:rPr>
                <w:rFonts w:ascii="Cambria Math" w:cs="Cambria Math" w:eastAsia="Cambria Math" w:hAnsi="Cambria Math"/>
                <w:color w:val="000000"/>
                <w:sz w:val="20"/>
                <w:szCs w:val="20"/>
              </w:rPr>
              <m:t xml:space="preserve">y</m:t>
            </m:r>
          </m:e>
        </m:bar>
      </m:oMath>
      <w:r w:rsidDel="00000000" w:rsidR="00000000" w:rsidRPr="00000000">
        <w:rPr>
          <w:color w:val="000000"/>
          <w:sz w:val="20"/>
          <w:szCs w:val="20"/>
          <w:rtl w:val="0"/>
        </w:rPr>
        <w:t xml:space="preserve"> = 298.6615, and </w:t>
      </w:r>
      <m:oMath>
        <m:sSub>
          <m:sSubPr>
            <m:ctrlPr>
              <w:rPr>
                <w:rFonts w:ascii="Cambria Math" w:cs="Cambria Math" w:eastAsia="Cambria Math" w:hAnsi="Cambria Math"/>
                <w:color w:val="000000"/>
                <w:sz w:val="20"/>
                <w:szCs w:val="20"/>
              </w:rPr>
            </m:ctrlPr>
          </m:sSubPr>
          <m:e>
            <m:r>
              <w:rPr>
                <w:rFonts w:ascii="Cambria Math" w:cs="Cambria Math" w:eastAsia="Cambria Math" w:hAnsi="Cambria Math"/>
                <w:color w:val="000000"/>
                <w:sz w:val="20"/>
                <w:szCs w:val="20"/>
              </w:rPr>
              <m:t xml:space="preserve">s</m:t>
            </m:r>
          </m:e>
          <m:sub>
            <m:r>
              <w:rPr>
                <w:rFonts w:ascii="Cambria Math" w:cs="Cambria Math" w:eastAsia="Cambria Math" w:hAnsi="Cambria Math"/>
                <w:color w:val="000000"/>
                <w:sz w:val="20"/>
                <w:szCs w:val="20"/>
              </w:rPr>
              <m:t xml:space="preserve">y</m:t>
            </m:r>
          </m:sub>
        </m:sSub>
      </m:oMath>
      <w:r w:rsidDel="00000000" w:rsidR="00000000" w:rsidRPr="00000000">
        <w:rPr>
          <w:color w:val="000000"/>
          <w:sz w:val="20"/>
          <w:szCs w:val="20"/>
          <w:rtl w:val="0"/>
        </w:rPr>
        <w:t xml:space="preserve"> = 48.95357</w:t>
      </w:r>
    </w:p>
    <w:p w:rsidR="00000000" w:rsidDel="00000000" w:rsidP="00000000" w:rsidRDefault="00000000" w:rsidRPr="00000000" w14:paraId="000000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b w:val="1"/>
          <w:color w:val="000000"/>
          <w:sz w:val="20"/>
          <w:szCs w:val="20"/>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8"/>
        <w:gridCol w:w="2340"/>
        <w:gridCol w:w="2336"/>
        <w:gridCol w:w="2346"/>
        <w:tblGridChange w:id="0">
          <w:tblGrid>
            <w:gridCol w:w="2328"/>
            <w:gridCol w:w="2340"/>
            <w:gridCol w:w="2336"/>
            <w:gridCol w:w="2346"/>
          </w:tblGrid>
        </w:tblGridChange>
      </w:tblGrid>
      <w:tr>
        <w:trPr>
          <w:cantSplit w:val="0"/>
          <w:tblHeader w:val="0"/>
        </w:trPr>
        <w:tc>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Age</w:t>
            </w:r>
          </w:p>
        </w:tc>
        <w:tc>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Sample Size</w:t>
            </w:r>
          </w:p>
        </w:tc>
        <w:tc>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Mean</w:t>
            </w:r>
          </w:p>
        </w:tc>
        <w:tc>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Standard Deviation</w:t>
            </w:r>
          </w:p>
        </w:tc>
      </w:tr>
      <w:tr>
        <w:trPr>
          <w:cantSplit w:val="0"/>
          <w:tblHeader w:val="0"/>
        </w:trPr>
        <w:tc>
          <w:tcPr/>
          <w:p w:rsidR="00000000" w:rsidDel="00000000" w:rsidP="00000000" w:rsidRDefault="00000000" w:rsidRPr="00000000" w14:paraId="0000000A">
            <w:pPr>
              <w:jc w:val="center"/>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0C">
            <w:pPr>
              <w:jc w:val="center"/>
              <w:rPr>
                <w:sz w:val="20"/>
                <w:szCs w:val="20"/>
              </w:rPr>
            </w:pPr>
            <w:r w:rsidDel="00000000" w:rsidR="00000000" w:rsidRPr="00000000">
              <w:rPr>
                <w:color w:val="000000"/>
                <w:sz w:val="20"/>
                <w:szCs w:val="20"/>
                <w:rtl w:val="0"/>
              </w:rPr>
              <w:t xml:space="preserve">268.25</w:t>
            </w:r>
            <w:r w:rsidDel="00000000" w:rsidR="00000000" w:rsidRPr="00000000">
              <w:rPr>
                <w:rtl w:val="0"/>
              </w:rPr>
            </w:r>
          </w:p>
        </w:tc>
        <w:tc>
          <w:tcPr/>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34.2</w:t>
            </w:r>
          </w:p>
        </w:tc>
      </w:tr>
      <w:tr>
        <w:trPr>
          <w:cantSplit w:val="0"/>
          <w:tblHeader w:val="0"/>
        </w:trPr>
        <w:tc>
          <w:tcPr/>
          <w:p w:rsidR="00000000" w:rsidDel="00000000" w:rsidP="00000000" w:rsidRDefault="00000000" w:rsidRPr="00000000" w14:paraId="0000000E">
            <w:pPr>
              <w:jc w:val="center"/>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010">
            <w:pPr>
              <w:jc w:val="center"/>
              <w:rPr>
                <w:sz w:val="20"/>
                <w:szCs w:val="20"/>
              </w:rPr>
            </w:pPr>
            <w:r w:rsidDel="00000000" w:rsidR="00000000" w:rsidRPr="00000000">
              <w:rPr>
                <w:color w:val="000000"/>
                <w:sz w:val="20"/>
                <w:szCs w:val="20"/>
                <w:rtl w:val="0"/>
              </w:rPr>
              <w:t xml:space="preserve">305.59</w:t>
            </w:r>
            <w:r w:rsidDel="00000000" w:rsidR="00000000" w:rsidRPr="00000000">
              <w:rPr>
                <w:rtl w:val="0"/>
              </w:rPr>
            </w:r>
          </w:p>
        </w:tc>
        <w:tc>
          <w:tcPr/>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38.8</w:t>
            </w:r>
          </w:p>
        </w:tc>
      </w:tr>
      <w:tr>
        <w:trPr>
          <w:cantSplit w:val="0"/>
          <w:tblHeader w:val="0"/>
        </w:trPr>
        <w:tc>
          <w:tcPr/>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18</w:t>
            </w:r>
          </w:p>
        </w:tc>
        <w:tc>
          <w:tcPr/>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014">
            <w:pPr>
              <w:jc w:val="center"/>
              <w:rPr>
                <w:sz w:val="20"/>
                <w:szCs w:val="20"/>
              </w:rPr>
            </w:pPr>
            <w:r w:rsidDel="00000000" w:rsidR="00000000" w:rsidRPr="00000000">
              <w:rPr>
                <w:color w:val="000000"/>
                <w:sz w:val="20"/>
                <w:szCs w:val="20"/>
                <w:rtl w:val="0"/>
              </w:rPr>
              <w:t xml:space="preserve">304.96</w:t>
            </w:r>
            <w:r w:rsidDel="00000000" w:rsidR="00000000" w:rsidRPr="00000000">
              <w:rPr>
                <w:rtl w:val="0"/>
              </w:rPr>
            </w:r>
          </w:p>
        </w:tc>
        <w:tc>
          <w:tcPr/>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62.4</w:t>
            </w:r>
          </w:p>
        </w:tc>
      </w:tr>
    </w:tbl>
    <w:p w:rsidR="00000000" w:rsidDel="00000000" w:rsidP="00000000" w:rsidRDefault="00000000" w:rsidRPr="00000000" w14:paraId="0000001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Conduct a t-test for differences in means comparing the average total points for 16-year-old divers and </w:t>
      </w:r>
    </w:p>
    <w:p w:rsidR="00000000" w:rsidDel="00000000" w:rsidP="00000000" w:rsidRDefault="00000000" w:rsidRPr="00000000" w14:paraId="0000001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17-year-old divers. Include all parts of a hypothesis test, including hypotheses, t-statistic, and a conclusion. </w:t>
      </w:r>
    </w:p>
    <w:p w:rsidR="00000000" w:rsidDel="00000000" w:rsidP="00000000" w:rsidRDefault="00000000" w:rsidRPr="00000000" w14:paraId="000000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1A">
      <w:pPr>
        <w:jc w:val="left"/>
        <w:rPr>
          <w:rFonts w:ascii="Cambria Math" w:cs="Cambria Math" w:eastAsia="Cambria Math" w:hAnsi="Cambria Math"/>
          <w:color w:val="000000"/>
          <w:sz w:val="24"/>
          <w:szCs w:val="24"/>
        </w:rPr>
      </w:pP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H</m:t>
            </m:r>
          </m:e>
          <m:sub>
            <m:r>
              <w:rPr>
                <w:rFonts w:ascii="Cambria Math" w:cs="Cambria Math" w:eastAsia="Cambria Math" w:hAnsi="Cambria Math"/>
                <w:color w:val="000000"/>
                <w:sz w:val="24"/>
                <w:szCs w:val="24"/>
              </w:rPr>
              <m:t xml:space="preserve">0</m:t>
            </m:r>
          </m:sub>
        </m:sSub>
        <m:r>
          <w:rPr>
            <w:rFonts w:ascii="Cambria Math" w:cs="Cambria Math" w:eastAsia="Cambria Math" w:hAnsi="Cambria Math"/>
            <w:color w:val="000000"/>
            <w:sz w:val="24"/>
            <w:szCs w:val="24"/>
          </w:rPr>
          <m:t xml:space="preserve">: </m:t>
        </m:r>
      </m:oMath>
      <w:r w:rsidDel="00000000" w:rsidR="00000000" w:rsidRPr="00000000">
        <w:rPr>
          <w:rtl w:val="0"/>
        </w:rPr>
      </w:r>
    </w:p>
    <w:p w:rsidR="00000000" w:rsidDel="00000000" w:rsidP="00000000" w:rsidRDefault="00000000" w:rsidRPr="00000000" w14:paraId="000000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C">
      <w:pPr>
        <w:jc w:val="left"/>
        <w:rPr>
          <w:rFonts w:ascii="Cambria Math" w:cs="Cambria Math" w:eastAsia="Cambria Math" w:hAnsi="Cambria Math"/>
          <w:color w:val="000000"/>
          <w:sz w:val="24"/>
          <w:szCs w:val="24"/>
        </w:rPr>
      </w:pP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H</m:t>
            </m:r>
          </m:e>
          <m:sub>
            <m:r>
              <w:rPr>
                <w:rFonts w:ascii="Cambria Math" w:cs="Cambria Math" w:eastAsia="Cambria Math" w:hAnsi="Cambria Math"/>
                <w:color w:val="000000"/>
                <w:sz w:val="24"/>
                <w:szCs w:val="24"/>
              </w:rPr>
              <m:t xml:space="preserve">a</m:t>
            </m:r>
          </m:sub>
        </m:sSub>
        <m:r>
          <w:rPr>
            <w:rFonts w:ascii="Cambria Math" w:cs="Cambria Math" w:eastAsia="Cambria Math" w:hAnsi="Cambria Math"/>
            <w:color w:val="000000"/>
            <w:sz w:val="24"/>
            <w:szCs w:val="24"/>
          </w:rPr>
          <m:t xml:space="preserve">: </m:t>
        </m:r>
      </m:oMath>
      <w:r w:rsidDel="00000000" w:rsidR="00000000" w:rsidRPr="00000000">
        <w:rPr>
          <w:rtl w:val="0"/>
        </w:rPr>
      </w:r>
    </w:p>
    <w:p w:rsidR="00000000" w:rsidDel="00000000" w:rsidP="00000000" w:rsidRDefault="00000000" w:rsidRPr="00000000" w14:paraId="000000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Conduct a t-test for differences in means comparing the average total points for 18-year-old divers and </w:t>
      </w:r>
    </w:p>
    <w:p w:rsidR="00000000" w:rsidDel="00000000" w:rsidP="00000000" w:rsidRDefault="00000000" w:rsidRPr="00000000" w14:paraId="000000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17-year-old divers. Include all parts of a hypothesis test, including hypotheses, t-statistic, and a conclusion. </w:t>
      </w:r>
    </w:p>
    <w:p w:rsidR="00000000" w:rsidDel="00000000" w:rsidP="00000000" w:rsidRDefault="00000000" w:rsidRPr="00000000" w14:paraId="0000002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2E">
      <w:pPr>
        <w:jc w:val="left"/>
        <w:rPr>
          <w:rFonts w:ascii="Cambria Math" w:cs="Cambria Math" w:eastAsia="Cambria Math" w:hAnsi="Cambria Math"/>
          <w:color w:val="000000"/>
          <w:sz w:val="24"/>
          <w:szCs w:val="24"/>
        </w:rPr>
      </w:pP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H</m:t>
            </m:r>
          </m:e>
          <m:sub>
            <m:r>
              <w:rPr>
                <w:rFonts w:ascii="Cambria Math" w:cs="Cambria Math" w:eastAsia="Cambria Math" w:hAnsi="Cambria Math"/>
                <w:color w:val="000000"/>
                <w:sz w:val="24"/>
                <w:szCs w:val="24"/>
              </w:rPr>
              <m:t xml:space="preserve">0</m:t>
            </m:r>
          </m:sub>
        </m:sSub>
        <m:r>
          <w:rPr>
            <w:rFonts w:ascii="Cambria Math" w:cs="Cambria Math" w:eastAsia="Cambria Math" w:hAnsi="Cambria Math"/>
            <w:color w:val="000000"/>
            <w:sz w:val="24"/>
            <w:szCs w:val="24"/>
          </w:rPr>
          <m:t xml:space="preserve">: </m:t>
        </m:r>
      </m:oMath>
      <w:r w:rsidDel="00000000" w:rsidR="00000000" w:rsidRPr="00000000">
        <w:rPr>
          <w:rtl w:val="0"/>
        </w:rPr>
      </w:r>
    </w:p>
    <w:p w:rsidR="00000000" w:rsidDel="00000000" w:rsidP="00000000" w:rsidRDefault="00000000" w:rsidRPr="00000000" w14:paraId="0000002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jc w:val="left"/>
        <w:rPr>
          <w:rFonts w:ascii="Cambria Math" w:cs="Cambria Math" w:eastAsia="Cambria Math" w:hAnsi="Cambria Math"/>
          <w:color w:val="000000"/>
          <w:sz w:val="24"/>
          <w:szCs w:val="24"/>
        </w:rPr>
      </w:pP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H</m:t>
            </m:r>
          </m:e>
          <m:sub>
            <m:r>
              <w:rPr>
                <w:rFonts w:ascii="Cambria Math" w:cs="Cambria Math" w:eastAsia="Cambria Math" w:hAnsi="Cambria Math"/>
                <w:color w:val="000000"/>
                <w:sz w:val="24"/>
                <w:szCs w:val="24"/>
              </w:rPr>
              <m:t xml:space="preserve">a</m:t>
            </m:r>
          </m:sub>
        </m:sSub>
        <m:r>
          <w:rPr>
            <w:rFonts w:ascii="Cambria Math" w:cs="Cambria Math" w:eastAsia="Cambria Math" w:hAnsi="Cambria Math"/>
            <w:color w:val="000000"/>
            <w:sz w:val="24"/>
            <w:szCs w:val="24"/>
          </w:rPr>
          <m:t xml:space="preserve">: </m:t>
        </m:r>
      </m:oMath>
      <w:r w:rsidDel="00000000" w:rsidR="00000000" w:rsidRPr="00000000">
        <w:rPr>
          <w:rtl w:val="0"/>
        </w:rPr>
      </w:r>
    </w:p>
    <w:p w:rsidR="00000000" w:rsidDel="00000000" w:rsidP="00000000" w:rsidRDefault="00000000" w:rsidRPr="00000000" w14:paraId="0000003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Conduct a t-test for differences in means comparing the average total points for 16-year-old divers and </w:t>
      </w:r>
    </w:p>
    <w:p w:rsidR="00000000" w:rsidDel="00000000" w:rsidP="00000000" w:rsidRDefault="00000000" w:rsidRPr="00000000" w14:paraId="000000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18-year-old divers. Include all parts of a hypothesis test, including hypotheses, t-statistic, and a conclusion. </w:t>
      </w:r>
    </w:p>
    <w:p w:rsidR="00000000" w:rsidDel="00000000" w:rsidP="00000000" w:rsidRDefault="00000000" w:rsidRPr="00000000" w14:paraId="000000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3E">
      <w:pPr>
        <w:jc w:val="left"/>
        <w:rPr>
          <w:rFonts w:ascii="Cambria Math" w:cs="Cambria Math" w:eastAsia="Cambria Math" w:hAnsi="Cambria Math"/>
          <w:color w:val="000000"/>
          <w:sz w:val="24"/>
          <w:szCs w:val="24"/>
        </w:rPr>
      </w:pP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H</m:t>
            </m:r>
          </m:e>
          <m:sub>
            <m:r>
              <w:rPr>
                <w:rFonts w:ascii="Cambria Math" w:cs="Cambria Math" w:eastAsia="Cambria Math" w:hAnsi="Cambria Math"/>
                <w:color w:val="000000"/>
                <w:sz w:val="24"/>
                <w:szCs w:val="24"/>
              </w:rPr>
              <m:t xml:space="preserve">0</m:t>
            </m:r>
          </m:sub>
        </m:sSub>
        <m:r>
          <w:rPr>
            <w:rFonts w:ascii="Cambria Math" w:cs="Cambria Math" w:eastAsia="Cambria Math" w:hAnsi="Cambria Math"/>
            <w:color w:val="000000"/>
            <w:sz w:val="24"/>
            <w:szCs w:val="24"/>
          </w:rPr>
          <m:t xml:space="preserve">: </m:t>
        </m:r>
      </m:oMath>
      <w:r w:rsidDel="00000000" w:rsidR="00000000" w:rsidRPr="00000000">
        <w:rPr>
          <w:rtl w:val="0"/>
        </w:rPr>
      </w:r>
    </w:p>
    <w:p w:rsidR="00000000" w:rsidDel="00000000" w:rsidP="00000000" w:rsidRDefault="00000000" w:rsidRPr="00000000" w14:paraId="000000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0">
      <w:pPr>
        <w:jc w:val="left"/>
        <w:rPr>
          <w:rFonts w:ascii="Cambria Math" w:cs="Cambria Math" w:eastAsia="Cambria Math" w:hAnsi="Cambria Math"/>
          <w:color w:val="000000"/>
          <w:sz w:val="24"/>
          <w:szCs w:val="24"/>
        </w:rPr>
      </w:pPr>
      <m:oMath>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H</m:t>
            </m:r>
          </m:e>
          <m:sub>
            <m:r>
              <w:rPr>
                <w:rFonts w:ascii="Cambria Math" w:cs="Cambria Math" w:eastAsia="Cambria Math" w:hAnsi="Cambria Math"/>
                <w:color w:val="000000"/>
                <w:sz w:val="24"/>
                <w:szCs w:val="24"/>
              </w:rPr>
              <m:t xml:space="preserve">a</m:t>
            </m:r>
          </m:sub>
        </m:sSub>
        <m:r>
          <w:rPr>
            <w:rFonts w:ascii="Cambria Math" w:cs="Cambria Math" w:eastAsia="Cambria Math" w:hAnsi="Cambria Math"/>
            <w:color w:val="000000"/>
            <w:sz w:val="24"/>
            <w:szCs w:val="24"/>
          </w:rPr>
          <m:t xml:space="preserve">: </m:t>
        </m:r>
      </m:oMath>
      <w:r w:rsidDel="00000000" w:rsidR="00000000" w:rsidRPr="00000000">
        <w:rPr>
          <w:rtl w:val="0"/>
        </w:rPr>
      </w:r>
    </w:p>
    <w:p w:rsidR="00000000" w:rsidDel="00000000" w:rsidP="00000000" w:rsidRDefault="00000000" w:rsidRPr="00000000" w14:paraId="000000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color w:val="000000"/>
          <w:sz w:val="20"/>
          <w:szCs w:val="20"/>
        </w:rPr>
      </w:pPr>
      <w:r w:rsidDel="00000000" w:rsidR="00000000" w:rsidRPr="00000000">
        <w:rPr>
          <w:color w:val="000000"/>
          <w:sz w:val="20"/>
          <w:szCs w:val="20"/>
          <w:rtl w:val="0"/>
        </w:rPr>
        <w:t xml:space="preserve">Are there any differences in mean total points between different aged divers? If so, which one(s)? </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tabs>
        <w:tab w:val="center" w:leader="none" w:pos="4680"/>
        <w:tab w:val="right" w:leader="none" w:pos="9360"/>
      </w:tabs>
      <w:spacing w:after="0" w:line="240" w:lineRule="auto"/>
      <w:jc w:val="center"/>
      <w:rPr>
        <w:i w:val="1"/>
      </w:rPr>
    </w:pPr>
    <w:r w:rsidDel="00000000" w:rsidR="00000000" w:rsidRPr="00000000">
      <w:rPr>
        <w:i w:val="1"/>
        <w:rtl w:val="0"/>
      </w:rPr>
      <w:t xml:space="preserve">Difference in Means Hypothesis Tests of FINA Junior Diving World Championships Data</w:t>
    </w:r>
  </w:p>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color w:val="0f4761"/>
      <w:sz w:val="28"/>
      <w:szCs w:val="28"/>
    </w:rPr>
  </w:style>
  <w:style w:type="paragraph" w:styleId="Heading4">
    <w:name w:val="heading 4"/>
    <w:basedOn w:val="Normal"/>
    <w:next w:val="Normal"/>
    <w:pPr>
      <w:keepNext w:val="1"/>
      <w:keepLines w:val="1"/>
      <w:spacing w:after="40" w:before="80" w:line="259" w:lineRule="auto"/>
    </w:pPr>
    <w:rPr>
      <w:i w:val="1"/>
      <w:color w:val="0f4761"/>
    </w:rPr>
  </w:style>
  <w:style w:type="paragraph" w:styleId="Heading5">
    <w:name w:val="heading 5"/>
    <w:basedOn w:val="Normal"/>
    <w:next w:val="Normal"/>
    <w:pPr>
      <w:keepNext w:val="1"/>
      <w:keepLines w:val="1"/>
      <w:spacing w:after="40" w:before="80" w:line="259" w:lineRule="auto"/>
    </w:pPr>
    <w:rPr>
      <w:color w:val="0f4761"/>
    </w:rPr>
  </w:style>
  <w:style w:type="paragraph" w:styleId="Heading6">
    <w:name w:val="heading 6"/>
    <w:basedOn w:val="Normal"/>
    <w:next w:val="Normal"/>
    <w:pPr>
      <w:keepNext w:val="1"/>
      <w:keepLines w:val="1"/>
      <w:spacing w:after="0" w:before="40" w:line="259"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00283"/>
    <w:pPr>
      <w:spacing w:line="256" w:lineRule="auto"/>
    </w:pPr>
  </w:style>
  <w:style w:type="paragraph" w:styleId="Heading1">
    <w:name w:val="heading 1"/>
    <w:basedOn w:val="Normal"/>
    <w:next w:val="Normal"/>
    <w:link w:val="Heading1Char"/>
    <w:uiPriority w:val="9"/>
    <w:qFormat w:val="1"/>
    <w:rsid w:val="00400283"/>
    <w:pPr>
      <w:keepNext w:val="1"/>
      <w:keepLines w:val="1"/>
      <w:spacing w:after="80" w:before="360" w:line="259" w:lineRule="auto"/>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00283"/>
    <w:pPr>
      <w:keepNext w:val="1"/>
      <w:keepLines w:val="1"/>
      <w:spacing w:after="80" w:before="160" w:line="259" w:lineRule="auto"/>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00283"/>
    <w:pPr>
      <w:keepNext w:val="1"/>
      <w:keepLines w:val="1"/>
      <w:spacing w:after="80" w:before="160" w:line="259" w:lineRule="auto"/>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00283"/>
    <w:pPr>
      <w:keepNext w:val="1"/>
      <w:keepLines w:val="1"/>
      <w:spacing w:after="40" w:before="80" w:line="259" w:lineRule="auto"/>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00283"/>
    <w:pPr>
      <w:keepNext w:val="1"/>
      <w:keepLines w:val="1"/>
      <w:spacing w:after="40" w:before="80" w:line="259" w:lineRule="auto"/>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00283"/>
    <w:pPr>
      <w:keepNext w:val="1"/>
      <w:keepLines w:val="1"/>
      <w:spacing w:after="0" w:before="40" w:line="259" w:lineRule="auto"/>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00283"/>
    <w:pPr>
      <w:keepNext w:val="1"/>
      <w:keepLines w:val="1"/>
      <w:spacing w:after="0" w:before="40" w:line="259" w:lineRule="auto"/>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00283"/>
    <w:pPr>
      <w:keepNext w:val="1"/>
      <w:keepLines w:val="1"/>
      <w:spacing w:after="0" w:line="259" w:lineRule="auto"/>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00283"/>
    <w:pPr>
      <w:keepNext w:val="1"/>
      <w:keepLines w:val="1"/>
      <w:spacing w:after="0" w:line="259" w:lineRule="auto"/>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0028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0028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0028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0028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0028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0028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0028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0028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0028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0028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0028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00283"/>
    <w:pPr>
      <w:numPr>
        <w:ilvl w:val="1"/>
      </w:numPr>
      <w:spacing w:line="259" w:lineRule="auto"/>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0028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00283"/>
    <w:pPr>
      <w:spacing w:before="160" w:line="259" w:lineRule="auto"/>
      <w:jc w:val="center"/>
    </w:pPr>
    <w:rPr>
      <w:i w:val="1"/>
      <w:iCs w:val="1"/>
      <w:color w:val="404040" w:themeColor="text1" w:themeTint="0000BF"/>
    </w:rPr>
  </w:style>
  <w:style w:type="character" w:styleId="QuoteChar" w:customStyle="1">
    <w:name w:val="Quote Char"/>
    <w:basedOn w:val="DefaultParagraphFont"/>
    <w:link w:val="Quote"/>
    <w:uiPriority w:val="29"/>
    <w:rsid w:val="00400283"/>
    <w:rPr>
      <w:i w:val="1"/>
      <w:iCs w:val="1"/>
      <w:color w:val="404040" w:themeColor="text1" w:themeTint="0000BF"/>
    </w:rPr>
  </w:style>
  <w:style w:type="paragraph" w:styleId="ListParagraph">
    <w:name w:val="List Paragraph"/>
    <w:basedOn w:val="Normal"/>
    <w:uiPriority w:val="34"/>
    <w:qFormat w:val="1"/>
    <w:rsid w:val="00400283"/>
    <w:pPr>
      <w:spacing w:line="259" w:lineRule="auto"/>
      <w:ind w:left="720"/>
      <w:contextualSpacing w:val="1"/>
    </w:pPr>
  </w:style>
  <w:style w:type="character" w:styleId="IntenseEmphasis">
    <w:name w:val="Intense Emphasis"/>
    <w:basedOn w:val="DefaultParagraphFont"/>
    <w:uiPriority w:val="21"/>
    <w:qFormat w:val="1"/>
    <w:rsid w:val="00400283"/>
    <w:rPr>
      <w:i w:val="1"/>
      <w:iCs w:val="1"/>
      <w:color w:val="0f4761" w:themeColor="accent1" w:themeShade="0000BF"/>
    </w:rPr>
  </w:style>
  <w:style w:type="paragraph" w:styleId="IntenseQuote">
    <w:name w:val="Intense Quote"/>
    <w:basedOn w:val="Normal"/>
    <w:next w:val="Normal"/>
    <w:link w:val="IntenseQuoteChar"/>
    <w:uiPriority w:val="30"/>
    <w:qFormat w:val="1"/>
    <w:rsid w:val="00400283"/>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00283"/>
    <w:rPr>
      <w:i w:val="1"/>
      <w:iCs w:val="1"/>
      <w:color w:val="0f4761" w:themeColor="accent1" w:themeShade="0000BF"/>
    </w:rPr>
  </w:style>
  <w:style w:type="character" w:styleId="IntenseReference">
    <w:name w:val="Intense Reference"/>
    <w:basedOn w:val="DefaultParagraphFont"/>
    <w:uiPriority w:val="32"/>
    <w:qFormat w:val="1"/>
    <w:rsid w:val="00400283"/>
    <w:rPr>
      <w:b w:val="1"/>
      <w:bCs w:val="1"/>
      <w:smallCaps w:val="1"/>
      <w:color w:val="0f4761" w:themeColor="accent1" w:themeShade="0000BF"/>
      <w:spacing w:val="5"/>
    </w:rPr>
  </w:style>
  <w:style w:type="paragraph" w:styleId="Header">
    <w:name w:val="header"/>
    <w:basedOn w:val="Normal"/>
    <w:link w:val="HeaderChar"/>
    <w:uiPriority w:val="99"/>
    <w:unhideWhenUsed w:val="1"/>
    <w:rsid w:val="004002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0283"/>
  </w:style>
  <w:style w:type="paragraph" w:styleId="Footer">
    <w:name w:val="footer"/>
    <w:basedOn w:val="Normal"/>
    <w:link w:val="FooterChar"/>
    <w:uiPriority w:val="99"/>
    <w:unhideWhenUsed w:val="1"/>
    <w:rsid w:val="004002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0283"/>
  </w:style>
  <w:style w:type="table" w:styleId="TableGrid">
    <w:name w:val="Table Grid"/>
    <w:basedOn w:val="TableNormal"/>
    <w:uiPriority w:val="39"/>
    <w:rsid w:val="00B807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line="259" w:lineRule="auto"/>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O1/+7e4c3Wween4uwSxXnGExg==">CgMxLjA4AHIhMUZmYjRzR1RyeXhWOWRBUXVyNHVFN1E3eHN2elVJSmM1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2024-04-12T14:14:00Z</dcterms:created>
  <dc:creator>emma deering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86d19545-7281-4e0d-9b28-c3ebea3d9856</vt:lpwstr>
  </property>
</Properties>
</file>