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B82FC" w14:textId="0046BD2B" w:rsidR="006F3716" w:rsidRPr="003F1518" w:rsidRDefault="003F1518" w:rsidP="006F3716">
      <w:pPr>
        <w:pStyle w:val="PlainText"/>
        <w:rPr>
          <w:rFonts w:asciiTheme="minorHAnsi" w:hAnsiTheme="minorHAnsi" w:cstheme="minorHAnsi"/>
          <w:b/>
          <w:bCs/>
          <w:sz w:val="24"/>
          <w:szCs w:val="24"/>
        </w:rPr>
      </w:pPr>
      <w:r w:rsidRPr="003F1518">
        <w:rPr>
          <w:rFonts w:asciiTheme="minorHAnsi" w:hAnsiTheme="minorHAnsi" w:cstheme="minorHAnsi"/>
          <w:b/>
          <w:bCs/>
          <w:sz w:val="24"/>
          <w:szCs w:val="24"/>
        </w:rPr>
        <w:t>Conclusion:</w:t>
      </w:r>
    </w:p>
    <w:p w14:paraId="64C49F75" w14:textId="77777777" w:rsidR="003F1518" w:rsidRDefault="003F1518" w:rsidP="006F3716">
      <w:pPr>
        <w:pStyle w:val="PlainText"/>
        <w:rPr>
          <w:rFonts w:asciiTheme="minorHAnsi" w:hAnsiTheme="minorHAnsi" w:cstheme="minorHAnsi"/>
          <w:sz w:val="24"/>
          <w:szCs w:val="24"/>
        </w:rPr>
      </w:pPr>
    </w:p>
    <w:p w14:paraId="55A5E919" w14:textId="731A3750" w:rsidR="003F1518" w:rsidRDefault="00D063FC" w:rsidP="006F3716">
      <w:pPr>
        <w:pStyle w:val="PlainText"/>
        <w:rPr>
          <w:rFonts w:asciiTheme="minorHAnsi" w:hAnsiTheme="minorHAnsi" w:cstheme="minorHAnsi"/>
          <w:sz w:val="24"/>
          <w:szCs w:val="24"/>
        </w:rPr>
      </w:pPr>
      <w:r w:rsidRPr="00D063FC">
        <w:rPr>
          <w:rFonts w:asciiTheme="minorHAnsi" w:hAnsiTheme="minorHAnsi" w:cstheme="minorHAnsi"/>
          <w:sz w:val="24"/>
          <w:szCs w:val="24"/>
        </w:rPr>
        <w:t>In conclusion, the NLL and PLL Lacrosse Statistics Worksheet has provided valuable insights into the goal-scoring dynamics of the National Lacrosse League (NLL) and the Premier Lacrosse League (PLL). The analysis of goals and shots data from the 2021-2022 season revealed that the PLL exhibited a higher goals per game average than the NLL, potentially due to the smaller indoor facilities in which PLL games are played. This conclusion aligns with the learning objectives of understanding lacrosse league structures, analyzing statistical measures, conducting sample t-tests, and constructing confidence intervals. By gaining a deeper understanding of goal-scoring trends and recognizing the impact of various factors, participants of this module are equipped to make informed assessments and draw meaningful conclusions when analyzing lacrosse data in the future.</w:t>
      </w:r>
    </w:p>
    <w:p w14:paraId="794A0154" w14:textId="77777777" w:rsidR="003F1518" w:rsidRDefault="003F1518" w:rsidP="006F3716">
      <w:pPr>
        <w:pStyle w:val="PlainText"/>
        <w:rPr>
          <w:rFonts w:asciiTheme="minorHAnsi" w:hAnsiTheme="minorHAnsi" w:cstheme="minorHAnsi"/>
          <w:sz w:val="24"/>
          <w:szCs w:val="24"/>
        </w:rPr>
      </w:pPr>
    </w:p>
    <w:p w14:paraId="373AF767" w14:textId="2721DCB7" w:rsidR="006F3716" w:rsidRPr="003F1518" w:rsidRDefault="006F3716" w:rsidP="006F3716">
      <w:pPr>
        <w:pStyle w:val="PlainText"/>
        <w:rPr>
          <w:rFonts w:asciiTheme="minorHAnsi" w:hAnsiTheme="minorHAnsi" w:cstheme="minorHAnsi"/>
          <w:b/>
          <w:bCs/>
          <w:sz w:val="24"/>
          <w:szCs w:val="24"/>
        </w:rPr>
      </w:pPr>
      <w:r w:rsidRPr="003F1518">
        <w:rPr>
          <w:rFonts w:asciiTheme="minorHAnsi" w:hAnsiTheme="minorHAnsi" w:cstheme="minorHAnsi"/>
          <w:b/>
          <w:bCs/>
          <w:sz w:val="24"/>
          <w:szCs w:val="24"/>
        </w:rPr>
        <w:t>Author Information</w:t>
      </w:r>
      <w:r w:rsidR="003F1518" w:rsidRPr="003F1518">
        <w:rPr>
          <w:rFonts w:asciiTheme="minorHAnsi" w:hAnsiTheme="minorHAnsi" w:cstheme="minorHAnsi"/>
          <w:b/>
          <w:bCs/>
          <w:sz w:val="24"/>
          <w:szCs w:val="24"/>
        </w:rPr>
        <w:t>:</w:t>
      </w:r>
    </w:p>
    <w:p w14:paraId="2CA26FA8" w14:textId="77777777" w:rsidR="003F1518" w:rsidRDefault="003F1518" w:rsidP="006F3716">
      <w:pPr>
        <w:pStyle w:val="PlainText"/>
        <w:rPr>
          <w:rFonts w:asciiTheme="minorHAnsi" w:hAnsiTheme="minorHAnsi" w:cstheme="minorHAnsi"/>
          <w:sz w:val="24"/>
          <w:szCs w:val="24"/>
        </w:rPr>
      </w:pPr>
    </w:p>
    <w:p w14:paraId="33143558" w14:textId="15DDD789" w:rsidR="006F3716" w:rsidRPr="003F1518" w:rsidRDefault="006F3716" w:rsidP="006F3716">
      <w:pPr>
        <w:pStyle w:val="PlainText"/>
        <w:rPr>
          <w:rFonts w:asciiTheme="minorHAnsi" w:hAnsiTheme="minorHAnsi" w:cstheme="minorHAnsi"/>
          <w:sz w:val="24"/>
          <w:szCs w:val="24"/>
        </w:rPr>
      </w:pPr>
      <w:r w:rsidRPr="003F1518">
        <w:rPr>
          <w:rFonts w:asciiTheme="minorHAnsi" w:hAnsiTheme="minorHAnsi" w:cstheme="minorHAnsi"/>
          <w:sz w:val="24"/>
          <w:szCs w:val="24"/>
        </w:rPr>
        <w:t xml:space="preserve">Created by </w:t>
      </w:r>
      <w:r w:rsidR="00D063FC">
        <w:rPr>
          <w:rFonts w:asciiTheme="minorHAnsi" w:hAnsiTheme="minorHAnsi" w:cstheme="minorHAnsi"/>
          <w:sz w:val="24"/>
          <w:szCs w:val="24"/>
        </w:rPr>
        <w:t>Jack Cowan</w:t>
      </w:r>
      <w:r w:rsidRPr="003F1518">
        <w:rPr>
          <w:rFonts w:asciiTheme="minorHAnsi" w:hAnsiTheme="minorHAnsi" w:cstheme="minorHAnsi"/>
          <w:sz w:val="24"/>
          <w:szCs w:val="24"/>
        </w:rPr>
        <w:t xml:space="preserve"> (St. Lawrence University), Ivan </w:t>
      </w:r>
      <w:proofErr w:type="spellStart"/>
      <w:r w:rsidRPr="003F1518">
        <w:rPr>
          <w:rFonts w:asciiTheme="minorHAnsi" w:hAnsiTheme="minorHAnsi" w:cstheme="minorHAnsi"/>
          <w:sz w:val="24"/>
          <w:szCs w:val="24"/>
        </w:rPr>
        <w:t>Ramler</w:t>
      </w:r>
      <w:proofErr w:type="spellEnd"/>
      <w:r w:rsidRPr="003F1518">
        <w:rPr>
          <w:rFonts w:asciiTheme="minorHAnsi" w:hAnsiTheme="minorHAnsi" w:cstheme="minorHAnsi"/>
          <w:sz w:val="24"/>
          <w:szCs w:val="24"/>
        </w:rPr>
        <w:t xml:space="preserve"> (St. Lawrence University), A.J. Dykstra (St. Lawrence University)</w:t>
      </w:r>
    </w:p>
    <w:p w14:paraId="4A486363" w14:textId="77777777" w:rsidR="006F3716" w:rsidRPr="003F1518" w:rsidRDefault="006F3716" w:rsidP="006F3716">
      <w:pPr>
        <w:pStyle w:val="PlainText"/>
        <w:rPr>
          <w:rFonts w:asciiTheme="minorHAnsi" w:hAnsiTheme="minorHAnsi" w:cstheme="minorHAnsi"/>
          <w:sz w:val="24"/>
          <w:szCs w:val="24"/>
        </w:rPr>
      </w:pPr>
    </w:p>
    <w:p w14:paraId="561997D1" w14:textId="77777777" w:rsidR="006F3716" w:rsidRPr="003F1518" w:rsidRDefault="006F3716" w:rsidP="006F3716">
      <w:pPr>
        <w:pStyle w:val="PlainText"/>
        <w:rPr>
          <w:rFonts w:asciiTheme="minorHAnsi" w:hAnsiTheme="minorHAnsi" w:cstheme="minorHAnsi"/>
          <w:sz w:val="24"/>
          <w:szCs w:val="24"/>
        </w:rPr>
      </w:pPr>
      <w:r w:rsidRPr="003F1518">
        <w:rPr>
          <w:rFonts w:asciiTheme="minorHAnsi" w:hAnsiTheme="minorHAnsi" w:cstheme="minorHAnsi"/>
          <w:sz w:val="24"/>
          <w:szCs w:val="24"/>
        </w:rPr>
        <w:t>To cite this module in publications please use:</w:t>
      </w:r>
    </w:p>
    <w:p w14:paraId="2EE21860" w14:textId="2F413F41" w:rsidR="006F3716" w:rsidRPr="003F1518" w:rsidRDefault="006F3716" w:rsidP="006F3716">
      <w:pPr>
        <w:pStyle w:val="PlainText"/>
        <w:rPr>
          <w:rFonts w:asciiTheme="minorHAnsi" w:hAnsiTheme="minorHAnsi" w:cstheme="minorHAnsi"/>
          <w:sz w:val="24"/>
          <w:szCs w:val="24"/>
        </w:rPr>
      </w:pPr>
      <w:r w:rsidRPr="003F1518">
        <w:rPr>
          <w:rFonts w:asciiTheme="minorHAnsi" w:hAnsiTheme="minorHAnsi" w:cstheme="minorHAnsi"/>
          <w:sz w:val="24"/>
          <w:szCs w:val="24"/>
        </w:rPr>
        <w:t xml:space="preserve">   C</w:t>
      </w:r>
      <w:r w:rsidR="00D063FC">
        <w:rPr>
          <w:rFonts w:asciiTheme="minorHAnsi" w:hAnsiTheme="minorHAnsi" w:cstheme="minorHAnsi"/>
          <w:sz w:val="24"/>
          <w:szCs w:val="24"/>
        </w:rPr>
        <w:t>owan</w:t>
      </w:r>
      <w:r w:rsidRPr="003F1518">
        <w:rPr>
          <w:rFonts w:asciiTheme="minorHAnsi" w:hAnsiTheme="minorHAnsi" w:cstheme="minorHAnsi"/>
          <w:sz w:val="24"/>
          <w:szCs w:val="24"/>
        </w:rPr>
        <w:t xml:space="preserve">, </w:t>
      </w:r>
      <w:r w:rsidR="00D063FC">
        <w:rPr>
          <w:rFonts w:asciiTheme="minorHAnsi" w:hAnsiTheme="minorHAnsi" w:cstheme="minorHAnsi"/>
          <w:sz w:val="24"/>
          <w:szCs w:val="24"/>
        </w:rPr>
        <w:t>J</w:t>
      </w:r>
      <w:r w:rsidRPr="003F1518">
        <w:rPr>
          <w:rFonts w:asciiTheme="minorHAnsi" w:hAnsiTheme="minorHAnsi" w:cstheme="minorHAnsi"/>
          <w:sz w:val="24"/>
          <w:szCs w:val="24"/>
        </w:rPr>
        <w:t xml:space="preserve">., </w:t>
      </w:r>
      <w:proofErr w:type="spellStart"/>
      <w:r w:rsidRPr="003F1518">
        <w:rPr>
          <w:rFonts w:asciiTheme="minorHAnsi" w:hAnsiTheme="minorHAnsi" w:cstheme="minorHAnsi"/>
          <w:sz w:val="24"/>
          <w:szCs w:val="24"/>
        </w:rPr>
        <w:t>Ramler</w:t>
      </w:r>
      <w:proofErr w:type="spellEnd"/>
      <w:r w:rsidRPr="003F1518">
        <w:rPr>
          <w:rFonts w:asciiTheme="minorHAnsi" w:hAnsiTheme="minorHAnsi" w:cstheme="minorHAnsi"/>
          <w:sz w:val="24"/>
          <w:szCs w:val="24"/>
        </w:rPr>
        <w:t xml:space="preserve"> I., Dykstra, A. (2023) SCORE Module: </w:t>
      </w:r>
      <w:r w:rsidR="00D063FC">
        <w:rPr>
          <w:rFonts w:asciiTheme="minorHAnsi" w:hAnsiTheme="minorHAnsi" w:cstheme="minorHAnsi"/>
          <w:sz w:val="24"/>
          <w:szCs w:val="24"/>
        </w:rPr>
        <w:t>NLL vs. PLL – Goals per game</w:t>
      </w:r>
    </w:p>
    <w:p w14:paraId="4046D1AC" w14:textId="056BEFC9" w:rsidR="006F3716" w:rsidRPr="006F3716" w:rsidRDefault="006F3716" w:rsidP="003F1518">
      <w:pPr>
        <w:pStyle w:val="PlainText"/>
        <w:rPr>
          <w:rFonts w:ascii="Courier New" w:hAnsi="Courier New" w:cs="Courier New"/>
        </w:rPr>
      </w:pPr>
      <w:r w:rsidRPr="006F3716">
        <w:rPr>
          <w:rFonts w:ascii="Courier New" w:hAnsi="Courier New" w:cs="Courier New"/>
        </w:rPr>
        <w:t xml:space="preserve">     </w:t>
      </w:r>
    </w:p>
    <w:p w14:paraId="77E67F3C" w14:textId="77777777" w:rsidR="006F3716" w:rsidRPr="006F3716" w:rsidRDefault="006F3716" w:rsidP="006F3716">
      <w:pPr>
        <w:pStyle w:val="PlainText"/>
        <w:rPr>
          <w:rFonts w:ascii="Courier New" w:hAnsi="Courier New" w:cs="Courier New"/>
        </w:rPr>
      </w:pPr>
    </w:p>
    <w:sectPr w:rsidR="006F3716" w:rsidRPr="006F3716" w:rsidSect="00A2236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16"/>
    <w:rsid w:val="003F1518"/>
    <w:rsid w:val="006F3716"/>
    <w:rsid w:val="00AE6211"/>
    <w:rsid w:val="00D06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0699"/>
  <w15:chartTrackingRefBased/>
  <w15:docId w15:val="{6BECA786-038B-AA4A-A055-80345E857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2236B"/>
    <w:rPr>
      <w:rFonts w:ascii="Consolas" w:hAnsi="Consolas" w:cs="Consolas"/>
      <w:sz w:val="21"/>
      <w:szCs w:val="21"/>
    </w:rPr>
  </w:style>
  <w:style w:type="character" w:customStyle="1" w:styleId="PlainTextChar">
    <w:name w:val="Plain Text Char"/>
    <w:basedOn w:val="DefaultParagraphFont"/>
    <w:link w:val="PlainText"/>
    <w:uiPriority w:val="99"/>
    <w:rsid w:val="00A2236B"/>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Dykstra</dc:creator>
  <cp:keywords/>
  <dc:description/>
  <cp:lastModifiedBy>Andrew Dykstra</cp:lastModifiedBy>
  <cp:revision>4</cp:revision>
  <dcterms:created xsi:type="dcterms:W3CDTF">2023-06-14T15:59:00Z</dcterms:created>
  <dcterms:modified xsi:type="dcterms:W3CDTF">2023-06-16T16:07:00Z</dcterms:modified>
</cp:coreProperties>
</file>