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497BD" w14:textId="76DBF489" w:rsidR="006E61E8" w:rsidRPr="006E61E8" w:rsidRDefault="006E61E8" w:rsidP="006E61E8">
      <w:pPr>
        <w:pStyle w:val="ListParagraph"/>
        <w:ind w:left="0"/>
        <w:jc w:val="both"/>
        <w:rPr>
          <w:rFonts w:asciiTheme="minorHAnsi" w:hAnsiTheme="minorHAnsi"/>
          <w:sz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41555B9" wp14:editId="728CE44D">
            <wp:simplePos x="0" y="0"/>
            <wp:positionH relativeFrom="column">
              <wp:posOffset>2150533</wp:posOffset>
            </wp:positionH>
            <wp:positionV relativeFrom="paragraph">
              <wp:posOffset>1295400</wp:posOffset>
            </wp:positionV>
            <wp:extent cx="4233333" cy="1048254"/>
            <wp:effectExtent l="0" t="0" r="0" b="0"/>
            <wp:wrapThrough wrapText="bothSides">
              <wp:wrapPolygon edited="0">
                <wp:start x="0" y="0"/>
                <wp:lineTo x="0" y="21207"/>
                <wp:lineTo x="21483" y="21207"/>
                <wp:lineTo x="214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333" cy="104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>
        <w:rPr>
          <w:rFonts w:asciiTheme="minorHAnsi" w:hAnsiTheme="minorHAnsi"/>
          <w:sz w:val="22"/>
        </w:rPr>
        <w:t xml:space="preserve">The NLL is a box lacrosse league that is played in an indoor, smaller field while the PLL is a field lacrosse league that plays on an outdoor field with larger dimensions. </w:t>
      </w:r>
      <w:r w:rsidRPr="00791CD8">
        <w:rPr>
          <w:rFonts w:asciiTheme="minorHAnsi" w:hAnsiTheme="minorHAnsi"/>
          <w:sz w:val="22"/>
        </w:rPr>
        <w:t>This worksheet will provide a</w:t>
      </w:r>
      <w:r>
        <w:rPr>
          <w:rFonts w:asciiTheme="minorHAnsi" w:hAnsiTheme="minorHAnsi"/>
          <w:sz w:val="22"/>
        </w:rPr>
        <w:t>n</w:t>
      </w:r>
      <w:r w:rsidRPr="00791CD8">
        <w:rPr>
          <w:rFonts w:asciiTheme="minorHAnsi" w:hAnsiTheme="minorHAnsi"/>
          <w:sz w:val="22"/>
        </w:rPr>
        <w:t xml:space="preserve"> analysis of goal-scoring </w:t>
      </w:r>
      <w:r>
        <w:rPr>
          <w:rFonts w:asciiTheme="minorHAnsi" w:hAnsiTheme="minorHAnsi"/>
          <w:sz w:val="22"/>
        </w:rPr>
        <w:t>with</w:t>
      </w:r>
      <w:r w:rsidRPr="00791CD8">
        <w:rPr>
          <w:rFonts w:asciiTheme="minorHAnsi" w:hAnsiTheme="minorHAnsi"/>
          <w:sz w:val="22"/>
        </w:rPr>
        <w:t>in these leagues</w:t>
      </w:r>
      <w:r>
        <w:rPr>
          <w:rFonts w:asciiTheme="minorHAnsi" w:hAnsiTheme="minorHAnsi"/>
          <w:sz w:val="22"/>
        </w:rPr>
        <w:t>. The data is collected from the PLL and NLL website. Specifically, all games played in the 2021-2022 season.</w:t>
      </w:r>
      <w:r>
        <w:rPr>
          <w:rFonts w:asciiTheme="minorHAnsi" w:hAnsiTheme="minorHAnsi"/>
          <w:sz w:val="22"/>
        </w:rPr>
        <w:t xml:space="preserve"> Below is some summary information for these data.</w: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6E61E8" w:rsidRPr="00523856" w14:paraId="148E162D" w14:textId="77777777" w:rsidTr="00221964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D33ADF" w14:textId="77777777" w:rsidR="006E61E8" w:rsidRPr="00523856" w:rsidRDefault="006E61E8" w:rsidP="0022196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8659ED" w14:textId="77777777" w:rsidR="006E61E8" w:rsidRPr="00523856" w:rsidRDefault="006E61E8" w:rsidP="00221964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349591" w14:textId="77777777" w:rsidR="006E61E8" w:rsidRPr="00523856" w:rsidRDefault="006E61E8" w:rsidP="00221964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5AA58E" w14:textId="77777777" w:rsidR="006E61E8" w:rsidRPr="00523856" w:rsidRDefault="006E61E8" w:rsidP="00221964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</w:p>
        </w:tc>
      </w:tr>
      <w:tr w:rsidR="006E61E8" w:rsidRPr="00523856" w14:paraId="117A213D" w14:textId="77777777" w:rsidTr="00221964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F56ACE" w14:textId="77777777" w:rsidR="006E61E8" w:rsidRPr="00523856" w:rsidRDefault="006E61E8" w:rsidP="00221964">
            <w:pPr>
              <w:autoSpaceDE w:val="0"/>
              <w:autoSpaceDN w:val="0"/>
              <w:adjustRightInd w:val="0"/>
              <w:rPr>
                <w:rFonts w:ascii="system-ui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0F2BFD" w14:textId="77777777" w:rsidR="006E61E8" w:rsidRPr="00523856" w:rsidRDefault="006E61E8" w:rsidP="00221964">
            <w:pPr>
              <w:autoSpaceDE w:val="0"/>
              <w:autoSpaceDN w:val="0"/>
              <w:adjustRightInd w:val="0"/>
              <w:jc w:val="right"/>
              <w:rPr>
                <w:rFonts w:ascii="system-ui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1769DE" w14:textId="77777777" w:rsidR="006E61E8" w:rsidRPr="00523856" w:rsidRDefault="006E61E8" w:rsidP="00221964">
            <w:pPr>
              <w:autoSpaceDE w:val="0"/>
              <w:autoSpaceDN w:val="0"/>
              <w:adjustRightInd w:val="0"/>
              <w:jc w:val="right"/>
              <w:rPr>
                <w:rFonts w:ascii="system-ui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454523" w14:textId="77777777" w:rsidR="006E61E8" w:rsidRPr="00523856" w:rsidRDefault="006E61E8" w:rsidP="00221964">
            <w:pPr>
              <w:autoSpaceDE w:val="0"/>
              <w:autoSpaceDN w:val="0"/>
              <w:adjustRightInd w:val="0"/>
              <w:jc w:val="right"/>
              <w:rPr>
                <w:rFonts w:ascii="system-ui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6E61E8" w:rsidRPr="00523856" w14:paraId="2A25B2DA" w14:textId="77777777" w:rsidTr="00221964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59EC9E" w14:textId="77777777" w:rsidR="006E61E8" w:rsidRPr="00523856" w:rsidRDefault="006E61E8" w:rsidP="00221964">
            <w:pPr>
              <w:autoSpaceDE w:val="0"/>
              <w:autoSpaceDN w:val="0"/>
              <w:adjustRightInd w:val="0"/>
              <w:rPr>
                <w:rFonts w:ascii="system-ui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D71981" w14:textId="77777777" w:rsidR="006E61E8" w:rsidRPr="00523856" w:rsidRDefault="006E61E8" w:rsidP="00221964">
            <w:pPr>
              <w:autoSpaceDE w:val="0"/>
              <w:autoSpaceDN w:val="0"/>
              <w:adjustRightInd w:val="0"/>
              <w:jc w:val="right"/>
              <w:rPr>
                <w:rFonts w:ascii="system-ui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FA34DF" w14:textId="77777777" w:rsidR="006E61E8" w:rsidRPr="00523856" w:rsidRDefault="006E61E8" w:rsidP="00221964">
            <w:pPr>
              <w:autoSpaceDE w:val="0"/>
              <w:autoSpaceDN w:val="0"/>
              <w:adjustRightInd w:val="0"/>
              <w:jc w:val="right"/>
              <w:rPr>
                <w:rFonts w:ascii="system-ui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CAFBAB" w14:textId="77777777" w:rsidR="006E61E8" w:rsidRPr="00523856" w:rsidRDefault="006E61E8" w:rsidP="00221964">
            <w:pPr>
              <w:autoSpaceDE w:val="0"/>
              <w:autoSpaceDN w:val="0"/>
              <w:adjustRightInd w:val="0"/>
              <w:jc w:val="right"/>
              <w:rPr>
                <w:rFonts w:ascii="system-ui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1AFE31EA" w14:textId="06879ED7" w:rsidR="006E61E8" w:rsidRDefault="006E61E8" w:rsidP="006E61E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01A00231" w14:textId="2F4F5B70" w:rsidR="006E61E8" w:rsidRDefault="006E61E8" w:rsidP="006E61E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5039F0AF" w14:textId="5B934816" w:rsidR="006E61E8" w:rsidRDefault="006E61E8" w:rsidP="006E61E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6FD5E7E1" w14:textId="77777777" w:rsidR="006E61E8" w:rsidRPr="000C6B64" w:rsidRDefault="006E61E8" w:rsidP="006E61E8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 xml:space="preserve">Identify both </w:t>
      </w:r>
      <w:r>
        <w:rPr>
          <w:rFonts w:asciiTheme="minorHAnsi" w:hAnsiTheme="minorHAnsi"/>
          <w:sz w:val="22"/>
        </w:rPr>
        <w:t xml:space="preserve">the </w:t>
      </w:r>
      <w:r w:rsidRPr="005629F3">
        <w:rPr>
          <w:rFonts w:asciiTheme="minorHAnsi" w:hAnsiTheme="minorHAnsi"/>
          <w:sz w:val="22"/>
        </w:rPr>
        <w:t>variables in this data</w:t>
      </w:r>
      <w:r>
        <w:rPr>
          <w:rFonts w:asciiTheme="minorHAnsi" w:hAnsiTheme="minorHAnsi"/>
          <w:sz w:val="22"/>
        </w:rPr>
        <w:t>. For any numerical variables, denote the units and for categorical variables, list the levels.</w:t>
      </w:r>
    </w:p>
    <w:p w14:paraId="67B3E3FF" w14:textId="4C4F3414" w:rsidR="006E61E8" w:rsidRDefault="006E61E8">
      <w:pPr>
        <w:tabs>
          <w:tab w:val="left" w:pos="5040"/>
        </w:tabs>
        <w:rPr>
          <w:rFonts w:ascii="Arial" w:hAnsi="Arial" w:cs="Arial"/>
          <w:b/>
          <w:bCs/>
          <w:sz w:val="24"/>
        </w:rPr>
      </w:pPr>
    </w:p>
    <w:p w14:paraId="158DC101" w14:textId="7A31FFC1" w:rsidR="006E61E8" w:rsidRDefault="006E61E8">
      <w:pPr>
        <w:tabs>
          <w:tab w:val="left" w:pos="5040"/>
        </w:tabs>
        <w:rPr>
          <w:rFonts w:ascii="Arial" w:hAnsi="Arial" w:cs="Arial"/>
          <w:b/>
          <w:bCs/>
          <w:sz w:val="24"/>
        </w:rPr>
      </w:pPr>
    </w:p>
    <w:p w14:paraId="1FEFB189" w14:textId="534F3CBB" w:rsidR="008C11AC" w:rsidRPr="008C11AC" w:rsidRDefault="006E61E8" w:rsidP="008C11A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Suppose you are interested in using these data to determine if there is evidence that</w:t>
      </w:r>
      <w:r w:rsidRPr="005E5F90">
        <w:rPr>
          <w:rFonts w:asciiTheme="minorHAnsi" w:hAnsiTheme="minorHAnsi"/>
          <w:sz w:val="22"/>
        </w:rPr>
        <w:t>, on average, goals scored in the PLL and NLL differ</w:t>
      </w:r>
      <w:r>
        <w:rPr>
          <w:rFonts w:asciiTheme="minorHAnsi" w:hAnsiTheme="minorHAnsi"/>
          <w:sz w:val="22"/>
        </w:rPr>
        <w:t>.</w:t>
      </w:r>
      <w:r w:rsidR="008C11AC" w:rsidRPr="008C11AC">
        <w:rPr>
          <w:rFonts w:asciiTheme="minorHAnsi" w:hAnsiTheme="minorHAnsi"/>
          <w:sz w:val="22"/>
        </w:rPr>
        <w:t xml:space="preserve"> </w:t>
      </w:r>
      <w:r w:rsidR="008C11AC" w:rsidRPr="008C11AC">
        <w:rPr>
          <w:rFonts w:asciiTheme="minorHAnsi" w:hAnsiTheme="minorHAnsi"/>
          <w:sz w:val="22"/>
        </w:rPr>
        <w:t xml:space="preserve">We say the difference is statistically significant if it is larger than we would reasonably expect to see by random chance alone.  </w:t>
      </w:r>
      <w:r w:rsidR="008C11AC">
        <w:rPr>
          <w:rFonts w:asciiTheme="minorHAnsi" w:hAnsiTheme="minorHAnsi"/>
          <w:sz w:val="22"/>
        </w:rPr>
        <w:t>We will start addressing this by setting up a randomization test for the difference in means.</w:t>
      </w:r>
    </w:p>
    <w:p w14:paraId="3BA01EB0" w14:textId="77777777" w:rsidR="006E61E8" w:rsidRDefault="006E61E8" w:rsidP="006E61E8">
      <w:pPr>
        <w:pStyle w:val="ListParagraph"/>
        <w:ind w:left="360"/>
        <w:rPr>
          <w:rFonts w:asciiTheme="minorHAnsi" w:hAnsiTheme="minorHAnsi"/>
          <w:sz w:val="22"/>
        </w:rPr>
      </w:pPr>
    </w:p>
    <w:p w14:paraId="02938D72" w14:textId="62739E81" w:rsidR="008C11AC" w:rsidRDefault="008C11AC" w:rsidP="008C11A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For the observed data, how much do scoring rates between the leagues differ?</w:t>
      </w:r>
    </w:p>
    <w:p w14:paraId="0894B47A" w14:textId="77777777" w:rsidR="008C11AC" w:rsidRDefault="008C11AC" w:rsidP="008C11AC">
      <w:pPr>
        <w:pStyle w:val="ListParagraph"/>
        <w:spacing w:before="100" w:beforeAutospacing="1" w:after="100" w:afterAutospacing="1"/>
        <w:rPr>
          <w:rFonts w:asciiTheme="minorHAnsi" w:hAnsiTheme="minorHAnsi"/>
          <w:sz w:val="22"/>
        </w:rPr>
      </w:pPr>
    </w:p>
    <w:p w14:paraId="7489B863" w14:textId="33FEBE15" w:rsidR="008C11AC" w:rsidRDefault="008C11AC" w:rsidP="008C11A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Suppose for a minute that we replayed the 2021-2022 season. Why should we not expect the average scoring rate for NLL to be 22.262 again?</w:t>
      </w:r>
    </w:p>
    <w:p w14:paraId="07A664E3" w14:textId="77777777" w:rsidR="008C11AC" w:rsidRDefault="008C11AC" w:rsidP="008C11AC">
      <w:pPr>
        <w:pStyle w:val="ListParagraph"/>
        <w:spacing w:before="100" w:beforeAutospacing="1" w:after="100" w:afterAutospacing="1"/>
        <w:rPr>
          <w:rFonts w:asciiTheme="minorHAnsi" w:hAnsiTheme="minorHAnsi"/>
          <w:sz w:val="22"/>
        </w:rPr>
      </w:pPr>
    </w:p>
    <w:p w14:paraId="063D28BD" w14:textId="77777777" w:rsidR="00BC5951" w:rsidRDefault="00BC5951" w:rsidP="008C11A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If, in general, PLL and NLL did have different scoring rates, how would the average number of goals compare between the two leagues?</w:t>
      </w:r>
    </w:p>
    <w:p w14:paraId="73509F24" w14:textId="77777777" w:rsidR="00BC5951" w:rsidRPr="00BC5951" w:rsidRDefault="00BC5951" w:rsidP="00BC5951">
      <w:pPr>
        <w:pStyle w:val="ListParagraph"/>
        <w:rPr>
          <w:rFonts w:asciiTheme="minorHAnsi" w:hAnsiTheme="minorHAnsi"/>
          <w:sz w:val="22"/>
        </w:rPr>
      </w:pPr>
    </w:p>
    <w:p w14:paraId="67B3214C" w14:textId="77777777" w:rsidR="00BC5951" w:rsidRDefault="008C11AC" w:rsidP="00BC5951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If</w:t>
      </w:r>
      <w:r w:rsidR="00BC5951">
        <w:rPr>
          <w:rFonts w:asciiTheme="minorHAnsi" w:hAnsiTheme="minorHAnsi"/>
          <w:sz w:val="22"/>
        </w:rPr>
        <w:t xml:space="preserve">, in general, </w:t>
      </w:r>
      <w:r>
        <w:rPr>
          <w:rFonts w:asciiTheme="minorHAnsi" w:hAnsiTheme="minorHAnsi"/>
          <w:sz w:val="22"/>
        </w:rPr>
        <w:t xml:space="preserve">PLL and NLL did not </w:t>
      </w:r>
      <w:r w:rsidR="00BC5951">
        <w:rPr>
          <w:rFonts w:asciiTheme="minorHAnsi" w:hAnsiTheme="minorHAnsi"/>
          <w:sz w:val="22"/>
        </w:rPr>
        <w:t xml:space="preserve">have </w:t>
      </w:r>
      <w:r>
        <w:rPr>
          <w:rFonts w:asciiTheme="minorHAnsi" w:hAnsiTheme="minorHAnsi"/>
          <w:sz w:val="22"/>
        </w:rPr>
        <w:t>differ</w:t>
      </w:r>
      <w:r w:rsidR="00BC5951">
        <w:rPr>
          <w:rFonts w:asciiTheme="minorHAnsi" w:hAnsiTheme="minorHAnsi"/>
          <w:sz w:val="22"/>
        </w:rPr>
        <w:t>ent scoring rates</w:t>
      </w:r>
      <w:r>
        <w:rPr>
          <w:rFonts w:asciiTheme="minorHAnsi" w:hAnsiTheme="minorHAnsi"/>
          <w:sz w:val="22"/>
        </w:rPr>
        <w:t>,</w:t>
      </w:r>
      <w:r w:rsidR="00BC5951">
        <w:rPr>
          <w:rFonts w:asciiTheme="minorHAnsi" w:hAnsiTheme="minorHAnsi"/>
          <w:sz w:val="22"/>
        </w:rPr>
        <w:t xml:space="preserve"> how would the average number of goals compare between the two leagues? Why would you not expect them to be exactly the same?</w:t>
      </w:r>
    </w:p>
    <w:p w14:paraId="5E113C2C" w14:textId="77777777" w:rsidR="00BC5951" w:rsidRPr="00BC5951" w:rsidRDefault="00BC5951" w:rsidP="00BC5951">
      <w:pPr>
        <w:pStyle w:val="ListParagraph"/>
        <w:rPr>
          <w:rFonts w:asciiTheme="minorHAnsi" w:hAnsiTheme="minorHAnsi"/>
          <w:sz w:val="22"/>
        </w:rPr>
      </w:pPr>
    </w:p>
    <w:p w14:paraId="25213202" w14:textId="7F2931AE" w:rsidR="006E61E8" w:rsidRPr="00BC5951" w:rsidRDefault="00BC5951" w:rsidP="00BC5951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 general, w</w:t>
      </w:r>
      <w:r w:rsidR="008C11AC" w:rsidRPr="00BC5951">
        <w:rPr>
          <w:rFonts w:asciiTheme="minorHAnsi" w:hAnsiTheme="minorHAnsi"/>
          <w:sz w:val="22"/>
        </w:rPr>
        <w:t xml:space="preserve">e say </w:t>
      </w:r>
      <w:r>
        <w:rPr>
          <w:rFonts w:asciiTheme="minorHAnsi" w:hAnsiTheme="minorHAnsi"/>
          <w:sz w:val="22"/>
        </w:rPr>
        <w:t>that a</w:t>
      </w:r>
      <w:r w:rsidR="008C11AC" w:rsidRPr="00BC5951">
        <w:rPr>
          <w:rFonts w:asciiTheme="minorHAnsi" w:hAnsiTheme="minorHAnsi"/>
          <w:sz w:val="22"/>
        </w:rPr>
        <w:t xml:space="preserve"> difference is statistically significant if it is larger than we would reasonably expect to see by random chance alone.  </w:t>
      </w:r>
      <w:bookmarkStart w:id="0" w:name="_GoBack"/>
      <w:bookmarkEnd w:id="0"/>
    </w:p>
    <w:sectPr w:rsidR="006E61E8" w:rsidRPr="00BC5951" w:rsidSect="006E61E8">
      <w:footerReference w:type="even" r:id="rId9"/>
      <w:footerReference w:type="default" r:id="rId10"/>
      <w:headerReference w:type="first" r:id="rId11"/>
      <w:pgSz w:w="12240" w:h="15840"/>
      <w:pgMar w:top="1440" w:right="1080" w:bottom="1440" w:left="108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3A136" w14:textId="77777777" w:rsidR="00D7461F" w:rsidRDefault="00D7461F">
      <w:r>
        <w:separator/>
      </w:r>
    </w:p>
  </w:endnote>
  <w:endnote w:type="continuationSeparator" w:id="0">
    <w:p w14:paraId="22A09F3E" w14:textId="77777777" w:rsidR="00D7461F" w:rsidRDefault="00D7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6F194" w14:textId="77777777" w:rsidR="00130A18" w:rsidRDefault="00130A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EEAAA2" w14:textId="77777777" w:rsidR="00130A18" w:rsidRDefault="00130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0456E" w14:textId="77777777" w:rsidR="00130A18" w:rsidRDefault="00130A18" w:rsidP="00F538A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E80D6" w14:textId="77777777" w:rsidR="00D7461F" w:rsidRDefault="00D7461F">
      <w:r>
        <w:separator/>
      </w:r>
    </w:p>
  </w:footnote>
  <w:footnote w:type="continuationSeparator" w:id="0">
    <w:p w14:paraId="123603D3" w14:textId="77777777" w:rsidR="00D7461F" w:rsidRDefault="00D74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6FB6E" w14:textId="6A2F7F43" w:rsidR="006E61E8" w:rsidRDefault="006E61E8" w:rsidP="006E61E8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Two-Sample </w:t>
    </w:r>
    <w:r>
      <w:rPr>
        <w:rFonts w:asciiTheme="minorHAnsi" w:hAnsiTheme="minorHAnsi"/>
        <w:b/>
      </w:rPr>
      <w:t>Randomization</w:t>
    </w:r>
    <w:r>
      <w:rPr>
        <w:rFonts w:asciiTheme="minorHAnsi" w:hAnsiTheme="minorHAnsi"/>
        <w:b/>
      </w:rPr>
      <w:t xml:space="preserve"> methods</w:t>
    </w:r>
  </w:p>
  <w:p w14:paraId="13557BDB" w14:textId="77777777" w:rsidR="006E61E8" w:rsidRDefault="006E6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6E7C"/>
    <w:multiLevelType w:val="hybridMultilevel"/>
    <w:tmpl w:val="0E2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C10C7"/>
    <w:multiLevelType w:val="hybridMultilevel"/>
    <w:tmpl w:val="969660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061308B"/>
    <w:multiLevelType w:val="hybridMultilevel"/>
    <w:tmpl w:val="1AE6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D04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244DF7"/>
    <w:multiLevelType w:val="hybridMultilevel"/>
    <w:tmpl w:val="9D6246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55189"/>
    <w:multiLevelType w:val="hybridMultilevel"/>
    <w:tmpl w:val="5B8EF4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875C9E"/>
    <w:multiLevelType w:val="hybridMultilevel"/>
    <w:tmpl w:val="A142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F4F26"/>
    <w:multiLevelType w:val="hybridMultilevel"/>
    <w:tmpl w:val="642A3924"/>
    <w:lvl w:ilvl="0" w:tplc="6C62875C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81AC4"/>
    <w:multiLevelType w:val="hybridMultilevel"/>
    <w:tmpl w:val="1AFA4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05C31"/>
    <w:multiLevelType w:val="hybridMultilevel"/>
    <w:tmpl w:val="837E225A"/>
    <w:lvl w:ilvl="0" w:tplc="375E7B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19"/>
    <w:rsid w:val="00095CB0"/>
    <w:rsid w:val="000A2E8A"/>
    <w:rsid w:val="000B0D16"/>
    <w:rsid w:val="000C4F89"/>
    <w:rsid w:val="000C7568"/>
    <w:rsid w:val="00110C9D"/>
    <w:rsid w:val="00130A18"/>
    <w:rsid w:val="00136EFE"/>
    <w:rsid w:val="0018202B"/>
    <w:rsid w:val="00193BBC"/>
    <w:rsid w:val="00195435"/>
    <w:rsid w:val="001C74E9"/>
    <w:rsid w:val="001F1D73"/>
    <w:rsid w:val="002019D9"/>
    <w:rsid w:val="00217D0E"/>
    <w:rsid w:val="00224677"/>
    <w:rsid w:val="002E583B"/>
    <w:rsid w:val="002F7573"/>
    <w:rsid w:val="003036E6"/>
    <w:rsid w:val="00331376"/>
    <w:rsid w:val="00356F8B"/>
    <w:rsid w:val="003D0222"/>
    <w:rsid w:val="003E3713"/>
    <w:rsid w:val="003E3B5D"/>
    <w:rsid w:val="003F043D"/>
    <w:rsid w:val="004001B0"/>
    <w:rsid w:val="00407052"/>
    <w:rsid w:val="00453470"/>
    <w:rsid w:val="00460FF0"/>
    <w:rsid w:val="004727BA"/>
    <w:rsid w:val="0053128F"/>
    <w:rsid w:val="00547D19"/>
    <w:rsid w:val="00554C1F"/>
    <w:rsid w:val="005C0AC1"/>
    <w:rsid w:val="005E74DE"/>
    <w:rsid w:val="006744AA"/>
    <w:rsid w:val="00677FDB"/>
    <w:rsid w:val="006B3F39"/>
    <w:rsid w:val="006C02E4"/>
    <w:rsid w:val="006C1600"/>
    <w:rsid w:val="006C6F01"/>
    <w:rsid w:val="006E61E8"/>
    <w:rsid w:val="006F418A"/>
    <w:rsid w:val="00703661"/>
    <w:rsid w:val="007524AB"/>
    <w:rsid w:val="0076697B"/>
    <w:rsid w:val="00776FBD"/>
    <w:rsid w:val="00786F1A"/>
    <w:rsid w:val="007B27D4"/>
    <w:rsid w:val="00814FF8"/>
    <w:rsid w:val="00817767"/>
    <w:rsid w:val="008310DD"/>
    <w:rsid w:val="00845E0E"/>
    <w:rsid w:val="008A078E"/>
    <w:rsid w:val="008C11AC"/>
    <w:rsid w:val="008C2DA2"/>
    <w:rsid w:val="008C5192"/>
    <w:rsid w:val="008E644C"/>
    <w:rsid w:val="00914343"/>
    <w:rsid w:val="00915ADE"/>
    <w:rsid w:val="00923CB3"/>
    <w:rsid w:val="0092682F"/>
    <w:rsid w:val="00926974"/>
    <w:rsid w:val="00935EC0"/>
    <w:rsid w:val="00976467"/>
    <w:rsid w:val="00980712"/>
    <w:rsid w:val="009C041F"/>
    <w:rsid w:val="009D1CAD"/>
    <w:rsid w:val="009D47A6"/>
    <w:rsid w:val="009F1E0F"/>
    <w:rsid w:val="00A26CCA"/>
    <w:rsid w:val="00A408DC"/>
    <w:rsid w:val="00A52B68"/>
    <w:rsid w:val="00A663ED"/>
    <w:rsid w:val="00A664F4"/>
    <w:rsid w:val="00A8700D"/>
    <w:rsid w:val="00AE0482"/>
    <w:rsid w:val="00AF061B"/>
    <w:rsid w:val="00AF2DCF"/>
    <w:rsid w:val="00B122E6"/>
    <w:rsid w:val="00B15B0B"/>
    <w:rsid w:val="00B1761A"/>
    <w:rsid w:val="00B26F93"/>
    <w:rsid w:val="00BC4C5C"/>
    <w:rsid w:val="00BC5951"/>
    <w:rsid w:val="00BF40C8"/>
    <w:rsid w:val="00C00403"/>
    <w:rsid w:val="00C01A5F"/>
    <w:rsid w:val="00C53F1D"/>
    <w:rsid w:val="00C86485"/>
    <w:rsid w:val="00CA78B4"/>
    <w:rsid w:val="00CA7914"/>
    <w:rsid w:val="00CB5334"/>
    <w:rsid w:val="00CE0286"/>
    <w:rsid w:val="00D043D6"/>
    <w:rsid w:val="00D13463"/>
    <w:rsid w:val="00D7461F"/>
    <w:rsid w:val="00D87434"/>
    <w:rsid w:val="00DB23D8"/>
    <w:rsid w:val="00E02097"/>
    <w:rsid w:val="00E7272C"/>
    <w:rsid w:val="00E84D9C"/>
    <w:rsid w:val="00EA2CC4"/>
    <w:rsid w:val="00EB0A27"/>
    <w:rsid w:val="00ED1180"/>
    <w:rsid w:val="00F31A0B"/>
    <w:rsid w:val="00F35E73"/>
    <w:rsid w:val="00F36484"/>
    <w:rsid w:val="00F538A4"/>
    <w:rsid w:val="00F821B4"/>
    <w:rsid w:val="00FB1B37"/>
    <w:rsid w:val="00FE6BC9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578FF"/>
  <w15:docId w15:val="{17BB2B6E-7AC2-4C06-8B55-E0C9A34F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5040"/>
      </w:tabs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720"/>
        <w:tab w:val="left" w:pos="5040"/>
      </w:tabs>
    </w:pPr>
    <w:rPr>
      <w:i/>
      <w:iCs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04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28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86F1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6F1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86F1A"/>
    <w:rPr>
      <w:vertAlign w:val="superscript"/>
    </w:rPr>
  </w:style>
  <w:style w:type="table" w:styleId="TableGrid">
    <w:name w:val="Table Grid"/>
    <w:basedOn w:val="TableNormal"/>
    <w:uiPriority w:val="59"/>
    <w:rsid w:val="00193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3BB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E6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0F385-18F4-4CA2-8913-DF89256F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Regression Workshop:  Data Collection Activity</vt:lpstr>
    </vt:vector>
  </TitlesOfParts>
  <Company>St. Lawrence University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Workshop:  Data Collection Activity</dc:title>
  <dc:creator>Robin Lock</dc:creator>
  <cp:lastModifiedBy>Ivan Ramler</cp:lastModifiedBy>
  <cp:revision>4</cp:revision>
  <cp:lastPrinted>2015-05-26T14:54:00Z</cp:lastPrinted>
  <dcterms:created xsi:type="dcterms:W3CDTF">2024-06-06T15:29:00Z</dcterms:created>
  <dcterms:modified xsi:type="dcterms:W3CDTF">2024-06-06T16:31:00Z</dcterms:modified>
</cp:coreProperties>
</file>