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FigureSkatingAnova_Worksheet</w:t>
      </w:r>
    </w:p>
    <w:p>
      <w:pPr>
        <w:pStyle w:val="FirstParagraph"/>
      </w:pPr>
      <w:r>
        <w:t xml:space="preserve">Figure skating is a sport where athletes perform choreographed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rate how well each move is done and how smoothly everything fits with the music. The free skate routine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p>
    <w:p>
      <w:pPr>
        <w:pStyle w:val="Compact"/>
        <w:numPr>
          <w:ilvl w:val="0"/>
          <w:numId w:val="1001"/>
        </w:numPr>
      </w:pPr>
      <w:r>
        <w:t xml:space="preserve">Create a box plot with</w:t>
      </w:r>
      <w:r>
        <w:t xml:space="preserve"> </w:t>
      </w:r>
      <w:r>
        <w:rPr>
          <w:rStyle w:val="VerbatimChar"/>
        </w:rPr>
        <w:t xml:space="preserve">Year</w:t>
      </w:r>
      <w:r>
        <w:t xml:space="preserve"> </w:t>
      </w:r>
      <w:r>
        <w:t xml:space="preserve">on the x-axis and</w:t>
      </w:r>
      <w:r>
        <w:t xml:space="preserve"> </w:t>
      </w:r>
      <w:r>
        <w:rPr>
          <w:rStyle w:val="VerbatimChar"/>
        </w:rPr>
        <w:t xml:space="preserve">TP</w:t>
      </w:r>
      <w:r>
        <w:t xml:space="preserve"> </w:t>
      </w:r>
      <w:r>
        <w:t xml:space="preserve">(Total Points) on the y-axis. Group by Year to get a box plot for each year. Describe what you see.</w:t>
      </w:r>
    </w:p>
    <w:p>
      <w:r>
        <w:pict>
          <v:rect style="width:0;height:1.5pt" o:hralign="center" o:hrstd="t" o:hr="t"/>
        </w:pict>
      </w:r>
    </w:p>
    <w:p>
      <w:pPr>
        <w:pStyle w:val="FirstParagraph"/>
      </w:pPr>
      <w:r>
        <w:t xml:space="preserve">We would like to determine if these means have any statistically significant differences.</w:t>
      </w:r>
    </w:p>
    <w:p>
      <w:pPr>
        <w:numPr>
          <w:ilvl w:val="0"/>
          <w:numId w:val="1002"/>
        </w:numPr>
      </w:pPr>
      <w:r>
        <w:t xml:space="preserve">Explain why</w:t>
      </w:r>
      <w:r>
        <w:t xml:space="preserve"> </w:t>
      </w:r>
      <w:r>
        <w:rPr>
          <w:b/>
          <w:bCs/>
        </w:rPr>
        <w:t xml:space="preserve">One-Way ANOVA</w:t>
      </w:r>
      <w:r>
        <w:t xml:space="preserve"> </w:t>
      </w:r>
      <w:r>
        <w:t xml:space="preserve">may be a good candidate method to use here.</w:t>
      </w:r>
    </w:p>
    <w:p>
      <w:pPr>
        <w:numPr>
          <w:ilvl w:val="0"/>
          <w:numId w:val="1002"/>
        </w:numPr>
      </w:pPr>
      <w:r>
        <w:t xml:space="preserve">Before using ANOVA, we will first need to check for assumptions.</w:t>
      </w:r>
    </w:p>
    <w:p>
      <w:pPr>
        <w:pStyle w:val="FirstParagraph"/>
      </w:pPr>
      <w:r>
        <w:t xml:space="preserve">The 3 assumptions are:</w:t>
      </w:r>
    </w:p>
    <w:p>
      <w:pPr>
        <w:pStyle w:val="Compact"/>
        <w:numPr>
          <w:ilvl w:val="0"/>
          <w:numId w:val="1003"/>
        </w:numPr>
      </w:pPr>
      <w:r>
        <w:rPr>
          <w:b/>
          <w:bCs/>
        </w:rPr>
        <w:t xml:space="preserve">Independence:</w:t>
      </w:r>
      <w:r>
        <w:t xml:space="preserve"> </w:t>
      </w:r>
      <w:r>
        <w:t xml:space="preserve">if the samples are collected independently from each other</w:t>
      </w:r>
    </w:p>
    <w:p>
      <w:pPr>
        <w:pStyle w:val="Compact"/>
        <w:numPr>
          <w:ilvl w:val="0"/>
          <w:numId w:val="1003"/>
        </w:numPr>
      </w:pPr>
      <w:r>
        <w:rPr>
          <w:b/>
          <w:bCs/>
        </w:rPr>
        <w:t xml:space="preserve">Normality:</w:t>
      </w:r>
      <w:r>
        <w:t xml:space="preserve"> </w:t>
      </w:r>
      <w:r>
        <w:t xml:space="preserve">if the data is normally distributed (or we have sufficiently large sample sizes such that the Central Limit Theorem holds)</w:t>
      </w:r>
    </w:p>
    <w:p>
      <w:pPr>
        <w:pStyle w:val="Compact"/>
        <w:numPr>
          <w:ilvl w:val="0"/>
          <w:numId w:val="1003"/>
        </w:numPr>
      </w:pPr>
      <w:r>
        <w:rPr>
          <w:b/>
          <w:bCs/>
        </w:rPr>
        <w:t xml:space="preserve">Constant Variance:</w:t>
      </w:r>
      <w:r>
        <w:t xml:space="preserve"> </w:t>
      </w:r>
      <w:r>
        <w:t xml:space="preserve">if the difference between observed and predicted values is equal among data points.</w:t>
      </w:r>
    </w:p>
    <w:p>
      <w:pPr>
        <w:pStyle w:val="FirstParagraph"/>
      </w:pPr>
      <w:r>
        <w:t xml:space="preserve">Evaluate the three assumptions. Use your boxplots to assist. You may also want to investigate the data directly (paying close attention to the names of the skaters).</w:t>
      </w:r>
    </w:p>
    <w:p>
      <w:r>
        <w:pict>
          <v:rect style="width:0;height:1.5pt" o:hralign="center" o:hrstd="t" o:hr="t"/>
        </w:pict>
      </w:r>
    </w:p>
    <w:p>
      <w:pPr>
        <w:pStyle w:val="Compact"/>
        <w:numPr>
          <w:ilvl w:val="0"/>
          <w:numId w:val="1004"/>
        </w:numPr>
      </w:pPr>
      <w:r>
        <w:t xml:space="preserve">Regardless of your evaluation of the assumptions, we will perform the ANOVA hypothesis test - recognizing that it may not be perfect, but it is still potentially informative.</w:t>
      </w:r>
    </w:p>
    <w:p>
      <w:pPr>
        <w:numPr>
          <w:ilvl w:val="0"/>
          <w:numId w:val="1005"/>
        </w:numPr>
      </w:pPr>
      <w:r>
        <w:t xml:space="preserve">State the null hypothesis and alternative hypotheses</w:t>
      </w:r>
    </w:p>
    <w:p>
      <w:pPr>
        <w:numPr>
          <w:ilvl w:val="0"/>
          <w:numId w:val="1005"/>
        </w:numPr>
      </w:pPr>
      <w:r>
        <w:t xml:space="preserve">Perform an ANOVA hypothesis test to determine if there are any statistically significant differences in</w:t>
      </w:r>
      <w:r>
        <w:t xml:space="preserve"> </w:t>
      </w:r>
      <w:r>
        <w:rPr>
          <w:rStyle w:val="VerbatimChar"/>
        </w:rPr>
        <w:t xml:space="preserve">TP</w:t>
      </w:r>
      <w:r>
        <w:t xml:space="preserve"> </w:t>
      </w:r>
      <w:r>
        <w:t xml:space="preserve">(Total Points) between the years using the aov() function. You will need to change</w:t>
      </w:r>
      <w:r>
        <w:t xml:space="preserve"> </w:t>
      </w:r>
      <w:r>
        <w:rPr>
          <w:rStyle w:val="VerbatimChar"/>
        </w:rPr>
        <w:t xml:space="preserve">Year</w:t>
      </w:r>
      <w:r>
        <w:t xml:space="preserve"> </w:t>
      </w:r>
      <w:r>
        <w:t xml:space="preserve">to a factor.</w:t>
      </w:r>
    </w:p>
    <w:p>
      <w:pPr>
        <w:numPr>
          <w:ilvl w:val="0"/>
          <w:numId w:val="1005"/>
        </w:numPr>
      </w:pPr>
      <w:r>
        <w:t xml:space="preserve">Report the F-Statistic, degrees of freedom, and p-value.</w:t>
      </w:r>
    </w:p>
    <w:p>
      <w:pPr>
        <w:numPr>
          <w:ilvl w:val="0"/>
          <w:numId w:val="1005"/>
        </w:numPr>
      </w:pPr>
      <w:r>
        <w:t xml:space="preserve">Use the p-value to make a conclusion.</w:t>
      </w:r>
    </w:p>
    <w:p>
      <w:r>
        <w:pict>
          <v:rect style="width:0;height:1.5pt" o:hralign="center" o:hrstd="t" o:hr="t"/>
        </w:pict>
      </w:r>
    </w:p>
    <w:p>
      <w:pPr>
        <w:pStyle w:val="Compact"/>
        <w:numPr>
          <w:ilvl w:val="0"/>
          <w:numId w:val="1006"/>
        </w:numPr>
      </w:pPr>
      <w:r>
        <w:t xml:space="preserve">In order to find out what years are statistically discernable from each other we can perform a Post Hoc Tukey Test.</w:t>
      </w:r>
    </w:p>
    <w:p>
      <w:pPr>
        <w:pStyle w:val="FirstParagraph"/>
      </w:pPr>
      <w:r>
        <w:t xml:space="preserve">Perform a Post Hoc Tukey test using the</w:t>
      </w:r>
      <w:r>
        <w:t xml:space="preserve"> </w:t>
      </w:r>
      <w:r>
        <w:rPr>
          <w:rStyle w:val="VerbatimChar"/>
        </w:rPr>
        <w:t xml:space="preserve">TukeyHSD()</w:t>
      </w:r>
      <w:r>
        <w:t xml:space="preserve"> </w:t>
      </w:r>
      <w:r>
        <w:t xml:space="preserve">function to determine between which years there is a statistically significant difference in scoring. Report those years. Also report the years that are not significant.</w:t>
      </w:r>
    </w:p>
    <w:p>
      <w:pPr>
        <w:pStyle w:val="Compact"/>
        <w:numPr>
          <w:ilvl w:val="0"/>
          <w:numId w:val="1007"/>
        </w:numPr>
      </w:pPr>
      <w:r>
        <w:t xml:space="preserve">The Tukey Test also provides a confidence interval.</w:t>
      </w:r>
    </w:p>
    <w:p>
      <w:pPr>
        <w:pStyle w:val="FirstParagraph"/>
      </w:pPr>
      <w:r>
        <w:t xml:space="preserve">Interpret the confidence interval for 2022 and 2014 comparison in the context of this data situation.</w:t>
      </w:r>
    </w:p>
    <w:p>
      <w:r>
        <w:pict>
          <v:rect style="width:0;height:1.5pt" o:hralign="center" o:hrstd="t" o:hr="t"/>
        </w:pict>
      </w:r>
    </w:p>
    <w:p>
      <w:pPr>
        <w:pStyle w:val="Compact"/>
        <w:numPr>
          <w:ilvl w:val="0"/>
          <w:numId w:val="1008"/>
        </w:numPr>
      </w:pPr>
      <w:r>
        <w:t xml:space="preserve">Optional: Compact Letter Displays</w:t>
      </w:r>
    </w:p>
    <w:p>
      <w:pPr>
        <w:pStyle w:val="FirstParagraph"/>
      </w:pPr>
      <w:r>
        <w:t xml:space="preserve">A</w:t>
      </w:r>
      <w:r>
        <w:t xml:space="preserve"> </w:t>
      </w:r>
      <w:r>
        <w:rPr>
          <w:b/>
          <w:bCs/>
        </w:rPr>
        <w:t xml:space="preserve">pairwise comparison</w:t>
      </w:r>
      <w:r>
        <w:t xml:space="preserve"> </w:t>
      </w:r>
      <w:r>
        <w:t xml:space="preserve">is used to test whether differences between group means are statistically significant. In our case, each</w:t>
      </w:r>
      <w:r>
        <w:t xml:space="preserve"> </w:t>
      </w:r>
      <w:r>
        <w:rPr>
          <w:b/>
          <w:bCs/>
        </w:rPr>
        <w:t xml:space="preserve">year</w:t>
      </w:r>
      <w:r>
        <w:t xml:space="preserve"> </w:t>
      </w:r>
      <w:r>
        <w:t xml:space="preserve">represents a group. After running a post-hoc test like</w:t>
      </w:r>
      <w:r>
        <w:t xml:space="preserve"> </w:t>
      </w:r>
      <w:r>
        <w:rPr>
          <w:rStyle w:val="VerbatimChar"/>
        </w:rPr>
        <w:t xml:space="preserve">TukeyHSD()</w:t>
      </w:r>
      <w:r>
        <w:t xml:space="preserve">, we often summarize the results using</w:t>
      </w:r>
      <w:r>
        <w:t xml:space="preserve"> </w:t>
      </w:r>
      <w:r>
        <w:rPr>
          <w:b/>
          <w:bCs/>
        </w:rPr>
        <w:t xml:space="preserve">letters</w:t>
      </w:r>
      <w:r>
        <w:t xml:space="preserve">:</w:t>
      </w:r>
    </w:p>
    <w:p>
      <w:pPr>
        <w:pStyle w:val="Compact"/>
        <w:numPr>
          <w:ilvl w:val="0"/>
          <w:numId w:val="1009"/>
        </w:numPr>
      </w:pPr>
      <w:r>
        <w:rPr>
          <w:b/>
          <w:bCs/>
        </w:rPr>
        <w:t xml:space="preserve">Groups that share a letter have means that are</w:t>
      </w:r>
      <w:r>
        <w:rPr>
          <w:b/>
          <w:bCs/>
        </w:rPr>
        <w:t xml:space="preserve"> </w:t>
      </w:r>
      <w:r>
        <w:rPr>
          <w:b/>
          <w:bCs/>
          <w:i/>
          <w:iCs/>
        </w:rPr>
        <w:t xml:space="preserve">not</w:t>
      </w:r>
      <w:r>
        <w:rPr>
          <w:b/>
          <w:bCs/>
        </w:rPr>
        <w:t xml:space="preserve"> </w:t>
      </w:r>
      <w:r>
        <w:rPr>
          <w:b/>
          <w:bCs/>
        </w:rPr>
        <w:t xml:space="preserve">statistically significantly different.</w:t>
      </w:r>
    </w:p>
    <w:p>
      <w:pPr>
        <w:pStyle w:val="Compact"/>
        <w:numPr>
          <w:ilvl w:val="0"/>
          <w:numId w:val="1009"/>
        </w:numPr>
      </w:pPr>
      <w:r>
        <w:rPr>
          <w:b/>
          <w:bCs/>
        </w:rPr>
        <w:t xml:space="preserve">Groups that do</w:t>
      </w:r>
      <w:r>
        <w:rPr>
          <w:b/>
          <w:bCs/>
        </w:rPr>
        <w:t xml:space="preserve"> </w:t>
      </w:r>
      <w:r>
        <w:rPr>
          <w:b/>
          <w:bCs/>
          <w:i/>
          <w:iCs/>
        </w:rPr>
        <w:t xml:space="preserve">not</w:t>
      </w:r>
      <w:r>
        <w:rPr>
          <w:b/>
          <w:bCs/>
        </w:rPr>
        <w:t xml:space="preserve"> </w:t>
      </w:r>
      <w:r>
        <w:rPr>
          <w:b/>
          <w:bCs/>
        </w:rPr>
        <w:t xml:space="preserve">share a letter have means that are statistically significantly different.</w:t>
      </w:r>
    </w:p>
    <w:p>
      <w:pPr>
        <w:pStyle w:val="FirstParagraph"/>
      </w:pPr>
      <w:r>
        <w:t xml:space="preserve">This system of labeling is called a</w:t>
      </w:r>
      <w:r>
        <w:t xml:space="preserve"> </w:t>
      </w:r>
      <w:r>
        <w:rPr>
          <w:b/>
          <w:bCs/>
        </w:rPr>
        <w:t xml:space="preserve">compact letter display</w:t>
      </w:r>
      <w:r>
        <w:t xml:space="preserve">. It helps us quickly interpret which groups are different based on the test results.</w:t>
      </w:r>
    </w:p>
    <w:p>
      <w:pPr>
        <w:pStyle w:val="BodyText"/>
      </w:pPr>
      <w:r>
        <w:rPr>
          <w:b/>
          <w:bCs/>
        </w:rPr>
        <w:t xml:space="preserve">Ordering the Groups</w:t>
      </w:r>
    </w:p>
    <w:p>
      <w:pPr>
        <w:pStyle w:val="BodyText"/>
      </w:pPr>
      <w:r>
        <w:t xml:space="preserve">Compact letter displays are typically presented in a logical order, most often by ordering groups according to the</w:t>
      </w:r>
      <w:r>
        <w:t xml:space="preserve"> </w:t>
      </w:r>
      <w:r>
        <w:rPr>
          <w:b/>
          <w:bCs/>
        </w:rPr>
        <w:t xml:space="preserve">sample</w:t>
      </w:r>
      <w:r>
        <w:t xml:space="preserve"> </w:t>
      </w:r>
      <w:r>
        <w:rPr>
          <w:b/>
          <w:bCs/>
        </w:rPr>
        <w:t xml:space="preserve">mean response</w:t>
      </w:r>
      <w:r>
        <w:t xml:space="preserve"> </w:t>
      </w:r>
      <w:r>
        <w:t xml:space="preserve">in</w:t>
      </w:r>
      <w:r>
        <w:t xml:space="preserve"> </w:t>
      </w:r>
      <w:r>
        <w:rPr>
          <w:b/>
          <w:bCs/>
        </w:rPr>
        <w:t xml:space="preserve">descending order</w:t>
      </w:r>
      <w:r>
        <w:t xml:space="preserve">.</w:t>
      </w:r>
    </w:p>
    <w:p>
      <w:pPr>
        <w:pStyle w:val="Compact"/>
        <w:numPr>
          <w:ilvl w:val="0"/>
          <w:numId w:val="1010"/>
        </w:numPr>
      </w:pPr>
      <w:r>
        <w:t xml:space="preserve">Start by filling in the first two columns of this table. Remember to order the groups according to the sample mean Total Points (</w:t>
      </w:r>
      <w:r>
        <w:rPr>
          <w:rStyle w:val="VerbatimChar"/>
        </w:rPr>
        <w:t xml:space="preserve">TP</w:t>
      </w:r>
      <w:r>
        <w:t xml:space="preserve">) in descending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Mean Total Points (</w:t>
            </w:r>
            <w:r>
              <w:rPr>
                <w:rStyle w:val="VerbatimChar"/>
              </w:rPr>
              <w:t xml:space="preserve">TP</w:t>
            </w:r>
            <w:r>
              <w:t xml:space="preserve">)</w:t>
            </w:r>
          </w:p>
        </w:tc>
        <w:tc>
          <w:tcPr/>
          <w:p>
            <w:pPr>
              <w:pStyle w:val="Compact"/>
            </w:pPr>
            <w:r>
              <w:t xml:space="preserve">Group (Letter)</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Compact"/>
        <w:numPr>
          <w:ilvl w:val="0"/>
          <w:numId w:val="1011"/>
        </w:numPr>
      </w:pPr>
      <w:r>
        <w:t xml:space="preserve">To make the rest of the table, we will compare the statistical significance between each of pair of years. If it is not significant, both years gets a letter (following abcd… order). Use a 5% level of significance.</w:t>
      </w:r>
    </w:p>
    <w:p>
      <w:pPr>
        <w:pStyle w:val="FirstParagraph"/>
      </w:pPr>
      <w:r>
        <w:t xml:space="preserve">For example, starting with 2022… Any year that is not significant with 2022 gets the letter</w:t>
      </w:r>
      <w:r>
        <w:t xml:space="preserve"> </w:t>
      </w:r>
      <w:r>
        <w:t xml:space="preserve">“a”</w:t>
      </w:r>
      <w:r>
        <w:t xml:space="preserve">. Place a letter</w:t>
      </w:r>
      <w:r>
        <w:t xml:space="preserve"> </w:t>
      </w:r>
      <w:r>
        <w:t xml:space="preserve">“a”</w:t>
      </w:r>
      <w:r>
        <w:t xml:space="preserve"> </w:t>
      </w:r>
      <w:r>
        <w:t xml:space="preserve">at 2022 and 2018 since they are not significant with each other. No other year will have an</w:t>
      </w:r>
      <w:r>
        <w:t xml:space="preserve"> </w:t>
      </w:r>
      <w:r>
        <w:t xml:space="preserve">“a”</w:t>
      </w:r>
      <w:r>
        <w:t xml:space="preserve"> </w:t>
      </w:r>
      <w:r>
        <w:t xml:space="preserve">because they are significant with 2022.</w:t>
      </w:r>
    </w:p>
    <w:p>
      <w:pPr>
        <w:pStyle w:val="BodyText"/>
      </w:pPr>
      <w:r>
        <w:t xml:space="preserve">Then we move to 2018 with the letter</w:t>
      </w:r>
      <w:r>
        <w:t xml:space="preserve"> </w:t>
      </w:r>
      <w:r>
        <w:t xml:space="preserve">“b”</w:t>
      </w:r>
      <w:r>
        <w:t xml:space="preserve"> </w:t>
      </w:r>
      <w:r>
        <w:t xml:space="preserve">and so on.</w:t>
      </w:r>
    </w:p>
    <w:p>
      <w:pPr>
        <w:pStyle w:val="Compact"/>
        <w:numPr>
          <w:ilvl w:val="0"/>
          <w:numId w:val="1012"/>
        </w:numPr>
      </w:pPr>
      <w:r>
        <w:t xml:space="preserve">After assigning all letters, compare your results to what you found in the previous question when using</w:t>
      </w:r>
      <w:r>
        <w:t xml:space="preserve"> </w:t>
      </w:r>
      <w:r>
        <w:rPr>
          <w:rStyle w:val="VerbatimChar"/>
        </w:rPr>
        <w:t xml:space="preserve">TukeyHSD()</w:t>
      </w:r>
      <w:r>
        <w:t xml:space="preserve">? They should match. If not, double-check your letters!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FigureSkatingAnova_Worksheet</dc:title>
  <dc:creator/>
  <cp:keywords/>
  <dcterms:created xsi:type="dcterms:W3CDTF">2025-06-27T18:29:12Z</dcterms:created>
  <dcterms:modified xsi:type="dcterms:W3CDTF">2025-06-27T18:29:12Z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