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0" w:after="0" w:line="276"/>
        <w:ind w:right="3" w:left="3" w:firstLine="0"/>
        <w:jc w:val="center"/>
        <w:rPr>
          <w:rFonts w:ascii="Calibri" w:hAnsi="Calibri" w:cs="Calibri" w:eastAsia="Calibri"/>
          <w:b/>
          <w:color w:val="365F91"/>
          <w:spacing w:val="-4"/>
          <w:position w:val="0"/>
          <w:sz w:val="28"/>
          <w:shd w:fill="auto" w:val="clear"/>
        </w:rPr>
      </w:pPr>
    </w:p>
    <w:p>
      <w:pPr>
        <w:keepNext w:val="true"/>
        <w:keepLines w:val="true"/>
        <w:spacing w:before="0" w:after="0" w:line="276"/>
        <w:ind w:right="3" w:left="3" w:firstLine="0"/>
        <w:jc w:val="center"/>
        <w:rPr>
          <w:rFonts w:ascii="Calibri" w:hAnsi="Calibri" w:cs="Calibri" w:eastAsia="Calibri"/>
          <w:b/>
          <w:color w:val="365F91"/>
          <w:spacing w:val="0"/>
          <w:position w:val="0"/>
          <w:sz w:val="28"/>
          <w:shd w:fill="auto" w:val="clear"/>
        </w:rPr>
      </w:pPr>
      <w:r>
        <w:rPr>
          <w:rFonts w:ascii="Calibri" w:hAnsi="Calibri" w:cs="Calibri" w:eastAsia="Calibri"/>
          <w:b/>
          <w:color w:val="365F91"/>
          <w:spacing w:val="-4"/>
          <w:position w:val="0"/>
          <w:sz w:val="28"/>
          <w:shd w:fill="auto" w:val="clear"/>
        </w:rPr>
        <w:t xml:space="preserve">NTIC/TLSI</w:t>
      </w:r>
    </w:p>
    <w:p>
      <w:pPr>
        <w:spacing w:before="295" w:after="200" w:line="276"/>
        <w:ind w:right="3" w:left="3" w:firstLine="0"/>
        <w:jc w:val="center"/>
        <w:rPr>
          <w:rFonts w:ascii="Calibri" w:hAnsi="Calibri" w:cs="Calibri" w:eastAsia="Calibri"/>
          <w:color w:val="auto"/>
          <w:spacing w:val="0"/>
          <w:position w:val="0"/>
          <w:sz w:val="22"/>
          <w:shd w:fill="auto" w:val="clear"/>
        </w:rPr>
      </w:pPr>
      <w:r>
        <w:object w:dxaOrig="1700" w:dyaOrig="1680">
          <v:rect xmlns:o="urn:schemas-microsoft-com:office:office" xmlns:v="urn:schemas-microsoft-com:vml" id="rectole0000000000" style="width:85.000000pt;height:8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95" w:after="200" w:line="276"/>
        <w:ind w:right="3" w:left="3" w:firstLine="0"/>
        <w:jc w:val="center"/>
        <w:rPr>
          <w:rFonts w:ascii="Cambria" w:hAnsi="Cambria" w:cs="Cambria" w:eastAsia="Cambria"/>
          <w:b/>
          <w:color w:val="auto"/>
          <w:spacing w:val="0"/>
          <w:position w:val="0"/>
          <w:sz w:val="28"/>
          <w:shd w:fill="auto" w:val="clear"/>
        </w:rPr>
      </w:pPr>
      <w:r>
        <w:rPr>
          <w:rFonts w:ascii="Cambria" w:hAnsi="Cambria" w:cs="Cambria" w:eastAsia="Cambria"/>
          <w:b/>
          <w:color w:val="auto"/>
          <w:spacing w:val="0"/>
          <w:position w:val="0"/>
          <w:sz w:val="28"/>
          <w:shd w:fill="auto" w:val="clear"/>
        </w:rPr>
        <w:t xml:space="preserve">Master 1: SDSI</w:t>
      </w:r>
    </w:p>
    <w:p>
      <w:pPr>
        <w:spacing w:before="295" w:after="200" w:line="276"/>
        <w:ind w:right="3" w:left="3" w:firstLine="0"/>
        <w:jc w:val="center"/>
        <w:rPr>
          <w:rFonts w:ascii="Calibri" w:hAnsi="Calibri" w:cs="Calibri" w:eastAsia="Calibri"/>
          <w:color w:val="17365D"/>
          <w:spacing w:val="5"/>
          <w:position w:val="0"/>
          <w:sz w:val="32"/>
          <w:shd w:fill="auto" w:val="clear"/>
        </w:rPr>
      </w:pPr>
      <w:r>
        <w:rPr>
          <w:rFonts w:ascii="Calibri" w:hAnsi="Calibri" w:cs="Calibri" w:eastAsia="Calibri"/>
          <w:color w:val="17365D"/>
          <w:spacing w:val="5"/>
          <w:position w:val="0"/>
          <w:sz w:val="32"/>
          <w:shd w:fill="auto" w:val="clear"/>
        </w:rPr>
        <w:t xml:space="preserve">Module : Business Intelligence Avancée</w:t>
      </w:r>
    </w:p>
    <w:p>
      <w:pPr>
        <w:spacing w:before="0" w:after="120" w:line="276"/>
        <w:ind w:right="0" w:left="0" w:firstLine="0"/>
        <w:jc w:val="left"/>
        <w:rPr>
          <w:rFonts w:ascii="Cambria" w:hAnsi="Cambria" w:cs="Cambria" w:eastAsia="Cambria"/>
          <w:b/>
          <w:color w:val="auto"/>
          <w:spacing w:val="0"/>
          <w:position w:val="0"/>
          <w:sz w:val="28"/>
          <w:shd w:fill="auto" w:val="clear"/>
        </w:rPr>
      </w:pPr>
    </w:p>
    <w:p>
      <w:pPr>
        <w:spacing w:before="158" w:after="120" w:line="276"/>
        <w:ind w:right="0" w:left="0" w:firstLine="0"/>
        <w:jc w:val="left"/>
        <w:rPr>
          <w:rFonts w:ascii="Cambria" w:hAnsi="Cambria" w:cs="Cambria" w:eastAsia="Cambria"/>
          <w:b/>
          <w:color w:val="auto"/>
          <w:spacing w:val="0"/>
          <w:position w:val="0"/>
          <w:sz w:val="28"/>
          <w:shd w:fill="auto" w:val="clear"/>
        </w:rPr>
      </w:pPr>
    </w:p>
    <w:p>
      <w:pPr>
        <w:spacing w:before="0" w:after="300" w:line="240"/>
        <w:ind w:right="0" w:left="0" w:firstLine="0"/>
        <w:jc w:val="center"/>
        <w:rPr>
          <w:rFonts w:ascii="Calibri" w:hAnsi="Calibri" w:cs="Calibri" w:eastAsia="Calibri"/>
          <w:color w:val="17365D"/>
          <w:spacing w:val="5"/>
          <w:position w:val="0"/>
          <w:sz w:val="40"/>
          <w:shd w:fill="auto" w:val="clear"/>
        </w:rPr>
      </w:pPr>
      <w:r>
        <w:rPr>
          <w:rFonts w:ascii="Calibri" w:hAnsi="Calibri" w:cs="Calibri" w:eastAsia="Calibri"/>
          <w:color w:val="17365D"/>
          <w:spacing w:val="5"/>
          <w:position w:val="0"/>
          <w:sz w:val="40"/>
          <w:shd w:fill="auto" w:val="clear"/>
        </w:rPr>
        <w:t xml:space="preserve">RAPPORT DE PROJET</w:t>
      </w:r>
    </w:p>
    <w:p>
      <w:pPr>
        <w:spacing w:before="0" w:after="300" w:line="240"/>
        <w:ind w:right="0" w:left="0" w:firstLine="0"/>
        <w:jc w:val="left"/>
        <w:rPr>
          <w:rFonts w:ascii="Calibri" w:hAnsi="Calibri" w:cs="Calibri" w:eastAsia="Calibri"/>
          <w:color w:val="17365D"/>
          <w:spacing w:val="5"/>
          <w:position w:val="0"/>
          <w:sz w:val="40"/>
          <w:shd w:fill="auto" w:val="clear"/>
        </w:rPr>
      </w:pPr>
    </w:p>
    <w:p>
      <w:pPr>
        <w:spacing w:before="0" w:after="300" w:line="360"/>
        <w:ind w:right="0" w:left="0" w:firstLine="0"/>
        <w:jc w:val="center"/>
        <w:rPr>
          <w:rFonts w:ascii="Calibri" w:hAnsi="Calibri" w:cs="Calibri" w:eastAsia="Calibri"/>
          <w:color w:val="17365D"/>
          <w:spacing w:val="5"/>
          <w:position w:val="0"/>
          <w:sz w:val="36"/>
          <w:shd w:fill="auto" w:val="clear"/>
        </w:rPr>
      </w:pPr>
      <w:r>
        <w:rPr>
          <w:rFonts w:ascii="Calibri" w:hAnsi="Calibri" w:cs="Calibri" w:eastAsia="Calibri"/>
          <w:color w:val="17365D"/>
          <w:spacing w:val="5"/>
          <w:position w:val="0"/>
          <w:sz w:val="36"/>
          <w:shd w:fill="auto" w:val="clear"/>
        </w:rPr>
        <w:t xml:space="preserve">    </w:t>
      </w:r>
      <w:r>
        <w:rPr>
          <w:rFonts w:ascii="Calibri" w:hAnsi="Calibri" w:cs="Calibri" w:eastAsia="Calibri"/>
          <w:i/>
          <w:color w:val="17365D"/>
          <w:spacing w:val="5"/>
          <w:position w:val="0"/>
          <w:sz w:val="36"/>
          <w:shd w:fill="auto" w:val="clear"/>
        </w:rPr>
        <w:t xml:space="preserve">Analyse Décisionnelle des Ventes dans les Centres Commerciaux  </w:t>
      </w:r>
      <w:r>
        <w:rPr>
          <w:rFonts w:ascii="Calibri" w:hAnsi="Calibri" w:cs="Calibri" w:eastAsia="Calibri"/>
          <w:color w:val="17365D"/>
          <w:spacing w:val="5"/>
          <w:position w:val="0"/>
          <w:sz w:val="36"/>
          <w:shd w:fill="auto" w:val="clear"/>
        </w:rPr>
        <w:t xml:space="preserve"> </w:t>
      </w:r>
    </w:p>
    <w:p>
      <w:pPr>
        <w:keepNext w:val="true"/>
        <w:keepLines w:val="true"/>
        <w:spacing w:before="511" w:after="0" w:line="242"/>
        <w:ind w:right="3" w:left="3" w:firstLine="0"/>
        <w:jc w:val="center"/>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Etudiants : </w:t>
      </w:r>
      <w:r>
        <w:rPr>
          <w:rFonts w:ascii="Calibri" w:hAnsi="Calibri" w:cs="Calibri" w:eastAsia="Calibri"/>
          <w:color w:val="auto"/>
          <w:spacing w:val="0"/>
          <w:position w:val="0"/>
          <w:sz w:val="28"/>
          <w:shd w:fill="auto" w:val="clear"/>
        </w:rPr>
        <w:t xml:space="preserve">Mohamed Redouane Haddad</w:t>
      </w:r>
    </w:p>
    <w:p>
      <w:pPr>
        <w:keepNext w:val="true"/>
        <w:keepLines w:val="true"/>
        <w:spacing w:before="511" w:after="0" w:line="242"/>
        <w:ind w:right="3" w:left="3"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Hanchi Takoua Belkis</w:t>
      </w:r>
    </w:p>
    <w:p>
      <w:pPr>
        <w:keepNext w:val="true"/>
        <w:keepLines w:val="true"/>
        <w:spacing w:before="511" w:after="0" w:line="242"/>
        <w:ind w:right="3" w:left="3"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Guenifi Djoumana</w:t>
      </w:r>
    </w:p>
    <w:p>
      <w:pPr>
        <w:keepNext w:val="true"/>
        <w:keepLines w:val="true"/>
        <w:spacing w:before="511" w:after="0" w:line="242"/>
        <w:ind w:right="3" w:left="3" w:firstLine="0"/>
        <w:jc w:val="center"/>
        <w:rPr>
          <w:rFonts w:ascii="Cambria" w:hAnsi="Cambria" w:cs="Cambria" w:eastAsia="Cambria"/>
          <w:color w:val="auto"/>
          <w:spacing w:val="0"/>
          <w:position w:val="0"/>
          <w:sz w:val="22"/>
          <w:shd w:fill="auto" w:val="clear"/>
        </w:rPr>
      </w:pPr>
      <w:r>
        <w:rPr>
          <w:rFonts w:ascii="Calibri" w:hAnsi="Calibri" w:cs="Calibri" w:eastAsia="Calibri"/>
          <w:color w:val="auto"/>
          <w:spacing w:val="0"/>
          <w:position w:val="0"/>
          <w:sz w:val="28"/>
          <w:shd w:fill="auto" w:val="clear"/>
        </w:rPr>
        <w:t xml:space="preserve">   Boudersa Kaouther</w:t>
      </w:r>
    </w:p>
    <w:p>
      <w:pPr>
        <w:spacing w:before="34" w:after="120" w:line="276"/>
        <w:ind w:right="0" w:left="0" w:firstLine="0"/>
        <w:jc w:val="left"/>
        <w:rPr>
          <w:rFonts w:ascii="Cambria" w:hAnsi="Cambria" w:cs="Cambria" w:eastAsia="Cambria"/>
          <w:color w:val="auto"/>
          <w:spacing w:val="0"/>
          <w:position w:val="0"/>
          <w:sz w:val="22"/>
          <w:shd w:fill="auto" w:val="clear"/>
        </w:rPr>
      </w:pPr>
    </w:p>
    <w:p>
      <w:pPr>
        <w:spacing w:before="0" w:after="200" w:line="242"/>
        <w:ind w:right="3" w:left="3" w:firstLine="0"/>
        <w:jc w:val="center"/>
        <w:rPr>
          <w:rFonts w:ascii="Cambria" w:hAnsi="Cambria" w:cs="Cambria" w:eastAsia="Cambria"/>
          <w:color w:val="auto"/>
          <w:spacing w:val="0"/>
          <w:position w:val="0"/>
          <w:sz w:val="28"/>
          <w:shd w:fill="auto" w:val="clear"/>
        </w:rPr>
      </w:pPr>
      <w:r>
        <w:rPr>
          <w:rFonts w:ascii="Cambria" w:hAnsi="Cambria" w:cs="Cambria" w:eastAsia="Cambria"/>
          <w:b/>
          <w:color w:val="auto"/>
          <w:spacing w:val="0"/>
          <w:position w:val="0"/>
          <w:sz w:val="28"/>
          <w:shd w:fill="auto" w:val="clear"/>
        </w:rPr>
        <w:t xml:space="preserve">Date:</w:t>
      </w:r>
      <w:r>
        <w:rPr>
          <w:rFonts w:ascii="Cambria" w:hAnsi="Cambria" w:cs="Cambria" w:eastAsia="Cambria"/>
          <w:b/>
          <w:color w:val="auto"/>
          <w:spacing w:val="63"/>
          <w:position w:val="0"/>
          <w:sz w:val="28"/>
          <w:shd w:fill="auto" w:val="clear"/>
        </w:rPr>
        <w:t xml:space="preserve">03/05/2026</w:t>
      </w: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1.Introduction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Dans un environnement économique de plus en plus compétitif, les entreprises commerciales cherchent à exploiter leurs données transactionnelles pour prendre des décisions stratégiques éclairées.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Ce projet s’inscrit dans le cadre du module Business Intelligence &amp; Analyse de Données et vise à concevoir et réaliser une application décisionnelle complète basée sur des données réelles de transactions dans des centres commerciaux en Turquie.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 dataset couvre 99 457 transactions entre janvier 2021 et mars 2023 dans 10 centres commerciaux d’Istanbul, disponible publiquement sur Kaggle .</w:t>
      </w:r>
    </w:p>
    <w:p>
      <w:pPr>
        <w:keepNext w:val="true"/>
        <w:keepLines w:val="true"/>
        <w:spacing w:before="12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32"/>
          <w:shd w:fill="auto" w:val="clear"/>
        </w:rPr>
        <w:t xml:space="preserve">2.Étude fonctionnelle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Description du besoin décisionnel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Les responsables commerciaux et analystes métier ont besoin de réponses à des questions stratégiques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Quelles catégories de produits génèrent le plus de chiffre d’affaires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Quels centres commerciaux sont les plus performants en termes de revenus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Comment évolue le CA au fil du temps (tendances mensuelles, saisonnalité)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Quel est le profil démographique des clients (genre, tranche d’âge)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Y a-t-il des différences de comportement d’achat selon le genre ou l’âge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Identification des utilisateurs</w:t>
      </w:r>
      <w:r>
        <w:rPr>
          <w:rFonts w:ascii="Cambria" w:hAnsi="Cambria" w:cs="Cambria" w:eastAsia="Cambria"/>
          <w:color w:val="auto"/>
          <w:spacing w:val="0"/>
          <w:position w:val="0"/>
          <w:sz w:val="22"/>
          <w:shd w:fill="auto" w:val="clear"/>
        </w:rPr>
        <w:t xml:space="preserve"> (décideurs, analystes…)</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2105">
          <v:rect xmlns:o="urn:schemas-microsoft-com:office:office" xmlns:v="urn:schemas-microsoft-com:vml" id="rectole0000000001" style="width:421.100000pt;height:105.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12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3.Modélisation</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Schéma conceptuel du Data Warehouse </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Le schéma adopté pour ce projet est un </w:t>
      </w:r>
      <w:r>
        <w:rPr>
          <w:rFonts w:ascii="Cambria" w:hAnsi="Cambria" w:cs="Cambria" w:eastAsia="Cambria"/>
          <w:b/>
          <w:color w:val="000000"/>
          <w:spacing w:val="0"/>
          <w:position w:val="0"/>
          <w:sz w:val="24"/>
          <w:shd w:fill="auto" w:val="clear"/>
        </w:rPr>
        <w:t xml:space="preserve">schéma en étoile</w:t>
      </w:r>
      <w:r>
        <w:rPr>
          <w:rFonts w:ascii="Cambria" w:hAnsi="Cambria" w:cs="Cambria" w:eastAsia="Cambria"/>
          <w:color w:val="000000"/>
          <w:spacing w:val="0"/>
          <w:position w:val="0"/>
          <w:sz w:val="24"/>
          <w:shd w:fill="auto" w:val="clear"/>
        </w:rPr>
        <w:t xml:space="preserve"> (star schema)Ce choix est motivé par :</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La simplicité des requêtes analytiques qu’il permet</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Sa compatibilité native avec Microsoft Power BI</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Ses bonnes performances pour des volumes de données moyens ( 100K lignes)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La facilité de compréhension pour les utilisateurs non-techniques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Faits et dimensions identifiés</w:t>
      </w:r>
    </w:p>
    <w:p>
      <w:pPr>
        <w:spacing w:before="0" w:after="200" w:line="240"/>
        <w:ind w:right="0" w:left="0" w:firstLine="0"/>
        <w:jc w:val="left"/>
        <w:rPr>
          <w:rFonts w:ascii="Cambria" w:hAnsi="Cambria" w:cs="Cambria" w:eastAsia="Cambria"/>
          <w:b/>
          <w:color w:val="auto"/>
          <w:spacing w:val="0"/>
          <w:position w:val="0"/>
          <w:sz w:val="22"/>
          <w:shd w:fill="auto" w:val="clear"/>
        </w:rPr>
      </w:pPr>
      <w:r>
        <w:object w:dxaOrig="8422" w:dyaOrig="2510">
          <v:rect xmlns:o="urn:schemas-microsoft-com:office:office" xmlns:v="urn:schemas-microsoft-com:vml" id="rectole0000000002" style="width:421.100000pt;height:125.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40"/>
        <w:ind w:right="0" w:left="0" w:firstLine="0"/>
        <w:jc w:val="left"/>
        <w:rPr>
          <w:rFonts w:ascii="Cambria" w:hAnsi="Cambria" w:cs="Cambria" w:eastAsia="Cambria"/>
          <w:color w:val="auto"/>
          <w:spacing w:val="0"/>
          <w:position w:val="0"/>
          <w:sz w:val="22"/>
          <w:shd w:fill="auto" w:val="clear"/>
        </w:rPr>
      </w:pPr>
      <w:r>
        <w:object w:dxaOrig="8640" w:dyaOrig="8895">
          <v:rect xmlns:o="urn:schemas-microsoft-com:office:office" xmlns:v="urn:schemas-microsoft-com:vml" id="rectole0000000003" style="width:432.000000pt;height:444.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Modèle logique (tables, relations, clés)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sales</w:t>
      </w:r>
      <w:r>
        <w:rPr>
          <w:rFonts w:ascii="Cambria" w:hAnsi="Cambria" w:cs="Cambria" w:eastAsia="Cambria"/>
          <w:color w:val="auto"/>
          <w:spacing w:val="0"/>
          <w:position w:val="0"/>
          <w:sz w:val="22"/>
          <w:shd w:fill="auto" w:val="clear"/>
        </w:rPr>
        <w:t xml:space="preserve">(invoice_no,customer_id*,category_id*,payment_id*,date_id*,mall_id*,quantity,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price,total_revenue,total_transactions)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client</w:t>
      </w:r>
      <w:r>
        <w:rPr>
          <w:rFonts w:ascii="Cambria" w:hAnsi="Cambria" w:cs="Cambria" w:eastAsia="Cambria"/>
          <w:color w:val="auto"/>
          <w:spacing w:val="0"/>
          <w:position w:val="0"/>
          <w:sz w:val="22"/>
          <w:shd w:fill="auto" w:val="clear"/>
        </w:rPr>
        <w:t xml:space="preserve">(customer_id, age, age_group, gender)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category</w:t>
      </w:r>
      <w:r>
        <w:rPr>
          <w:rFonts w:ascii="Cambria" w:hAnsi="Cambria" w:cs="Cambria" w:eastAsia="Cambria"/>
          <w:color w:val="auto"/>
          <w:spacing w:val="0"/>
          <w:position w:val="0"/>
          <w:sz w:val="22"/>
          <w:shd w:fill="auto" w:val="clear"/>
        </w:rPr>
        <w:t xml:space="preserve">(category_id, category_name)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payment</w:t>
      </w:r>
      <w:r>
        <w:rPr>
          <w:rFonts w:ascii="Cambria" w:hAnsi="Cambria" w:cs="Cambria" w:eastAsia="Cambria"/>
          <w:color w:val="auto"/>
          <w:spacing w:val="0"/>
          <w:position w:val="0"/>
          <w:sz w:val="22"/>
          <w:shd w:fill="auto" w:val="clear"/>
        </w:rPr>
        <w:t xml:space="preserve">(payment_id, payment_method)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date</w:t>
      </w:r>
      <w:r>
        <w:rPr>
          <w:rFonts w:ascii="Cambria" w:hAnsi="Cambria" w:cs="Cambria" w:eastAsia="Cambria"/>
          <w:color w:val="auto"/>
          <w:spacing w:val="0"/>
          <w:position w:val="0"/>
          <w:sz w:val="22"/>
          <w:shd w:fill="auto" w:val="clear"/>
        </w:rPr>
        <w:t xml:space="preserve">(date_id, invoice_date, day, month, quarter, year)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location</w:t>
      </w:r>
      <w:r>
        <w:rPr>
          <w:rFonts w:ascii="Cambria" w:hAnsi="Cambria" w:cs="Cambria" w:eastAsia="Cambria"/>
          <w:color w:val="auto"/>
          <w:spacing w:val="0"/>
          <w:position w:val="0"/>
          <w:sz w:val="22"/>
          <w:shd w:fill="auto" w:val="clear"/>
        </w:rPr>
        <w:t xml:space="preserve">(mall_id, mall_name)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Justification du choix de modèle :</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Nous avons choisi un </w:t>
      </w:r>
      <w:r>
        <w:rPr>
          <w:rFonts w:ascii="Cambria" w:hAnsi="Cambria" w:cs="Cambria" w:eastAsia="Cambria"/>
          <w:b/>
          <w:color w:val="000000"/>
          <w:spacing w:val="0"/>
          <w:position w:val="0"/>
          <w:sz w:val="24"/>
          <w:shd w:fill="auto" w:val="clear"/>
        </w:rPr>
        <w:t xml:space="preserve">modèle en étoile</w:t>
      </w:r>
      <w:r>
        <w:rPr>
          <w:rFonts w:ascii="Cambria" w:hAnsi="Cambria" w:cs="Cambria" w:eastAsia="Cambria"/>
          <w:color w:val="000000"/>
          <w:spacing w:val="0"/>
          <w:position w:val="0"/>
          <w:sz w:val="24"/>
          <w:shd w:fill="auto" w:val="clear"/>
        </w:rPr>
        <w:t xml:space="preserve"> car il est simple à mettre en </w:t>
      </w:r>
      <w:r>
        <w:rPr>
          <w:rFonts w:ascii="Cambria" w:hAnsi="Cambria" w:cs="Cambria" w:eastAsia="Cambria"/>
          <w:color w:val="000000"/>
          <w:spacing w:val="0"/>
          <w:position w:val="0"/>
          <w:sz w:val="24"/>
          <w:shd w:fill="auto" w:val="clear"/>
        </w:rPr>
        <w:t xml:space="preserve">œuvre et bien adapt</w:t>
      </w:r>
      <w:r>
        <w:rPr>
          <w:rFonts w:ascii="Cambria" w:hAnsi="Cambria" w:cs="Cambria" w:eastAsia="Cambria"/>
          <w:color w:val="000000"/>
          <w:spacing w:val="0"/>
          <w:position w:val="0"/>
          <w:sz w:val="24"/>
          <w:shd w:fill="auto" w:val="clear"/>
        </w:rPr>
        <w:t xml:space="preserve">é à l’analyse décisionnelle.</w:t>
      </w:r>
    </w:p>
    <w:p>
      <w:pPr>
        <w:spacing w:before="0" w:after="20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b/>
          <w:color w:val="000000"/>
          <w:spacing w:val="0"/>
          <w:position w:val="0"/>
          <w:sz w:val="24"/>
          <w:shd w:fill="auto" w:val="clear"/>
        </w:rPr>
        <w:t xml:space="preserve">Le niveau de granularité </w:t>
      </w:r>
      <w:r>
        <w:rPr>
          <w:rFonts w:ascii="Cambria" w:hAnsi="Cambria" w:cs="Cambria" w:eastAsia="Cambria"/>
          <w:color w:val="000000"/>
          <w:spacing w:val="0"/>
          <w:position w:val="0"/>
          <w:sz w:val="24"/>
          <w:shd w:fill="auto" w:val="clear"/>
        </w:rPr>
        <w:t xml:space="preserve">est la transaction de vente, ce qui permet de suivre chaque opération effectuée par un client dans un centre commercial. Ce niveau offre un degré de détail suffisant pour analyser les quantités vendues, les revenus générés, les catégories de produits, les modes de paiement ainsi que les périodes de vente. </w:t>
      </w:r>
      <w:r>
        <w:rPr>
          <w:rFonts w:ascii="Cambria" w:hAnsi="Cambria" w:cs="Cambria" w:eastAsia="Cambria"/>
          <w:b/>
          <w:color w:val="000000"/>
          <w:spacing w:val="0"/>
          <w:position w:val="0"/>
          <w:sz w:val="24"/>
          <w:shd w:fill="auto" w:val="clear"/>
        </w:rPr>
        <w:t xml:space="preserve">L’historisation</w:t>
      </w:r>
      <w:r>
        <w:rPr>
          <w:rFonts w:ascii="Cambria" w:hAnsi="Cambria" w:cs="Cambria" w:eastAsia="Cambria"/>
          <w:color w:val="000000"/>
          <w:spacing w:val="0"/>
          <w:position w:val="0"/>
          <w:sz w:val="24"/>
          <w:shd w:fill="auto" w:val="clear"/>
        </w:rPr>
        <w:t xml:space="preserve"> n’est pas nécessaire, car les données de vente sont considérées comme figées une fois la transaction enregistrée.</w:t>
      </w:r>
    </w:p>
    <w:p>
      <w:pPr>
        <w:spacing w:before="0" w:after="200" w:line="240"/>
        <w:ind w:right="0" w:left="0" w:firstLine="0"/>
        <w:jc w:val="left"/>
        <w:rPr>
          <w:rFonts w:ascii="Cambria" w:hAnsi="Cambria" w:cs="Cambria" w:eastAsia="Cambria"/>
          <w:color w:val="000000"/>
          <w:spacing w:val="0"/>
          <w:position w:val="0"/>
          <w:sz w:val="24"/>
          <w:shd w:fill="auto" w:val="clear"/>
        </w:rPr>
      </w:pPr>
      <w:r>
        <w:object w:dxaOrig="8422" w:dyaOrig="7248">
          <v:rect xmlns:o="urn:schemas-microsoft-com:office:office" xmlns:v="urn:schemas-microsoft-com:vml" id="rectole0000000004" style="width:421.100000pt;height:362.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mbria" w:hAnsi="Cambria" w:cs="Cambria" w:eastAsia="Cambria"/>
          <w:b/>
          <w:color w:val="auto"/>
          <w:spacing w:val="0"/>
          <w:position w:val="0"/>
          <w:sz w:val="22"/>
          <w:shd w:fill="auto" w:val="clear"/>
        </w:rPr>
      </w:pPr>
    </w:p>
    <w:p>
      <w:pPr>
        <w:keepNext w:val="true"/>
        <w:keepLines w:val="true"/>
        <w:numPr>
          <w:ilvl w:val="0"/>
          <w:numId w:val="26"/>
        </w:numPr>
        <w:spacing w:before="120" w:after="0" w:line="276"/>
        <w:ind w:right="0" w:left="425" w:hanging="357"/>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Intégration des données (ETL)</w:t>
      </w:r>
    </w:p>
    <w:p>
      <w:pPr>
        <w:numPr>
          <w:ilvl w:val="0"/>
          <w:numId w:val="26"/>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Sources de données utilisées (fictives ou réelles)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931">
          <v:rect xmlns:o="urn:schemas-microsoft-com:office:office" xmlns:v="urn:schemas-microsoft-com:vml" id="rectole0000000005" style="width:421.100000pt;height:46.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1437">
          <v:rect xmlns:o="urn:schemas-microsoft-com:office:office" xmlns:v="urn:schemas-microsoft-com:vml" id="rectole0000000006" style="width:421.100000pt;height:71.8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31"/>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Outils et technologies utilisés (ex. PowerBI, Talend, Python…)</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1640">
          <v:rect xmlns:o="urn:schemas-microsoft-com:office:office" xmlns:v="urn:schemas-microsoft-com:vml" id="rectole0000000007" style="width:421.100000pt;height:82.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34"/>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 des étapes ETL :</w:t>
      </w:r>
    </w:p>
    <w:p>
      <w:pPr>
        <w:numPr>
          <w:ilvl w:val="0"/>
          <w:numId w:val="34"/>
        </w:numPr>
        <w:spacing w:before="0" w:after="200" w:line="276"/>
        <w:ind w:right="0" w:left="1276"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Extraction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 fichier CSV a été importé dans Power BI Desktop via Accueil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Obtenir des données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Texte/CSV.</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L’option Transformer les données a été choisie pour ouvrir l’éditeur Power Query avant le chargement final, permettant d’effectuer toutes les transformations nécessaires en amont</w:t>
      </w:r>
    </w:p>
    <w:p>
      <w:pPr>
        <w:numPr>
          <w:ilvl w:val="0"/>
          <w:numId w:val="37"/>
        </w:numPr>
        <w:spacing w:before="0" w:after="200" w:line="276"/>
        <w:ind w:right="0" w:left="1276"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Transformation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Nettoyage : Activation de la vue Qualité des colonnes pour détecter valeurs nulles et erreurs. Correction </w:t>
      </w:r>
      <w:r>
        <w:rPr>
          <w:rFonts w:ascii="Cambria" w:hAnsi="Cambria" w:cs="Cambria" w:eastAsia="Cambria"/>
          <w:color w:val="auto"/>
          <w:spacing w:val="0"/>
          <w:position w:val="0"/>
          <w:sz w:val="22"/>
          <w:shd w:fill="auto" w:val="clear"/>
        </w:rPr>
        <w:t xml:space="preserve">des types : age et quantity en entier, price en décimal, invoice_date en date.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Reconstruction de la date : La colonne invoice_date (format texte M/D/YYYY) a été décomposée en </w:t>
      </w:r>
      <w:r>
        <w:rPr>
          <w:rFonts w:ascii="Cambria" w:hAnsi="Cambria" w:cs="Cambria" w:eastAsia="Cambria"/>
          <w:color w:val="auto"/>
          <w:spacing w:val="0"/>
          <w:position w:val="0"/>
          <w:sz w:val="22"/>
          <w:shd w:fill="auto" w:val="clear"/>
        </w:rPr>
        <w:t xml:space="preserve">day, month, year puis reconstruite en date valide via une colonne personnalisée en langage 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Création des dimensions : Chaque table créée par duplication de la requête source, suppression des </w:t>
      </w:r>
      <w:r>
        <w:rPr>
          <w:rFonts w:ascii="Cambria" w:hAnsi="Cambria" w:cs="Cambria" w:eastAsia="Cambria"/>
          <w:color w:val="auto"/>
          <w:spacing w:val="0"/>
          <w:position w:val="0"/>
          <w:sz w:val="22"/>
          <w:shd w:fill="auto" w:val="clear"/>
        </w:rPr>
        <w:t xml:space="preserve">doublons et ajout d’un index comme clé de substitution. Colonne Age_Group ajoutée à Dim_Client (tranches 18</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24, 25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34, 35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44, 45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54, 55+).</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Création de Fact_Sales : Table construite par fusion (Left Outer Join) avec chaque dimension pour </w:t>
      </w:r>
      <w:r>
        <w:rPr>
          <w:rFonts w:ascii="Cambria" w:hAnsi="Cambria" w:cs="Cambria" w:eastAsia="Cambria"/>
          <w:color w:val="auto"/>
          <w:spacing w:val="0"/>
          <w:position w:val="0"/>
          <w:sz w:val="22"/>
          <w:shd w:fill="auto" w:val="clear"/>
        </w:rPr>
        <w:t xml:space="preserve">substituer les valeurs textuelles par les FK numériques.</w:t>
      </w:r>
    </w:p>
    <w:p>
      <w:pPr>
        <w:numPr>
          <w:ilvl w:val="0"/>
          <w:numId w:val="39"/>
        </w:numPr>
        <w:spacing w:before="0" w:after="200" w:line="276"/>
        <w:ind w:right="0" w:left="1276"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Chargement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Après validation, les 6 tables ont été chargées dans le modèle interne Power BI via Fermer et appliquer.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Les relations Many-to-One entre chaque FK de Fact_Sales et la PK de la dimension correspondante ont été configurées manuellement dans la vue Modèle.</w:t>
      </w:r>
    </w:p>
    <w:p>
      <w:pPr>
        <w:keepNext w:val="true"/>
        <w:keepLines w:val="true"/>
        <w:spacing w:before="12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4.Analyse et visualisation</w:t>
      </w:r>
    </w:p>
    <w:p>
      <w:pPr>
        <w:keepNext w:val="true"/>
        <w:keepLines w:val="true"/>
        <w:spacing w:before="120" w:after="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Mesures DAX créées</w:t>
      </w:r>
    </w:p>
    <w:p>
      <w:pPr>
        <w:keepNext w:val="true"/>
        <w:keepLines w:val="true"/>
        <w:spacing w:before="120" w:after="0" w:line="240"/>
        <w:ind w:right="0" w:left="0" w:firstLine="0"/>
        <w:jc w:val="left"/>
        <w:rPr>
          <w:rFonts w:ascii="Calibri" w:hAnsi="Calibri" w:cs="Calibri" w:eastAsia="Calibri"/>
          <w:b/>
          <w:color w:val="auto"/>
          <w:spacing w:val="0"/>
          <w:position w:val="0"/>
          <w:sz w:val="24"/>
          <w:shd w:fill="auto" w:val="clear"/>
        </w:rPr>
      </w:pPr>
      <w:r>
        <w:object w:dxaOrig="8422" w:dyaOrig="1923">
          <v:rect xmlns:o="urn:schemas-microsoft-com:office:office" xmlns:v="urn:schemas-microsoft-com:vml" id="rectole0000000008" style="width:421.100000pt;height:96.1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keepNext w:val="true"/>
        <w:keepLines w:val="true"/>
        <w:spacing w:before="120" w:after="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Tableaux de bord créés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 projet comprend deux pages de tableau de bord interactif dans Power BI. Des slicers permettent de filtrer dynamiquement par année, catégorie, genre, centre commercial et mode de paiement.</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4737">
          <v:rect xmlns:o="urn:schemas-microsoft-com:office:office" xmlns:v="urn:schemas-microsoft-com:vml" id="rectole0000000009" style="width:421.100000pt;height:236.8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page 1</w:t>
      </w:r>
    </w:p>
    <w:p>
      <w:pPr>
        <w:spacing w:before="0" w:after="200" w:line="240"/>
        <w:ind w:right="0" w:left="0" w:firstLine="0"/>
        <w:jc w:val="center"/>
        <w:rPr>
          <w:rFonts w:ascii="Cambria" w:hAnsi="Cambria" w:cs="Cambria" w:eastAsia="Cambria"/>
          <w:color w:val="auto"/>
          <w:spacing w:val="0"/>
          <w:position w:val="0"/>
          <w:sz w:val="22"/>
          <w:shd w:fill="auto" w:val="clear"/>
        </w:rPr>
      </w:pPr>
      <w:r>
        <w:object w:dxaOrig="8422" w:dyaOrig="4697">
          <v:rect xmlns:o="urn:schemas-microsoft-com:office:office" xmlns:v="urn:schemas-microsoft-com:vml" id="rectole0000000010" style="width:421.100000pt;height:234.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Cambria" w:hAnsi="Cambria" w:cs="Cambria" w:eastAsia="Cambria"/>
          <w:color w:val="auto"/>
          <w:spacing w:val="0"/>
          <w:position w:val="0"/>
          <w:sz w:val="22"/>
          <w:shd w:fill="auto" w:val="clear"/>
        </w:rPr>
        <w:t xml:space="preserve">Page 2</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Interprétation des résultats et apports pour la prise de décision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Catégorie dominante : La Clothing est la catégorie la plus rentable avec 114M de revenus, suivie des </w:t>
      </w:r>
      <w:r>
        <w:rPr>
          <w:rFonts w:ascii="Cambria" w:hAnsi="Cambria" w:cs="Cambria" w:eastAsia="Cambria"/>
          <w:color w:val="auto"/>
          <w:spacing w:val="0"/>
          <w:position w:val="0"/>
          <w:sz w:val="22"/>
          <w:shd w:fill="auto" w:val="clear"/>
        </w:rPr>
        <w:t xml:space="preserve">chaussures (67M) et de la technologie (58M). Ces trois catégories doivent concentrer les efforts marketing.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Performance des malls : Mall of Istanbul et Kanyon sont les deux centres les plus performants. Leurs </w:t>
      </w:r>
      <w:r>
        <w:rPr>
          <w:rFonts w:ascii="Cambria" w:hAnsi="Cambria" w:cs="Cambria" w:eastAsia="Cambria"/>
          <w:color w:val="auto"/>
          <w:spacing w:val="0"/>
          <w:position w:val="0"/>
          <w:sz w:val="22"/>
          <w:shd w:fill="auto" w:val="clear"/>
        </w:rPr>
        <w:t xml:space="preserve">pratiques peuvent servir de modèle pour les centres moins performants.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Mode de paiement : La carte de crédit est le mode dominant (44.69%), suggérant une clientèle à fort </w:t>
      </w:r>
      <w:r>
        <w:rPr>
          <w:rFonts w:ascii="Cambria" w:hAnsi="Cambria" w:cs="Cambria" w:eastAsia="Cambria"/>
          <w:color w:val="auto"/>
          <w:spacing w:val="0"/>
          <w:position w:val="0"/>
          <w:sz w:val="22"/>
          <w:shd w:fill="auto" w:val="clear"/>
        </w:rPr>
        <w:t xml:space="preserve">pouvoir d’achat. Le paiement en espèces représente 35.12%.</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Profil client : Les femmes représentent 59.81% des transactions. Les clients de 55 ans et plus génèrent le </w:t>
      </w:r>
      <w:r>
        <w:rPr>
          <w:rFonts w:ascii="Cambria" w:hAnsi="Cambria" w:cs="Cambria" w:eastAsia="Cambria"/>
          <w:color w:val="auto"/>
          <w:spacing w:val="0"/>
          <w:position w:val="0"/>
          <w:sz w:val="22"/>
          <w:shd w:fill="auto" w:val="clear"/>
        </w:rPr>
        <w:t xml:space="preserve">plus de revenus (72M), contrairement aux idées reçues.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Tendance temporelle : Le CA mensuel est stable entre 8M et 11M sur 2021</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2022. La chute de janvier </w:t>
      </w:r>
      <w:r>
        <w:rPr>
          <w:rFonts w:ascii="Cambria" w:hAnsi="Cambria" w:cs="Cambria" w:eastAsia="Cambria"/>
          <w:color w:val="auto"/>
          <w:spacing w:val="0"/>
          <w:position w:val="0"/>
          <w:sz w:val="22"/>
          <w:shd w:fill="auto" w:val="clear"/>
        </w:rPr>
        <w:t xml:space="preserve">2023 reflète une incomplétude des données source, et non une baisse réelle des ventes.</w:t>
      </w:r>
    </w:p>
    <w:p>
      <w:pPr>
        <w:keepNext w:val="true"/>
        <w:keepLines w:val="true"/>
        <w:spacing w:before="12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5.Aspects avancés </w:t>
      </w:r>
    </w:p>
    <w:p>
      <w:pPr>
        <w:numPr>
          <w:ilvl w:val="0"/>
          <w:numId w:val="51"/>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Analyse predictive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Une analyse prédictive a été intégrée dans Power BI via la fonctionnalité de prévision (Forecast) disponible dans l’onglet Analytique des visuels de type courbe.</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1640">
          <v:rect xmlns:o="urn:schemas-microsoft-com:office:office" xmlns:v="urn:schemas-microsoft-com:vml" id="rectole0000000011" style="width:421.100000pt;height:82.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323">
          <v:rect xmlns:o="urn:schemas-microsoft-com:office:office" xmlns:v="urn:schemas-microsoft-com:vml" id="rectole0000000012" style="width:421.100000pt;height:16.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La zone ombrée (rose) sur le graphique temporel représente l’intervalle de confiance à 95%, indiquant la plage dans laquelle le CA devrait se situer avec une probabilité de 95%.</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5142">
          <v:rect xmlns:o="urn:schemas-microsoft-com:office:office" xmlns:v="urn:schemas-microsoft-com:vml" id="rectole0000000013" style="width:421.100000pt;height:257.1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Automatisation de processus BI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Une subscription automatique a été configurée sur Power BI Service pour envoyer le tableau de bord par email aux destinataires concernés selon un planning défini.</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2288">
          <v:rect xmlns:o="urn:schemas-microsoft-com:office:office" xmlns:v="urn:schemas-microsoft-com:vml" id="rectole0000000014" style="width:421.100000pt;height:114.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12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8"/>
          <w:shd w:fill="auto" w:val="clear"/>
        </w:rPr>
        <w:t xml:space="preserve">6.Conclusion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Bilan du projet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 projet a permis de concevoir et réaliser une application décisionnelle complète, couvrant l’ensemble du cycle de vie d’un projet BI. Les objectifs initiaux ont été atteints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 entrepôt de données structuré en schéma étoile avec 5 dimensions et une table de faits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 processus ETL complet réalisé avec Power Query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Deux tableaux de bord interactifs offrant des analyses multidimensionnelles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Une analyse prédictive par prévision temporelle (lissage exponentiel, IC 95%)</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Une automatisation de la diffusion des rapports via Power BI Service</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Apports du projet par rapport au module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La modélisation dimensionnelle : schéma en étoile, faits, dimensions, granularité</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Le processus ETL complet : extraction, transformation, chargement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Les opérations OLAP : drill-down, slice, dice via les slicers et hiérarchies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La visualisation et le reporting décisionnel</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Limites du travail réalisé</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Dataset incomplet : les données 2023 couvrent uniquement janvier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mars, limitant l</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analyse temporelle </w:t>
      </w:r>
      <w:r>
        <w:rPr>
          <w:rFonts w:ascii="Cambria" w:hAnsi="Cambria" w:cs="Cambria" w:eastAsia="Cambria"/>
          <w:color w:val="auto"/>
          <w:spacing w:val="0"/>
          <w:position w:val="0"/>
          <w:sz w:val="22"/>
          <w:shd w:fill="auto" w:val="clear"/>
        </w:rPr>
        <w:t xml:space="preserve">et la qualité des prévisions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Absence de données produit détaillées (marque, taille, couleur), limitant la granularité par produit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Pas 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historisation (SCD) : le modèle ne gère pas les Slowly Changing Dimensions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Données géographiques limitées à une seule ville (Istanbul)</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Perspectives d’amélioration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Intégration d’un dataset plus récent couvrant plusieurs années et plusieurs villes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Mise en place de Slowly Changing Dimensions (SCD Type 2) pour historiser les attributs clients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Développement d’un modèle ML pour la segmentation client (clustering) et la prédiction CLV</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Migration vers une architecture Data Warehouse cloud (Azure Synapse Analytics, Google BigQuery)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Ajout 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alertes automatiques déclenchées sur seuils de CA</w:t>
      </w:r>
    </w:p>
    <w:p>
      <w:pPr>
        <w:keepNext w:val="true"/>
        <w:keepLines w:val="true"/>
        <w:numPr>
          <w:ilvl w:val="0"/>
          <w:numId w:val="59"/>
        </w:numPr>
        <w:spacing w:before="120" w:after="0" w:line="276"/>
        <w:ind w:right="0" w:left="425" w:hanging="357"/>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Annexes</w:t>
      </w:r>
    </w:p>
    <w:p>
      <w:pPr>
        <w:numPr>
          <w:ilvl w:val="0"/>
          <w:numId w:val="59"/>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Captures d’écran</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4474">
          <v:rect xmlns:o="urn:schemas-microsoft-com:office:office" xmlns:v="urn:schemas-microsoft-com:vml" id="rectole0000000015" style="width:421.100000pt;height:223.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Dim_Category</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2207">
          <v:rect xmlns:o="urn:schemas-microsoft-com:office:office" xmlns:v="urn:schemas-microsoft-com:vml" id="rectole0000000016" style="width:421.100000pt;height:110.3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20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Dim_Date</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2409">
          <v:rect xmlns:o="urn:schemas-microsoft-com:office:office" xmlns:v="urn:schemas-microsoft-com:vml" id="rectole0000000017" style="width:421.100000pt;height:120.4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20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Reconstruction de invoice_date</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1477">
          <v:rect xmlns:o="urn:schemas-microsoft-com:office:office" xmlns:v="urn:schemas-microsoft-com:vml" id="rectole0000000018" style="width:421.100000pt;height:73.8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65"/>
        </w:numPr>
        <w:spacing w:before="0" w:after="2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Exemples de requêtes SQL utilisées</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422" w:dyaOrig="3503">
          <v:rect xmlns:o="urn:schemas-microsoft-com:office:office" xmlns:v="urn:schemas-microsoft-com:vml" id="rectole0000000019" style="width:421.100000pt;height:175.1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modele flocon</w:t>
      </w:r>
    </w:p>
    <w:p>
      <w:pPr>
        <w:spacing w:before="0" w:after="200" w:line="240"/>
        <w:ind w:right="0" w:left="0" w:firstLine="0"/>
        <w:jc w:val="left"/>
        <w:rPr>
          <w:rFonts w:ascii="Cambria" w:hAnsi="Cambria" w:cs="Cambria" w:eastAsia="Cambria"/>
          <w:b/>
          <w:color w:val="auto"/>
          <w:spacing w:val="0"/>
          <w:position w:val="0"/>
          <w:sz w:val="22"/>
          <w:shd w:fill="auto" w:val="clear"/>
        </w:rPr>
      </w:pPr>
      <w:r>
        <w:object w:dxaOrig="8640" w:dyaOrig="8444">
          <v:rect xmlns:o="urn:schemas-microsoft-com:office:office" xmlns:v="urn:schemas-microsoft-com:vml" id="rectole0000000020" style="width:432.000000pt;height:422.2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6">
    <w:abstractNumId w:val="42"/>
  </w:num>
  <w:num w:numId="31">
    <w:abstractNumId w:val="36"/>
  </w:num>
  <w:num w:numId="34">
    <w:abstractNumId w:val="30"/>
  </w:num>
  <w:num w:numId="37">
    <w:abstractNumId w:val="24"/>
  </w:num>
  <w:num w:numId="39">
    <w:abstractNumId w:val="18"/>
  </w:num>
  <w:num w:numId="51">
    <w:abstractNumId w:val="12"/>
  </w:num>
  <w:num w:numId="59">
    <w:abstractNumId w:val="6"/>
  </w:num>
  <w:num w:numId="6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media/image20.wmf" Id="docRId41"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styles.xml" Id="docRId43"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numbering.xml" Id="docRId42" Type="http://schemas.openxmlformats.org/officeDocument/2006/relationships/numbering"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s>
</file>