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61"/>
      </w:tblGrid>
      <w:tr w:rsidR="009D0749" w:rsidRPr="009D0749" w:rsidTr="009D0749">
        <w:tc>
          <w:tcPr>
            <w:tcW w:w="3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749" w:rsidRPr="009D0749" w:rsidRDefault="009D0749" w:rsidP="009D074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7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ЗАТВЕРДЖЕНО </w:t>
            </w:r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D07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постановою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Кабінету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Міні</w:t>
            </w:r>
            <w:proofErr w:type="gramStart"/>
            <w:r w:rsidRPr="009D07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стр</w:t>
            </w:r>
            <w:proofErr w:type="gramEnd"/>
            <w:r w:rsidRPr="009D07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ів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України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D07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від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14 лютого 2017 р. № 88</w:t>
            </w:r>
          </w:p>
        </w:tc>
      </w:tr>
    </w:tbl>
    <w:p w:rsidR="009D0749" w:rsidRPr="009D0749" w:rsidRDefault="009D0749" w:rsidP="009D0749">
      <w:pPr>
        <w:spacing w:after="0" w:line="240" w:lineRule="auto"/>
        <w:ind w:left="322" w:right="322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0" w:name="n8"/>
      <w:bookmarkEnd w:id="0"/>
      <w:r w:rsidRPr="009D0749">
        <w:rPr>
          <w:rFonts w:ascii="Times New Roman" w:eastAsia="Times New Roman" w:hAnsi="Times New Roman" w:cs="Times New Roman"/>
          <w:b/>
          <w:bCs/>
          <w:color w:val="000000"/>
          <w:sz w:val="32"/>
        </w:rPr>
        <w:t>ПОРЯДОК ТА УМОВИ </w: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32"/>
        </w:rPr>
        <w:t>надання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32"/>
        </w:rPr>
        <w:t>субвенції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32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 державного бюджету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32"/>
        </w:rPr>
        <w:t>місцевим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 бюджетам на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32"/>
        </w:rPr>
        <w:t>надання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32"/>
        </w:rPr>
        <w:t>державної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 </w:t>
      </w:r>
      <w:proofErr w:type="spellStart"/>
      <w:proofErr w:type="gramStart"/>
      <w:r w:rsidRPr="009D0749">
        <w:rPr>
          <w:rFonts w:ascii="Times New Roman" w:eastAsia="Times New Roman" w:hAnsi="Times New Roman" w:cs="Times New Roman"/>
          <w:b/>
          <w:bCs/>
          <w:color w:val="000000"/>
          <w:sz w:val="32"/>
        </w:rPr>
        <w:t>п</w:t>
      </w:r>
      <w:proofErr w:type="gramEnd"/>
      <w:r w:rsidRPr="009D0749">
        <w:rPr>
          <w:rFonts w:ascii="Times New Roman" w:eastAsia="Times New Roman" w:hAnsi="Times New Roman" w:cs="Times New Roman"/>
          <w:b/>
          <w:bCs/>
          <w:color w:val="000000"/>
          <w:sz w:val="32"/>
        </w:rPr>
        <w:t>ідтримки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 особам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32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32"/>
        </w:rPr>
        <w:t>особливими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32"/>
        </w:rPr>
        <w:t>освітніми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 потребами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1" w:name="n9"/>
      <w:bookmarkEnd w:id="1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1. </w:t>
      </w:r>
      <w:proofErr w:type="spellStart"/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Ц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Порядок 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умови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визначають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механізм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надання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субвенції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державного бюджету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місцевим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бюджетам на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надання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державної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підтримки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особам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особливими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освітніми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потребами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далі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-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субвенція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).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2" w:name="n10"/>
      <w:bookmarkEnd w:id="2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2.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Головним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розпорядником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субвенції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є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МОН.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3" w:name="n11"/>
      <w:bookmarkEnd w:id="3"/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Розпорядниками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субвенції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місцевими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бюджетами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є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структурні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ідрозділи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питань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освіти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науки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місцевих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органів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виконавчої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влади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органів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місцевого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самоврядування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які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визначаються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рішенням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відповідної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місцевої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ради про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такий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бюджет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згідно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законодавством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4" w:name="n12"/>
      <w:bookmarkEnd w:id="4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3.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Субвенція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спрямовується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на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надання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державної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ідтримки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особам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особливими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освітніми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потребами,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які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навчаються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у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спеціальних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інклюзивних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класах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закладів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загальної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середньої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освіти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крім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шкіл-інтернатів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спеціальних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шкіл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шкіл-інтернатів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санаторних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шкіл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шкіл-інтернатів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 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навчально-реабілітаційних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центрів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), 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саме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дітям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сліпим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зниженим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зором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глухим 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зниженим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слухом,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тяжкими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порушеннями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мовлення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затримкою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психічного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розвитку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порушеннями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опорно-рухового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апарату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порушенням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інтелектуального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розвитку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складними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порушеннями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розвитку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тому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числі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розладами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аутичного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спектру).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5" w:name="n48"/>
      <w:bookmarkEnd w:id="5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{Пункт 3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із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змінами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внесеними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згідно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Постановою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КМ </w:t>
      </w:r>
      <w:hyperlink r:id="rId4" w:anchor="n10" w:tgtFrame="_blank" w:history="1"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№ 863 </w:t>
        </w:r>
        <w:proofErr w:type="spellStart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>від</w:t>
        </w:r>
        <w:proofErr w:type="spellEnd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 15.11.2017</w:t>
        </w:r>
      </w:hyperlink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}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6" w:name="n13"/>
      <w:bookmarkEnd w:id="6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4. За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рахунок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субвенції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здійснюється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оплата </w:t>
      </w:r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таких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видатків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7" w:name="n14"/>
      <w:bookmarkEnd w:id="7"/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проведення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надання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додаткових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корекційно-розвиткових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занять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послуг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begin"/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instrText xml:space="preserve"> HYPERLINK "http://zakon5.rada.gov.ua/laws/show/88-2017-%D0%BF/paran8" \l "n29" </w:instrTex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separate"/>
      </w:r>
      <w:r w:rsidRPr="009D0749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</w:rPr>
        <w:t>додаток</w:t>
      </w:r>
      <w:proofErr w:type="spellEnd"/>
      <w:r w:rsidRPr="009D0749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</w:rPr>
        <w:t xml:space="preserve"> 1</w: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end"/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що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визначені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індиві</w:t>
      </w:r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дуальною</w:t>
      </w:r>
      <w:proofErr w:type="spellEnd"/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програмою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розвитку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для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учнів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інклюзивних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класів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робочим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навчальним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планом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індивідуальним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навчальним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планом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учня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 для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учнів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спеціальних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класів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8" w:name="n15"/>
      <w:bookmarkEnd w:id="8"/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придбання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спец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іальних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засобів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корекції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психофізичного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розвитку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які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дають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змогу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дитині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опанувати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навчальну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програму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На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придбання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зазначених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засобів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використовується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не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більш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як 35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відсотків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загального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обсягу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видатків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на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кожну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дитину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відповідного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закладу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загальної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середньої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освіти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яка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потребує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державної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ідтримки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За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наявності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у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закладі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декількох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дітей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особливими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освітніми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потребами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однаковими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нозологіями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разі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потреби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можлива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закупівля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спеціальних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засобів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корекції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психофізичного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розвитку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для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спільного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користування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Типовий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перелі</w:t>
      </w:r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</w:t>
      </w:r>
      <w:proofErr w:type="spellEnd"/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спец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іальних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засобів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корекції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психофізичного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розвитку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для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дітей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особливими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освітніми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потребами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затверджується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наказом МОН 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розміщується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на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офіційному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веб-сайті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Міністерства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9" w:name="n71"/>
      <w:bookmarkEnd w:id="9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У 2018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році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субвенція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в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обсязі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100000 тис</w:t>
      </w:r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г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ривень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спрямовується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на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оснащення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кабінетів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інклюзивно-ресурсних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центрів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для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надання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психолого-педагогічної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допомоги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дітям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особливими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освітніми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потребами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придбання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методичного,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навчального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програмного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забезпечення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предметів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матеріалів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обладнання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у тому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числі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довгострокового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користування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відповідно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до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вимог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затверджених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МОН.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10" w:name="n70"/>
      <w:bookmarkEnd w:id="10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{Пункт 4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доповнено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абзацом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згідно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Постановою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КМ </w:t>
      </w:r>
      <w:hyperlink r:id="rId5" w:anchor="n24" w:tgtFrame="_blank" w:history="1"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№ 88 </w:t>
        </w:r>
        <w:proofErr w:type="spellStart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>від</w:t>
        </w:r>
        <w:proofErr w:type="spellEnd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 21.02.2018</w:t>
        </w:r>
      </w:hyperlink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}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11" w:name="n49"/>
      <w:bookmarkEnd w:id="11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{Пункт 4 в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редакц</w:t>
      </w:r>
      <w:proofErr w:type="gram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ії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П</w:t>
      </w:r>
      <w:proofErr w:type="gram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останови КМ </w:t>
      </w:r>
      <w:hyperlink r:id="rId6" w:anchor="n11" w:tgtFrame="_blank" w:history="1"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№ 863 </w:t>
        </w:r>
        <w:proofErr w:type="spellStart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>від</w:t>
        </w:r>
        <w:proofErr w:type="spellEnd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 15.11.2017</w:t>
        </w:r>
      </w:hyperlink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}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12" w:name="n16"/>
      <w:bookmarkEnd w:id="12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5. Казначейство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перераховує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щомісяця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до 10 числа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субвенцію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на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рахунки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обласних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бюджеті</w:t>
      </w:r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</w:t>
      </w:r>
      <w:proofErr w:type="spellEnd"/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та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бюджету м.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Києва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відкриті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в органах Казначейства,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згідно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розписом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державного бюджету.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Перерахування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субвенції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здійснюється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відповідно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до</w: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7" w:anchor="n10" w:tgtFrame="_blank" w:history="1">
        <w:r w:rsidRPr="009D0749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 xml:space="preserve">Порядку </w:t>
        </w:r>
        <w:proofErr w:type="spellStart"/>
        <w:r w:rsidRPr="009D0749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перерахування</w:t>
        </w:r>
        <w:proofErr w:type="spellEnd"/>
        <w:r w:rsidRPr="009D0749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 xml:space="preserve"> </w:t>
        </w:r>
        <w:proofErr w:type="spellStart"/>
        <w:r w:rsidRPr="009D0749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міжбюджетних</w:t>
        </w:r>
        <w:proofErr w:type="spellEnd"/>
        <w:r w:rsidRPr="009D0749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 xml:space="preserve"> </w:t>
        </w:r>
        <w:proofErr w:type="spellStart"/>
        <w:r w:rsidRPr="009D0749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трансфертів</w:t>
        </w:r>
        <w:proofErr w:type="spellEnd"/>
      </w:hyperlink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затвердженого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постановою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Кабінету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Міні</w:t>
      </w:r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стр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України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від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15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грудня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2010 р. № 1132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Офіційний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вісник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України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 2010 р., № 96, ст. 3399).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13" w:name="n17"/>
      <w:bookmarkEnd w:id="13"/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Обласні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Київська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міська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держадміністрації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здійснюють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розподіл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субвенції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між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бюджетами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районів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мі</w:t>
      </w:r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ст</w:t>
      </w:r>
      <w:proofErr w:type="spellEnd"/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обласного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значення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об’єднаних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територіальних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громад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пропорційно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кількості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дітей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особливими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освітніми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потребами,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зазначених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у</w: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begin"/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instrText xml:space="preserve"> HYPERLINK "http://zakon5.rada.gov.ua/laws/show/88-2017-%D0%BF/paran8" \l "n12" </w:instrTex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separate"/>
      </w:r>
      <w:r w:rsidRPr="009D0749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</w:rPr>
        <w:t>пункті</w:t>
      </w:r>
      <w:proofErr w:type="spellEnd"/>
      <w:r w:rsidRPr="009D0749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</w:rPr>
        <w:t xml:space="preserve"> 3</w: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end"/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цих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Порядку та умов, а на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оснащення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кабінетів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інклюзивно-ресурсних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центрів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-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пропорційно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кількості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інклюзивно-ресурсних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центрів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які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утворені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які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планується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утворити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у 2018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році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відповідно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до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статистичних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даних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про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кількість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населення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у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віці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від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2 до 18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років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згідно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вимогами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утворення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інклюзивно-ресурсних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центрів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визначеними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у</w: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begin"/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instrText xml:space="preserve"> HYPERLINK "http://zakon5.rada.gov.ua/laws/show/545-2017-%D0%BF/paran11" \l "n11" \t "_blank" </w:instrTex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separate"/>
      </w:r>
      <w:r w:rsidRPr="009D0749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>Положенні</w:t>
      </w:r>
      <w:proofErr w:type="spellEnd"/>
      <w:r w:rsidRPr="009D0749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 xml:space="preserve"> про </w:t>
      </w:r>
      <w:proofErr w:type="spellStart"/>
      <w:r w:rsidRPr="009D0749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>інклюзивно-ресурсний</w:t>
      </w:r>
      <w:proofErr w:type="spellEnd"/>
      <w:r w:rsidRPr="009D0749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 xml:space="preserve"> центр</w: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end"/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затвердженому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постановою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Кабінету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Міні</w:t>
      </w:r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стр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України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від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12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липня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2017 р. № 545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Офіційний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вісник</w:t>
      </w:r>
      <w:proofErr w:type="spellEnd"/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України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 2017 р., № 61, ст. 1859).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14" w:name="n72"/>
      <w:bookmarkEnd w:id="14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{Абзац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другий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пункту 5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із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змінами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внесеними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згідно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Постановою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КМ </w:t>
      </w:r>
      <w:hyperlink r:id="rId8" w:anchor="n26" w:tgtFrame="_blank" w:history="1"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№ 88 </w:t>
        </w:r>
        <w:proofErr w:type="spellStart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>від</w:t>
        </w:r>
        <w:proofErr w:type="spellEnd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 21.02.2018</w:t>
        </w:r>
      </w:hyperlink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}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15" w:name="n18"/>
      <w:bookmarkEnd w:id="15"/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Органи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Казначейства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перераховують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щомісяця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до 25 числа на </w:t>
      </w:r>
      <w:proofErr w:type="spellStart"/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ідставі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платіжних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документів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підготовлених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обласними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Київською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міською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держадміністраціями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кошти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на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рахунки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районних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бюджетів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бюджетів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міст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обласного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значення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об’єднаних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територіальних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громад,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відкриті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в органах Казначейства.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16" w:name="n19"/>
      <w:bookmarkEnd w:id="16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6.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Закупівля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товарі</w:t>
      </w:r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</w:t>
      </w:r>
      <w:proofErr w:type="spellEnd"/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робіт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послуг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рахунок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субвенції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здійснюється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в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установленому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законом порядку.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17" w:name="n20"/>
      <w:bookmarkEnd w:id="17"/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Попередня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оплата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товарів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робіт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послуг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що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закуповуються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рахунок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субвенції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здійснюється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відповідно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до постанови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Кабінету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Міні</w:t>
      </w:r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стр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України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від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23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квітня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2014 р.</w: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9" w:tgtFrame="_blank" w:history="1">
        <w:r w:rsidRPr="009D0749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№ 117</w:t>
        </w:r>
      </w:hyperlink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“Про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здійснення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попередньої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оплати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товарів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робіт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послуг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що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закуповуються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бюджетні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кошти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”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Офіційний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вісник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України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2014 р., № </w:t>
      </w:r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34, ст. 916; 2016 р., № 89, ст. 2918).</w:t>
      </w:r>
      <w:proofErr w:type="gramEnd"/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18" w:name="n21"/>
      <w:bookmarkEnd w:id="18"/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Додаткові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корекційно-розвиткові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заняття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послуги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проводяться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надаються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фахівцями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числа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працівників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закладу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загальної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середньої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освіти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та </w:t>
      </w:r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разі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потреби -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додатково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залученими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фахівцями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якими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заклад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загальної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середньої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освіти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або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відповідний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орган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управління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освітою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укладають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цивільно-правові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договори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begin"/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instrText xml:space="preserve"> HYPERLINK "http://zakon5.rada.gov.ua/laws/show/88-2017-%D0%BF/paran8" \l "n63" </w:instrTex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separate"/>
      </w:r>
      <w:r w:rsidRPr="009D0749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</w:rPr>
        <w:t>додаток</w:t>
      </w:r>
      <w:proofErr w:type="spellEnd"/>
      <w:r w:rsidRPr="009D0749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</w:rPr>
        <w:t xml:space="preserve"> 3</w: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end"/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).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19" w:name="n50"/>
      <w:bookmarkEnd w:id="19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{Абзац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третій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пункту 6 в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редакц</w:t>
      </w:r>
      <w:proofErr w:type="gram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ії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П</w:t>
      </w:r>
      <w:proofErr w:type="gram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останови КМ </w:t>
      </w:r>
      <w:hyperlink r:id="rId10" w:anchor="n16" w:tgtFrame="_blank" w:history="1"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№ 863 </w:t>
        </w:r>
        <w:proofErr w:type="spellStart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>від</w:t>
        </w:r>
        <w:proofErr w:type="spellEnd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 15.11.2017</w:t>
        </w:r>
      </w:hyperlink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}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20" w:name="n22"/>
      <w:bookmarkEnd w:id="20"/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Оплата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праці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зазначених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фахівців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проведення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надання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корекційно-розвиткових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занять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послуг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здійснюється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 ставками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погодинної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оплати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праці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працівників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усіх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галузей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економіки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проведення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навчальних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занять у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розмірах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передбачених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для доцента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або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кандидата наук,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які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проводять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навчальні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заняття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учнями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шкіл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установленими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в</w: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begin"/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instrText xml:space="preserve"> HYPERLINK "http://zakon5.rada.gov.ua/laws/show/1298-2002-%D0%BF/paran98" \l "n98" \t "_blank" </w:instrTex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separate"/>
      </w:r>
      <w:r w:rsidRPr="009D0749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>додатку</w:t>
      </w:r>
      <w:proofErr w:type="spellEnd"/>
      <w:r w:rsidRPr="009D0749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 xml:space="preserve"> 5</w: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end"/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до постанови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Кабінету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Мін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</w:t>
      </w:r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стр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України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від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30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серпня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2002 р. № 1298 “Про оплату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праці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працівників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на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основі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Єдиної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тарифної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сітки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розрядів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коефіцієнтів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оплати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праці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працівників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установ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закладів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організацій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окремих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галузей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бюджетної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сфери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”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Офіційний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вісник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України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 2002 р., № 36, ст. 1699).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21" w:name="n51"/>
      <w:bookmarkEnd w:id="21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{Абзац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четвертий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пункту 6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із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змінами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внесеними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згідно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Постановою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КМ </w:t>
      </w:r>
      <w:hyperlink r:id="rId11" w:anchor="n18" w:tgtFrame="_blank" w:history="1"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№ 863 </w:t>
        </w:r>
        <w:proofErr w:type="spellStart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>від</w:t>
        </w:r>
        <w:proofErr w:type="spellEnd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 15.11.2017</w:t>
        </w:r>
      </w:hyperlink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}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22" w:name="n53"/>
      <w:bookmarkEnd w:id="22"/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Тривалість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групових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або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індивідуальних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корекційно-розвиткових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занять для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учнів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особливими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освітніми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потребами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визначена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у</w: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12" w:anchor="n8" w:tgtFrame="_blank" w:history="1">
        <w:r w:rsidRPr="009D0749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 xml:space="preserve">Порядку </w:t>
        </w:r>
        <w:proofErr w:type="spellStart"/>
        <w:r w:rsidRPr="009D0749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організації</w:t>
        </w:r>
        <w:proofErr w:type="spellEnd"/>
        <w:r w:rsidRPr="009D0749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 xml:space="preserve"> </w:t>
        </w:r>
        <w:proofErr w:type="spellStart"/>
        <w:r w:rsidRPr="009D0749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інклюзивного</w:t>
        </w:r>
        <w:proofErr w:type="spellEnd"/>
        <w:r w:rsidRPr="009D0749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 xml:space="preserve"> </w:t>
        </w:r>
        <w:proofErr w:type="spellStart"/>
        <w:r w:rsidRPr="009D0749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навчання</w:t>
        </w:r>
        <w:proofErr w:type="spellEnd"/>
        <w:r w:rsidRPr="009D0749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 xml:space="preserve"> у </w:t>
        </w:r>
        <w:proofErr w:type="spellStart"/>
        <w:r w:rsidRPr="009D0749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загальноосвітніх</w:t>
        </w:r>
        <w:proofErr w:type="spellEnd"/>
        <w:r w:rsidRPr="009D0749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 xml:space="preserve"> </w:t>
        </w:r>
        <w:proofErr w:type="spellStart"/>
        <w:r w:rsidRPr="009D0749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навчальних</w:t>
        </w:r>
        <w:proofErr w:type="spellEnd"/>
        <w:r w:rsidRPr="009D0749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 xml:space="preserve"> закладах</w:t>
        </w:r>
      </w:hyperlink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затвердженому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постановою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Кабінету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Міні</w:t>
      </w:r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стр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України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від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15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серпня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2011 р. № 872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Офіційний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вісник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України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2011 р., № 62, ст. 2475).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Скорочена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тривалість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корекційно-розвиткових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занять,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встановлена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для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учнів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особливими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освітніми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потребами, не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є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ідставою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для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зменшення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оплати за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їх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проведення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Оплата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праці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фахівців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кожне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корекційно-розвиткове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заняття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здійснюється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 ставками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погодинної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оплати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праці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визначеними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в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абзаці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четвертому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цього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пункту.</w:t>
      </w:r>
      <w:proofErr w:type="gramEnd"/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23" w:name="n55"/>
      <w:bookmarkEnd w:id="23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{Пункт 6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доповнено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абзацом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згідно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Постановою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КМ </w:t>
      </w:r>
      <w:hyperlink r:id="rId13" w:anchor="n19" w:tgtFrame="_blank" w:history="1"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№ 863 </w:t>
        </w:r>
        <w:proofErr w:type="spellStart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>від</w:t>
        </w:r>
        <w:proofErr w:type="spellEnd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 15.11.2017</w:t>
        </w:r>
      </w:hyperlink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;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із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змінами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внесеними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згідно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Постановою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КМ </w:t>
      </w:r>
      <w:hyperlink r:id="rId14" w:anchor="n27" w:tgtFrame="_blank" w:history="1"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№ 88 </w:t>
        </w:r>
        <w:proofErr w:type="spellStart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>від</w:t>
        </w:r>
        <w:proofErr w:type="spellEnd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 21.02.2018</w:t>
        </w:r>
      </w:hyperlink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}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24" w:name="n54"/>
      <w:bookmarkEnd w:id="24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Оплата за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проведені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надані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корекційно-розвиткові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заняття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послуги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здійснюється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щомісяця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на </w:t>
      </w:r>
      <w:proofErr w:type="spellStart"/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ідставі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актів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приймання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проведених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наданих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корекційно-розвиткових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занять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послуг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begin"/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instrText xml:space="preserve"> HYPERLINK "http://zakon5.rada.gov.ua/laws/show/88-2017-%D0%BF/paran8" \l "n65" </w:instrTex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separate"/>
      </w:r>
      <w:r w:rsidRPr="009D0749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</w:rPr>
        <w:t>додаток</w:t>
      </w:r>
      <w:proofErr w:type="spellEnd"/>
      <w:r w:rsidRPr="009D0749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</w:rPr>
        <w:t xml:space="preserve"> 4</w: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end"/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).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25" w:name="n52"/>
      <w:bookmarkEnd w:id="25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{Пункт 6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доповнено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абзацом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згідно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Постановою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КМ </w:t>
      </w:r>
      <w:hyperlink r:id="rId15" w:anchor="n19" w:tgtFrame="_blank" w:history="1"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№ 863 </w:t>
        </w:r>
        <w:proofErr w:type="spellStart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>від</w:t>
        </w:r>
        <w:proofErr w:type="spellEnd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 15.11.2017</w:t>
        </w:r>
      </w:hyperlink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}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26" w:name="n23"/>
      <w:bookmarkEnd w:id="26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 xml:space="preserve">7. Казначейство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інформує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щомісяця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до 15 числа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Мінфін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та МОН про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обсяги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перерахування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субвенції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попередній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місяць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у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розрізі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місцевих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бюджетів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що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фінансуються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її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рахунок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27" w:name="n24"/>
      <w:bookmarkEnd w:id="27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8.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Відображення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у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первинному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бухгалтерському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обл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іку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інформації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про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отримані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створені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оборотні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необоротні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активи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також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відкриття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рахунків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реєстрація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облік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бюджетних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зобов’язань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в органах Казначейства 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операції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пов’язані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використанням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субвенції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здійснюються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в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установленому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законодавством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порядку.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28" w:name="n25"/>
      <w:bookmarkEnd w:id="28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9.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Обласні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Київська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міська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держадміністрації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подають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МОН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щокварталу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до 10 числа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наступного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місяця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інформацію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про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використання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субвенції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begin"/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instrText xml:space="preserve"> HYPERLINK "http://zakon5.rada.gov.ua/laws/show/88-2017-%D0%BF/paran8" \l "n41" </w:instrTex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separate"/>
      </w:r>
      <w:r w:rsidRPr="009D0749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</w:rPr>
        <w:t>додаток</w:t>
      </w:r>
      <w:proofErr w:type="spellEnd"/>
      <w:r w:rsidRPr="009D0749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</w:rPr>
        <w:t xml:space="preserve"> 2</w: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end"/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).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29" w:name="n26"/>
      <w:bookmarkEnd w:id="29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{Абзац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другий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пункту 9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виключено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на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підстав</w:t>
      </w:r>
      <w:proofErr w:type="gram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і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П</w:t>
      </w:r>
      <w:proofErr w:type="gram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останови КМ </w:t>
      </w:r>
      <w:hyperlink r:id="rId16" w:anchor="n22" w:tgtFrame="_blank" w:history="1"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№ 863 </w:t>
        </w:r>
        <w:proofErr w:type="spellStart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>від</w:t>
        </w:r>
        <w:proofErr w:type="spellEnd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 15.11.2017</w:t>
        </w:r>
      </w:hyperlink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}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30" w:name="n27"/>
      <w:bookmarkEnd w:id="30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10.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Складення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подання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фінансової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бюджетної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звітності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про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використання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субвенції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також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контроль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відповідальність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її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цільовим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використанням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подання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інформації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здійснюються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в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установленому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законодавством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порядку.</w:t>
      </w:r>
    </w:p>
    <w:p w:rsidR="009D0749" w:rsidRPr="009D0749" w:rsidRDefault="009D0749" w:rsidP="009D0749">
      <w:pPr>
        <w:spacing w:before="43" w:after="1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bookmarkStart w:id="31" w:name="n45"/>
      <w:bookmarkEnd w:id="31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/>
      </w:tblPr>
      <w:tblGrid>
        <w:gridCol w:w="4355"/>
        <w:gridCol w:w="5006"/>
      </w:tblGrid>
      <w:tr w:rsidR="009D0749" w:rsidRPr="009D0749" w:rsidTr="009D0749">
        <w:tc>
          <w:tcPr>
            <w:tcW w:w="2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749" w:rsidRPr="009D0749" w:rsidRDefault="009D0749" w:rsidP="009D0749">
            <w:pPr>
              <w:spacing w:before="107" w:after="107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n28"/>
            <w:bookmarkEnd w:id="32"/>
          </w:p>
        </w:tc>
        <w:tc>
          <w:tcPr>
            <w:tcW w:w="23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749" w:rsidRPr="009D0749" w:rsidRDefault="009D0749" w:rsidP="009D0749">
            <w:pPr>
              <w:spacing w:before="107" w:after="107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Додаток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1 </w:t>
            </w:r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до Порядку та умов</w:t>
            </w:r>
          </w:p>
        </w:tc>
      </w:tr>
    </w:tbl>
    <w:p w:rsidR="009D0749" w:rsidRPr="009D0749" w:rsidRDefault="009D0749" w:rsidP="009D0749">
      <w:pPr>
        <w:spacing w:after="0" w:line="240" w:lineRule="auto"/>
        <w:ind w:left="322" w:right="322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33" w:name="n29"/>
      <w:bookmarkEnd w:id="33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ПРИМІРНИЙ ПЕРЕЛІК </w: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додаткових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корекційно-розвиткових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занять (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послуг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) для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дітей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особливими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освітніми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потребами,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які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навчаються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gram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у</w:t>
      </w:r>
      <w:proofErr w:type="gram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спеціальних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та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інклюзивних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класах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закладів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загальної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середньої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освіти</w:t>
      </w:r>
      <w:proofErr w:type="spellEnd"/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34" w:name="n30"/>
      <w:bookmarkEnd w:id="34"/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Ритміка</w:t>
      </w:r>
      <w:proofErr w:type="spellEnd"/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35" w:name="n31"/>
      <w:bookmarkEnd w:id="35"/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Розвиток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мовлення</w:t>
      </w:r>
      <w:proofErr w:type="spellEnd"/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36" w:name="n32"/>
      <w:bookmarkEnd w:id="36"/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Лікувальна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фізкультура</w:t>
      </w:r>
      <w:proofErr w:type="spellEnd"/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37" w:name="n33"/>
      <w:bookmarkEnd w:id="37"/>
      <w:proofErr w:type="spellStart"/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Соц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іально-побутове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орієнтування</w:t>
      </w:r>
      <w:proofErr w:type="spellEnd"/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38" w:name="n34"/>
      <w:bookmarkEnd w:id="38"/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Корекція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розвитку</w:t>
      </w:r>
      <w:proofErr w:type="spellEnd"/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39" w:name="n35"/>
      <w:bookmarkEnd w:id="39"/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Орієнтування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у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просторі</w:t>
      </w:r>
      <w:proofErr w:type="spellEnd"/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40" w:name="n36"/>
      <w:bookmarkEnd w:id="40"/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Розвиток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слухового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зорового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тактильного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сприймання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мовлення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формування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вимови</w:t>
      </w:r>
      <w:proofErr w:type="spellEnd"/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41" w:name="n37"/>
      <w:bookmarkEnd w:id="41"/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Корекція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зору</w:t>
      </w:r>
      <w:proofErr w:type="spellEnd"/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42" w:name="n38"/>
      <w:bookmarkEnd w:id="42"/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Корекція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розвиток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психофізичних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функцій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використання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елементів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кінезіотерапії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анімалотерапії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іп</w:t>
      </w:r>
      <w:proofErr w:type="gram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-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каніс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-,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феліно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-,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орніто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-),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арт-терапії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ізо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-,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драмо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-,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казко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-,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музико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-,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кіно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-,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піско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-,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ігро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-,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мульт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-, фото-,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кольоро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-,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пластилінової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танцювальної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терапії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психогімнастики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працетерапії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ерготерапії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ароматерапії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Монтессорі-терапії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тощо</w:t>
      </w:r>
      <w:proofErr w:type="spellEnd"/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43" w:name="n57"/>
      <w:bookmarkEnd w:id="43"/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Логоритміка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та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інші</w:t>
      </w:r>
      <w:proofErr w:type="spellEnd"/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44" w:name="n56"/>
      <w:bookmarkEnd w:id="44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{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Додаток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1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із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змінами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внесеними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згідно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Постановою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КМ </w:t>
      </w:r>
      <w:hyperlink r:id="rId17" w:anchor="n24" w:tgtFrame="_blank" w:history="1"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№ 863 </w:t>
        </w:r>
        <w:proofErr w:type="spellStart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>від</w:t>
        </w:r>
        <w:proofErr w:type="spellEnd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 15.11.2017</w:t>
        </w:r>
      </w:hyperlink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}</w:t>
      </w:r>
    </w:p>
    <w:p w:rsidR="009D0749" w:rsidRPr="009D0749" w:rsidRDefault="009D0749" w:rsidP="009D0749">
      <w:pPr>
        <w:spacing w:before="43" w:after="1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bookmarkStart w:id="45" w:name="n46"/>
      <w:bookmarkEnd w:id="45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/>
      </w:tblPr>
      <w:tblGrid>
        <w:gridCol w:w="4355"/>
        <w:gridCol w:w="5006"/>
      </w:tblGrid>
      <w:tr w:rsidR="009D0749" w:rsidRPr="009D0749" w:rsidTr="009D0749">
        <w:tc>
          <w:tcPr>
            <w:tcW w:w="2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749" w:rsidRPr="009D0749" w:rsidRDefault="009D0749" w:rsidP="009D0749">
            <w:pPr>
              <w:spacing w:before="107" w:after="107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6" w:name="n40"/>
            <w:bookmarkEnd w:id="46"/>
          </w:p>
        </w:tc>
        <w:tc>
          <w:tcPr>
            <w:tcW w:w="23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749" w:rsidRPr="009D0749" w:rsidRDefault="009D0749" w:rsidP="009D074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Додаток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2 </w:t>
            </w:r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до Порядку та умов </w:t>
            </w:r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(в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редакції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постанови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Кабінету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Міні</w:t>
            </w:r>
            <w:proofErr w:type="gram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стр</w:t>
            </w:r>
            <w:proofErr w:type="gram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ів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України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8" w:anchor="n31" w:tgtFrame="_blank" w:history="1">
              <w:proofErr w:type="spellStart"/>
              <w:r w:rsidRPr="009D0749">
                <w:rPr>
                  <w:rFonts w:ascii="Times New Roman" w:eastAsia="Times New Roman" w:hAnsi="Times New Roman" w:cs="Times New Roman"/>
                  <w:color w:val="000099"/>
                  <w:sz w:val="24"/>
                  <w:szCs w:val="24"/>
                  <w:u w:val="single"/>
                </w:rPr>
                <w:t>від</w:t>
              </w:r>
              <w:proofErr w:type="spellEnd"/>
              <w:r w:rsidRPr="009D0749">
                <w:rPr>
                  <w:rFonts w:ascii="Times New Roman" w:eastAsia="Times New Roman" w:hAnsi="Times New Roman" w:cs="Times New Roman"/>
                  <w:color w:val="000099"/>
                  <w:sz w:val="24"/>
                  <w:szCs w:val="24"/>
                  <w:u w:val="single"/>
                </w:rPr>
                <w:t xml:space="preserve"> 21 лютого 2018 р. № 88</w:t>
              </w:r>
            </w:hyperlink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D0749" w:rsidRPr="009D0749" w:rsidRDefault="009D0749" w:rsidP="009D0749">
      <w:pPr>
        <w:spacing w:after="100" w:line="240" w:lineRule="auto"/>
        <w:ind w:left="322" w:right="322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47" w:name="n41"/>
      <w:bookmarkEnd w:id="47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ІНФОРМАЦІЯ </w: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щодо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використання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субвенції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державного бюджету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місцевим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бюджетам на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надання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державної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proofErr w:type="gram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п</w:t>
      </w:r>
      <w:proofErr w:type="gram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ідтримки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особам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особливими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освітніми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потребами за ___ квартал 20___ року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/>
      </w:tblPr>
      <w:tblGrid>
        <w:gridCol w:w="760"/>
        <w:gridCol w:w="1272"/>
        <w:gridCol w:w="1292"/>
        <w:gridCol w:w="1489"/>
        <w:gridCol w:w="1489"/>
        <w:gridCol w:w="1703"/>
        <w:gridCol w:w="1350"/>
      </w:tblGrid>
      <w:tr w:rsidR="009D0749" w:rsidRPr="009D0749" w:rsidTr="009D0749">
        <w:trPr>
          <w:trHeight w:val="315"/>
        </w:trPr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D0749" w:rsidRPr="009D0749" w:rsidRDefault="009D0749" w:rsidP="009D0749">
            <w:pPr>
              <w:spacing w:before="107" w:after="107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8" w:name="n73"/>
            <w:bookmarkEnd w:id="48"/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Регіон</w:t>
            </w:r>
            <w:proofErr w:type="spellEnd"/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749" w:rsidRPr="009D0749" w:rsidRDefault="009D0749" w:rsidP="009D0749">
            <w:pPr>
              <w:spacing w:before="107" w:after="107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Обсяг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субвенції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*, тис</w:t>
            </w:r>
            <w:proofErr w:type="gram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г</w:t>
            </w:r>
            <w:proofErr w:type="gram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ривень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749" w:rsidRPr="009D0749" w:rsidRDefault="009D0749" w:rsidP="009D0749">
            <w:pPr>
              <w:spacing w:before="107" w:after="107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Кількість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осіб</w:t>
            </w:r>
            <w:proofErr w:type="spellEnd"/>
            <w:proofErr w:type="gram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особливими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освітніми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потребами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749" w:rsidRPr="009D0749" w:rsidRDefault="009D0749" w:rsidP="009D0749">
            <w:pPr>
              <w:spacing w:before="107" w:after="107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Загальна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кількість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проведених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наданих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корекційно-розвиткових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занять (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послуг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), годин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749" w:rsidRPr="009D0749" w:rsidRDefault="009D0749" w:rsidP="009D0749">
            <w:pPr>
              <w:spacing w:before="107" w:after="107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Обсяг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видатків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проведення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надання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корекційно-розвиткових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занять (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послуг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), тис</w:t>
            </w:r>
            <w:proofErr w:type="gram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proofErr w:type="gram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ривень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749" w:rsidRPr="009D0749" w:rsidRDefault="009D0749" w:rsidP="009D0749">
            <w:pPr>
              <w:spacing w:before="107" w:after="107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Обсяг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видатків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придбання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спеціальних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засобів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корекції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психофізичного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розвитку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, тис</w:t>
            </w:r>
            <w:proofErr w:type="gram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proofErr w:type="gram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ривень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D0749" w:rsidRPr="009D0749" w:rsidRDefault="009D0749" w:rsidP="009D0749">
            <w:pPr>
              <w:spacing w:before="107" w:after="107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Обсяг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видатків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оснащення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інклюзивно-ресурсних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центрів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, тис</w:t>
            </w:r>
            <w:proofErr w:type="gram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proofErr w:type="gram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ривень</w:t>
            </w:r>
            <w:proofErr w:type="spellEnd"/>
          </w:p>
        </w:tc>
      </w:tr>
      <w:tr w:rsidR="009D0749" w:rsidRPr="009D0749" w:rsidTr="009D0749"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D0749" w:rsidRPr="009D0749" w:rsidRDefault="009D0749" w:rsidP="009D0749">
            <w:pPr>
              <w:spacing w:before="107" w:after="107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749" w:rsidRPr="009D0749" w:rsidRDefault="009D0749" w:rsidP="009D0749">
            <w:pPr>
              <w:spacing w:before="107" w:after="107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749" w:rsidRPr="009D0749" w:rsidRDefault="009D0749" w:rsidP="009D0749">
            <w:pPr>
              <w:spacing w:before="107" w:after="107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749" w:rsidRPr="009D0749" w:rsidRDefault="009D0749" w:rsidP="009D0749">
            <w:pPr>
              <w:spacing w:before="107" w:after="107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749" w:rsidRPr="009D0749" w:rsidRDefault="009D0749" w:rsidP="009D0749">
            <w:pPr>
              <w:spacing w:before="107" w:after="107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0749" w:rsidRPr="009D0749" w:rsidRDefault="009D0749" w:rsidP="009D0749">
            <w:pPr>
              <w:spacing w:before="107" w:after="107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D0749" w:rsidRPr="009D0749" w:rsidRDefault="009D0749" w:rsidP="009D0749">
            <w:pPr>
              <w:spacing w:before="107" w:after="107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9D0749" w:rsidRPr="009D0749" w:rsidRDefault="009D0749" w:rsidP="009D074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49" w:name="n43"/>
      <w:bookmarkEnd w:id="49"/>
      <w:r w:rsidRPr="009D0749">
        <w:rPr>
          <w:rFonts w:ascii="Times New Roman" w:eastAsia="Times New Roman" w:hAnsi="Times New Roman" w:cs="Times New Roman"/>
          <w:color w:val="000000"/>
          <w:sz w:val="20"/>
        </w:rPr>
        <w:t>__________ </w: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9D0749">
        <w:rPr>
          <w:rFonts w:ascii="Times New Roman" w:eastAsia="Times New Roman" w:hAnsi="Times New Roman" w:cs="Times New Roman"/>
          <w:color w:val="000000"/>
          <w:sz w:val="20"/>
        </w:rPr>
        <w:t xml:space="preserve">*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0"/>
        </w:rPr>
        <w:t>Зазначається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0"/>
        </w:rPr>
        <w:t>обсяг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0"/>
        </w:rPr>
        <w:t>субвенції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0"/>
        </w:rPr>
        <w:t>що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0"/>
        </w:rPr>
        <w:t>перерахований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0"/>
        </w:rPr>
        <w:t xml:space="preserve"> органами Казначейства на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0"/>
        </w:rPr>
        <w:t>рахунки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0"/>
        </w:rPr>
        <w:t>відповідних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0"/>
        </w:rPr>
        <w:t>бюджетів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0"/>
        </w:rPr>
        <w:t xml:space="preserve"> за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0"/>
        </w:rPr>
        <w:t>звітний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0"/>
        </w:rPr>
        <w:t>період</w:t>
      </w:r>
      <w:proofErr w:type="spellEnd"/>
      <w:proofErr w:type="gramStart"/>
      <w:r w:rsidRPr="009D0749">
        <w:rPr>
          <w:rFonts w:ascii="Times New Roman" w:eastAsia="Times New Roman" w:hAnsi="Times New Roman" w:cs="Times New Roman"/>
          <w:color w:val="000000"/>
          <w:sz w:val="20"/>
        </w:rPr>
        <w:t>.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0"/>
        </w:rPr>
        <w:t>І</w:t>
      </w:r>
      <w:proofErr w:type="gramStart"/>
      <w:r w:rsidRPr="009D0749">
        <w:rPr>
          <w:rFonts w:ascii="Times New Roman" w:eastAsia="Times New Roman" w:hAnsi="Times New Roman" w:cs="Times New Roman"/>
          <w:color w:val="000000"/>
          <w:sz w:val="20"/>
        </w:rPr>
        <w:t>н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0"/>
        </w:rPr>
        <w:t>формація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0"/>
        </w:rPr>
        <w:t xml:space="preserve"> за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0"/>
        </w:rPr>
        <w:t>другий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0"/>
        </w:rPr>
        <w:t xml:space="preserve"> (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0"/>
        </w:rPr>
        <w:t>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0"/>
        </w:rPr>
        <w:t>наступний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0"/>
        </w:rPr>
        <w:t xml:space="preserve">) квартал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0"/>
        </w:rPr>
        <w:t>включає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0"/>
        </w:rPr>
        <w:t>дані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0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0"/>
        </w:rPr>
        <w:t>урахуванням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0"/>
        </w:rPr>
        <w:t>попереднього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color w:val="000000"/>
          <w:sz w:val="20"/>
        </w:rPr>
        <w:t>періоду</w:t>
      </w:r>
      <w:proofErr w:type="spellEnd"/>
      <w:r w:rsidRPr="009D0749">
        <w:rPr>
          <w:rFonts w:ascii="Times New Roman" w:eastAsia="Times New Roman" w:hAnsi="Times New Roman" w:cs="Times New Roman"/>
          <w:color w:val="000000"/>
          <w:sz w:val="20"/>
        </w:rPr>
        <w:t>.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50" w:name="n58"/>
      <w:bookmarkEnd w:id="50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{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Додаток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2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із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змінами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внесеними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згідно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Постановою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КМ </w:t>
      </w:r>
      <w:hyperlink r:id="rId19" w:anchor="n34" w:tgtFrame="_blank" w:history="1"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№ 863 </w:t>
        </w:r>
        <w:proofErr w:type="spellStart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>від</w:t>
        </w:r>
        <w:proofErr w:type="spellEnd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 15.11.2017</w:t>
        </w:r>
      </w:hyperlink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; в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редакц</w:t>
      </w:r>
      <w:proofErr w:type="gram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ії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П</w:t>
      </w:r>
      <w:proofErr w:type="gram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останови КМ </w:t>
      </w:r>
      <w:hyperlink r:id="rId20" w:anchor="n28" w:tgtFrame="_blank" w:history="1"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№ 88 </w:t>
        </w:r>
        <w:proofErr w:type="spellStart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>від</w:t>
        </w:r>
        <w:proofErr w:type="spellEnd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 21.02.2018</w:t>
        </w:r>
      </w:hyperlink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}</w:t>
      </w:r>
    </w:p>
    <w:p w:rsidR="009D0749" w:rsidRPr="009D0749" w:rsidRDefault="009D0749" w:rsidP="009D0749">
      <w:pPr>
        <w:spacing w:before="43" w:after="1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bookmarkStart w:id="51" w:name="n61"/>
      <w:bookmarkEnd w:id="51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/>
      </w:tblPr>
      <w:tblGrid>
        <w:gridCol w:w="4355"/>
        <w:gridCol w:w="5006"/>
      </w:tblGrid>
      <w:tr w:rsidR="009D0749" w:rsidRPr="009D0749" w:rsidTr="009D0749">
        <w:tc>
          <w:tcPr>
            <w:tcW w:w="2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749" w:rsidRPr="009D0749" w:rsidRDefault="009D0749" w:rsidP="009D0749">
            <w:pPr>
              <w:spacing w:before="107" w:after="107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2" w:name="n62"/>
            <w:bookmarkEnd w:id="52"/>
          </w:p>
        </w:tc>
        <w:tc>
          <w:tcPr>
            <w:tcW w:w="23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749" w:rsidRPr="009D0749" w:rsidRDefault="009D0749" w:rsidP="009D0749">
            <w:pPr>
              <w:spacing w:before="107" w:after="107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Додаток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3 </w:t>
            </w:r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до Порядку та умов</w:t>
            </w:r>
          </w:p>
        </w:tc>
      </w:tr>
    </w:tbl>
    <w:bookmarkStart w:id="53" w:name="n63"/>
    <w:bookmarkEnd w:id="53"/>
    <w:p w:rsidR="009D0749" w:rsidRPr="009D0749" w:rsidRDefault="009D0749" w:rsidP="009D0749">
      <w:pPr>
        <w:spacing w:after="0" w:line="240" w:lineRule="auto"/>
        <w:ind w:left="322" w:right="322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begin"/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instrText xml:space="preserve"> HYPERLINK "http://zakon5.rada.gov.ua/laws/file/text/58/f464853n68.doc" </w:instrTex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separate"/>
      </w:r>
      <w:r w:rsidRPr="009D0749">
        <w:rPr>
          <w:rFonts w:ascii="Times New Roman" w:eastAsia="Times New Roman" w:hAnsi="Times New Roman" w:cs="Times New Roman"/>
          <w:b/>
          <w:bCs/>
          <w:color w:val="DD330F"/>
          <w:sz w:val="28"/>
          <w:u w:val="single"/>
        </w:rPr>
        <w:t>ТИПОВИЙ ДОГОВІ</w:t>
      </w:r>
      <w:proofErr w:type="gramStart"/>
      <w:r w:rsidRPr="009D0749">
        <w:rPr>
          <w:rFonts w:ascii="Times New Roman" w:eastAsia="Times New Roman" w:hAnsi="Times New Roman" w:cs="Times New Roman"/>
          <w:b/>
          <w:bCs/>
          <w:color w:val="DD330F"/>
          <w:sz w:val="28"/>
          <w:u w:val="single"/>
        </w:rPr>
        <w:t>Р</w:t>
      </w:r>
      <w:proofErr w:type="gramEnd"/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end"/>
      </w:r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 </w: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на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проведення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(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надання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)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корекційно-розвиткових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занять (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послуг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)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54" w:name="n66"/>
      <w:bookmarkEnd w:id="54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{Порядок та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умови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доповнено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додатком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3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згідно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Постановою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КМ </w:t>
      </w:r>
      <w:hyperlink r:id="rId21" w:anchor="n37" w:tgtFrame="_blank" w:history="1"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№ 863 </w:t>
        </w:r>
        <w:proofErr w:type="spellStart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>від</w:t>
        </w:r>
        <w:proofErr w:type="spellEnd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 15.11.2017</w:t>
        </w:r>
      </w:hyperlink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}</w:t>
      </w:r>
    </w:p>
    <w:p w:rsidR="009D0749" w:rsidRPr="009D0749" w:rsidRDefault="009D0749" w:rsidP="009D0749">
      <w:pPr>
        <w:spacing w:after="10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55" w:name="n67"/>
      <w:bookmarkEnd w:id="55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br/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/>
      </w:tblPr>
      <w:tblGrid>
        <w:gridCol w:w="4355"/>
        <w:gridCol w:w="5006"/>
      </w:tblGrid>
      <w:tr w:rsidR="009D0749" w:rsidRPr="009D0749" w:rsidTr="009D0749">
        <w:tc>
          <w:tcPr>
            <w:tcW w:w="2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749" w:rsidRPr="009D0749" w:rsidRDefault="009D0749" w:rsidP="009D0749">
            <w:pPr>
              <w:spacing w:before="107" w:after="107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6" w:name="n64"/>
            <w:bookmarkEnd w:id="56"/>
          </w:p>
        </w:tc>
        <w:tc>
          <w:tcPr>
            <w:tcW w:w="23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749" w:rsidRPr="009D0749" w:rsidRDefault="009D0749" w:rsidP="009D0749">
            <w:pPr>
              <w:spacing w:before="107" w:after="107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>Додаток</w:t>
            </w:r>
            <w:proofErr w:type="spellEnd"/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4 </w:t>
            </w:r>
            <w:r w:rsidRPr="009D07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до Порядку та умов</w:t>
            </w:r>
          </w:p>
        </w:tc>
      </w:tr>
    </w:tbl>
    <w:bookmarkStart w:id="57" w:name="n65"/>
    <w:bookmarkEnd w:id="57"/>
    <w:p w:rsidR="009D0749" w:rsidRPr="009D0749" w:rsidRDefault="009D0749" w:rsidP="009D0749">
      <w:pPr>
        <w:spacing w:after="0" w:line="240" w:lineRule="auto"/>
        <w:ind w:left="322" w:right="322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begin"/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instrText xml:space="preserve"> HYPERLINK "http://zakon5.rada.gov.ua/laws/file/text/58/f464853n69.doc" </w:instrTex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separate"/>
      </w:r>
      <w:r w:rsidRPr="009D0749">
        <w:rPr>
          <w:rFonts w:ascii="Times New Roman" w:eastAsia="Times New Roman" w:hAnsi="Times New Roman" w:cs="Times New Roman"/>
          <w:b/>
          <w:bCs/>
          <w:color w:val="C00909"/>
          <w:sz w:val="28"/>
          <w:u w:val="single"/>
        </w:rPr>
        <w:t>АКТ</w: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fldChar w:fldCharType="end"/>
      </w:r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 </w:t>
      </w:r>
      <w:r w:rsidRPr="009D07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приймання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проведених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(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наданих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) 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корекційно-розвиткових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занять (</w:t>
      </w:r>
      <w:proofErr w:type="spell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послуг</w:t>
      </w:r>
      <w:proofErr w:type="spell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) </w:t>
      </w:r>
      <w:proofErr w:type="gramStart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>до</w:t>
      </w:r>
      <w:proofErr w:type="gramEnd"/>
      <w:r w:rsidRPr="009D0749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договору</w:t>
      </w:r>
    </w:p>
    <w:p w:rsidR="009D0749" w:rsidRPr="009D0749" w:rsidRDefault="009D0749" w:rsidP="009D0749">
      <w:pPr>
        <w:spacing w:after="0" w:line="240" w:lineRule="auto"/>
        <w:ind w:firstLine="3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58" w:name="n59"/>
      <w:bookmarkEnd w:id="58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{Порядок та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умови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доповнено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додатком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4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згідно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Постановою</w:t>
      </w:r>
      <w:proofErr w:type="spellEnd"/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КМ </w:t>
      </w:r>
      <w:hyperlink r:id="rId22" w:anchor="n37" w:tgtFrame="_blank" w:history="1"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№ 863 </w:t>
        </w:r>
        <w:proofErr w:type="spellStart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>від</w:t>
        </w:r>
        <w:proofErr w:type="spellEnd"/>
        <w:r w:rsidRPr="009D0749">
          <w:rPr>
            <w:rFonts w:ascii="Times New Roman" w:eastAsia="Times New Roman" w:hAnsi="Times New Roman" w:cs="Times New Roman"/>
            <w:i/>
            <w:iCs/>
            <w:color w:val="000099"/>
            <w:sz w:val="24"/>
            <w:szCs w:val="24"/>
            <w:u w:val="single"/>
          </w:rPr>
          <w:t xml:space="preserve"> 15.11.2017</w:t>
        </w:r>
      </w:hyperlink>
      <w:r w:rsidRPr="009D07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}</w:t>
      </w:r>
    </w:p>
    <w:p w:rsidR="009D0749" w:rsidRPr="009D0749" w:rsidRDefault="009D0749" w:rsidP="009D0749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59" w:name="Find"/>
      <w:bookmarkEnd w:id="59"/>
      <w:r w:rsidRPr="009D0749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tbl>
      <w:tblPr>
        <w:tblW w:w="0" w:type="auto"/>
        <w:jc w:val="center"/>
        <w:tblCellSpacing w:w="0" w:type="dxa"/>
        <w:tblBorders>
          <w:top w:val="single" w:sz="4" w:space="0" w:color="2474C1"/>
          <w:left w:val="single" w:sz="4" w:space="0" w:color="2474C1"/>
          <w:bottom w:val="single" w:sz="4" w:space="0" w:color="2474C1"/>
          <w:right w:val="single" w:sz="4" w:space="0" w:color="2474C1"/>
        </w:tblBorders>
        <w:shd w:val="clear" w:color="auto" w:fill="2474B1"/>
        <w:tblCellMar>
          <w:left w:w="0" w:type="dxa"/>
          <w:right w:w="0" w:type="dxa"/>
        </w:tblCellMar>
        <w:tblLook w:val="04A0"/>
      </w:tblPr>
      <w:tblGrid>
        <w:gridCol w:w="6"/>
      </w:tblGrid>
      <w:tr w:rsidR="009D0749" w:rsidRPr="009D0749" w:rsidTr="009D074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474B1"/>
            <w:vAlign w:val="center"/>
            <w:hideMark/>
          </w:tcPr>
          <w:p w:rsidR="009D0749" w:rsidRPr="009D0749" w:rsidRDefault="009D0749" w:rsidP="009D0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D0749" w:rsidRPr="009D0749" w:rsidRDefault="009D0749" w:rsidP="009D0749">
      <w:pPr>
        <w:pBdr>
          <w:top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D0749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2"/>
        <w:gridCol w:w="102"/>
        <w:gridCol w:w="92"/>
      </w:tblGrid>
      <w:tr w:rsidR="009D0749" w:rsidRPr="009D0749" w:rsidTr="009D074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tcMar>
              <w:top w:w="11" w:type="dxa"/>
              <w:left w:w="43" w:type="dxa"/>
              <w:bottom w:w="11" w:type="dxa"/>
              <w:right w:w="43" w:type="dxa"/>
            </w:tcMar>
            <w:vAlign w:val="center"/>
            <w:hideMark/>
          </w:tcPr>
          <w:p w:rsidR="009D0749" w:rsidRPr="009D0749" w:rsidRDefault="009D0749" w:rsidP="009D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tcMar>
              <w:top w:w="11" w:type="dxa"/>
              <w:left w:w="43" w:type="dxa"/>
              <w:bottom w:w="11" w:type="dxa"/>
              <w:right w:w="43" w:type="dxa"/>
            </w:tcMar>
            <w:vAlign w:val="center"/>
            <w:hideMark/>
          </w:tcPr>
          <w:p w:rsidR="009D0749" w:rsidRPr="009D0749" w:rsidRDefault="009D0749" w:rsidP="009D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1" w:type="dxa"/>
              <w:left w:w="43" w:type="dxa"/>
              <w:bottom w:w="11" w:type="dxa"/>
              <w:right w:w="43" w:type="dxa"/>
            </w:tcMar>
            <w:vAlign w:val="center"/>
            <w:hideMark/>
          </w:tcPr>
          <w:p w:rsidR="009D0749" w:rsidRPr="009D0749" w:rsidRDefault="009D0749" w:rsidP="009D0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D0749" w:rsidRPr="009D0749" w:rsidRDefault="009D0749" w:rsidP="009D0749">
      <w:pPr>
        <w:spacing w:before="43" w:after="100" w:line="360" w:lineRule="atLeast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9D0749">
        <w:rPr>
          <w:rFonts w:ascii="Arial" w:eastAsia="Times New Roman" w:hAnsi="Arial" w:cs="Arial"/>
          <w:color w:val="000000"/>
          <w:sz w:val="14"/>
          <w:szCs w:val="14"/>
        </w:rPr>
        <w:pict>
          <v:rect id="_x0000_i1029" style="width:0;height:0" o:hralign="center" o:hrstd="t" o:hrnoshade="t" o:hr="t" fillcolor="black" stroked="f"/>
        </w:pict>
      </w:r>
    </w:p>
    <w:p w:rsidR="009D0749" w:rsidRPr="009D0749" w:rsidRDefault="009D0749" w:rsidP="009D0749">
      <w:pPr>
        <w:spacing w:before="43" w:after="4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749">
        <w:rPr>
          <w:rFonts w:ascii="Arial" w:eastAsia="Times New Roman" w:hAnsi="Arial" w:cs="Arial"/>
          <w:color w:val="000000"/>
          <w:sz w:val="14"/>
          <w:szCs w:val="14"/>
          <w:shd w:val="clear" w:color="auto" w:fill="FFFFFF"/>
        </w:rPr>
        <w:t> </w:t>
      </w:r>
    </w:p>
    <w:sectPr w:rsidR="009D0749" w:rsidRPr="009D0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9D0749"/>
    <w:rsid w:val="009D0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vts0">
    <w:name w:val="rvts0"/>
    <w:basedOn w:val="a0"/>
    <w:rsid w:val="009D0749"/>
  </w:style>
  <w:style w:type="paragraph" w:customStyle="1" w:styleId="rvps12">
    <w:name w:val="rvps12"/>
    <w:basedOn w:val="a"/>
    <w:rsid w:val="009D0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9">
    <w:name w:val="rvts9"/>
    <w:basedOn w:val="a0"/>
    <w:rsid w:val="009D0749"/>
  </w:style>
  <w:style w:type="character" w:customStyle="1" w:styleId="apple-converted-space">
    <w:name w:val="apple-converted-space"/>
    <w:basedOn w:val="a0"/>
    <w:rsid w:val="009D0749"/>
  </w:style>
  <w:style w:type="paragraph" w:customStyle="1" w:styleId="rvps6">
    <w:name w:val="rvps6"/>
    <w:basedOn w:val="a"/>
    <w:rsid w:val="009D0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23">
    <w:name w:val="rvts23"/>
    <w:basedOn w:val="a0"/>
    <w:rsid w:val="009D0749"/>
  </w:style>
  <w:style w:type="paragraph" w:customStyle="1" w:styleId="rvps2">
    <w:name w:val="rvps2"/>
    <w:basedOn w:val="a"/>
    <w:rsid w:val="009D0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46">
    <w:name w:val="rvts46"/>
    <w:basedOn w:val="a0"/>
    <w:rsid w:val="009D0749"/>
  </w:style>
  <w:style w:type="character" w:styleId="a3">
    <w:name w:val="Hyperlink"/>
    <w:basedOn w:val="a0"/>
    <w:uiPriority w:val="99"/>
    <w:semiHidden/>
    <w:unhideWhenUsed/>
    <w:rsid w:val="009D0749"/>
    <w:rPr>
      <w:color w:val="0000FF"/>
      <w:u w:val="single"/>
    </w:rPr>
  </w:style>
  <w:style w:type="paragraph" w:customStyle="1" w:styleId="rvps14">
    <w:name w:val="rvps14"/>
    <w:basedOn w:val="a"/>
    <w:rsid w:val="009D0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vps7">
    <w:name w:val="rvps7"/>
    <w:basedOn w:val="a"/>
    <w:rsid w:val="009D0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15">
    <w:name w:val="rvts15"/>
    <w:basedOn w:val="a0"/>
    <w:rsid w:val="009D0749"/>
  </w:style>
  <w:style w:type="paragraph" w:customStyle="1" w:styleId="rvps8">
    <w:name w:val="rvps8"/>
    <w:basedOn w:val="a"/>
    <w:rsid w:val="009D0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82">
    <w:name w:val="rvts82"/>
    <w:basedOn w:val="a0"/>
    <w:rsid w:val="009D0749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D07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9D0749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D07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9D0749"/>
    <w:rPr>
      <w:rFonts w:ascii="Arial" w:eastAsia="Times New Roman" w:hAnsi="Arial" w:cs="Arial"/>
      <w:vanish/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9D0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07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4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2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6190">
              <w:marLeft w:val="0"/>
              <w:marRight w:val="0"/>
              <w:marTop w:val="0"/>
              <w:marBottom w:val="0"/>
              <w:divBdr>
                <w:top w:val="single" w:sz="4" w:space="3" w:color="DCDCDC"/>
                <w:left w:val="single" w:sz="4" w:space="3" w:color="DCDCDC"/>
                <w:bottom w:val="single" w:sz="4" w:space="0" w:color="DCDCDC"/>
                <w:right w:val="single" w:sz="4" w:space="3" w:color="DCDCDC"/>
              </w:divBdr>
              <w:divsChild>
                <w:div w:id="19503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7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4427">
                              <w:marLeft w:val="0"/>
                              <w:marRight w:val="0"/>
                              <w:marTop w:val="0"/>
                              <w:marBottom w:val="10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3514">
                              <w:marLeft w:val="0"/>
                              <w:marRight w:val="0"/>
                              <w:marTop w:val="0"/>
                              <w:marBottom w:val="10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372292">
                              <w:marLeft w:val="0"/>
                              <w:marRight w:val="0"/>
                              <w:marTop w:val="0"/>
                              <w:marBottom w:val="10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699906">
                              <w:marLeft w:val="0"/>
                              <w:marRight w:val="0"/>
                              <w:marTop w:val="107"/>
                              <w:marBottom w:val="10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693804">
                              <w:marLeft w:val="0"/>
                              <w:marRight w:val="0"/>
                              <w:marTop w:val="0"/>
                              <w:marBottom w:val="10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109762">
                              <w:marLeft w:val="0"/>
                              <w:marRight w:val="0"/>
                              <w:marTop w:val="0"/>
                              <w:marBottom w:val="10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2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32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kon5.rada.gov.ua/laws/show/88-2018-%D0%BF/paran26" TargetMode="External"/><Relationship Id="rId13" Type="http://schemas.openxmlformats.org/officeDocument/2006/relationships/hyperlink" Target="http://zakon5.rada.gov.ua/laws/show/863-2017-%D0%BF/paran19" TargetMode="External"/><Relationship Id="rId18" Type="http://schemas.openxmlformats.org/officeDocument/2006/relationships/hyperlink" Target="http://zakon5.rada.gov.ua/laws/show/88-2018-%D0%BF/paran3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zakon5.rada.gov.ua/laws/show/863-2017-%D0%BF/paran37" TargetMode="External"/><Relationship Id="rId7" Type="http://schemas.openxmlformats.org/officeDocument/2006/relationships/hyperlink" Target="http://zakon5.rada.gov.ua/laws/show/1132-2010-%D0%BF/paran10" TargetMode="External"/><Relationship Id="rId12" Type="http://schemas.openxmlformats.org/officeDocument/2006/relationships/hyperlink" Target="http://zakon5.rada.gov.ua/laws/show/872-2011-%D0%BF/paran8" TargetMode="External"/><Relationship Id="rId17" Type="http://schemas.openxmlformats.org/officeDocument/2006/relationships/hyperlink" Target="http://zakon5.rada.gov.ua/laws/show/863-2017-%D0%BF/paran2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akon5.rada.gov.ua/laws/show/863-2017-%D0%BF/paran22" TargetMode="External"/><Relationship Id="rId20" Type="http://schemas.openxmlformats.org/officeDocument/2006/relationships/hyperlink" Target="http://zakon5.rada.gov.ua/laws/show/88-2018-%D0%BF/paran28" TargetMode="External"/><Relationship Id="rId1" Type="http://schemas.openxmlformats.org/officeDocument/2006/relationships/styles" Target="styles.xml"/><Relationship Id="rId6" Type="http://schemas.openxmlformats.org/officeDocument/2006/relationships/hyperlink" Target="http://zakon5.rada.gov.ua/laws/show/863-2017-%D0%BF/paran11" TargetMode="External"/><Relationship Id="rId11" Type="http://schemas.openxmlformats.org/officeDocument/2006/relationships/hyperlink" Target="http://zakon5.rada.gov.ua/laws/show/863-2017-%D0%BF/paran18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zakon5.rada.gov.ua/laws/show/88-2018-%D0%BF/paran24" TargetMode="External"/><Relationship Id="rId15" Type="http://schemas.openxmlformats.org/officeDocument/2006/relationships/hyperlink" Target="http://zakon5.rada.gov.ua/laws/show/863-2017-%D0%BF/paran1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zakon5.rada.gov.ua/laws/show/863-2017-%D0%BF/paran16" TargetMode="External"/><Relationship Id="rId19" Type="http://schemas.openxmlformats.org/officeDocument/2006/relationships/hyperlink" Target="http://zakon5.rada.gov.ua/laws/show/863-2017-%D0%BF/paran34" TargetMode="External"/><Relationship Id="rId4" Type="http://schemas.openxmlformats.org/officeDocument/2006/relationships/hyperlink" Target="http://zakon5.rada.gov.ua/laws/show/863-2017-%D0%BF/paran10" TargetMode="External"/><Relationship Id="rId9" Type="http://schemas.openxmlformats.org/officeDocument/2006/relationships/hyperlink" Target="http://zakon5.rada.gov.ua/laws/show/117-2014-%D0%BF" TargetMode="External"/><Relationship Id="rId14" Type="http://schemas.openxmlformats.org/officeDocument/2006/relationships/hyperlink" Target="http://zakon5.rada.gov.ua/laws/show/88-2018-%D0%BF/paran27" TargetMode="External"/><Relationship Id="rId22" Type="http://schemas.openxmlformats.org/officeDocument/2006/relationships/hyperlink" Target="http://zakon5.rada.gov.ua/laws/show/863-2017-%D0%BF/paran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1954</Words>
  <Characters>11142</Characters>
  <Application>Microsoft Office Word</Application>
  <DocSecurity>0</DocSecurity>
  <Lines>92</Lines>
  <Paragraphs>26</Paragraphs>
  <ScaleCrop>false</ScaleCrop>
  <Company>Reanimator Extreme Edition</Company>
  <LinksUpToDate>false</LinksUpToDate>
  <CharactersWithSpaces>13070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2018-08-14T10:46:00Z</dcterms:created>
  <dcterms:modified xsi:type="dcterms:W3CDTF">2018-08-14T10:47:00Z</dcterms:modified>
</cp:coreProperties>
</file>