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62ED" w14:textId="77777777" w:rsidR="005B1BF2" w:rsidRDefault="005B1BF2" w:rsidP="005B1BF2">
      <w:pPr>
        <w:pStyle w:val="Nagwek1"/>
        <w:shd w:val="clear" w:color="auto" w:fill="FAFAFC"/>
        <w:spacing w:before="0" w:beforeAutospacing="0" w:after="0" w:afterAutospacing="0"/>
        <w:rPr>
          <w:rFonts w:ascii="Noto Sans" w:hAnsi="Noto Sans" w:cs="Noto Sans"/>
          <w:b w:val="0"/>
          <w:bCs w:val="0"/>
        </w:rPr>
      </w:pPr>
      <w:r>
        <w:rPr>
          <w:rStyle w:val="standalone-resourcetype-of-guidance"/>
          <w:rFonts w:ascii="Noto Sans" w:hAnsi="Noto Sans" w:cs="Noto Sans"/>
          <w:b w:val="0"/>
          <w:bCs w:val="0"/>
          <w:sz w:val="24"/>
          <w:szCs w:val="24"/>
        </w:rPr>
        <w:t>Objaśnienie KS 3.3.7:</w:t>
      </w:r>
      <w:r>
        <w:rPr>
          <w:rFonts w:ascii="Noto Sans" w:hAnsi="Noto Sans" w:cs="Noto Sans"/>
          <w:b w:val="0"/>
          <w:bCs w:val="0"/>
        </w:rPr>
        <w:t>Ponowne wpisy (poziom A)</w:t>
      </w:r>
    </w:p>
    <w:p w14:paraId="01E2A719" w14:textId="77777777" w:rsidR="005B1BF2" w:rsidRDefault="005B1BF2" w:rsidP="005B1BF2">
      <w:pPr>
        <w:rPr>
          <w:rFonts w:ascii="Times New Roman" w:hAnsi="Times New Roman" w:cs="Times New Roman"/>
        </w:rPr>
      </w:pPr>
      <w:r>
        <w:t>Kryterium sukcesu (KS)</w:t>
      </w:r>
    </w:p>
    <w:p w14:paraId="6F31111E" w14:textId="77777777" w:rsidR="005B1BF2" w:rsidRDefault="005B1BF2" w:rsidP="005B1BF2">
      <w:pPr>
        <w:pStyle w:val="NormalnyWeb"/>
        <w:spacing w:before="0" w:beforeAutospacing="0" w:after="240" w:afterAutospacing="0"/>
      </w:pPr>
      <w:r>
        <w:t>Informacje uprzednio wprowadzone przez użytkownika lub przekazane użytkownikowi, które muszą zostać wprowadzone ponownie w tej samej </w:t>
      </w:r>
      <w:hyperlink r:id="rId5" w:anchor="dfn-process" w:history="1">
        <w:r>
          <w:rPr>
            <w:rStyle w:val="Hipercze"/>
          </w:rPr>
          <w:t>procedurze</w:t>
        </w:r>
      </w:hyperlink>
      <w:r>
        <w:t>, są:</w:t>
      </w:r>
    </w:p>
    <w:p w14:paraId="486A9E17" w14:textId="77777777" w:rsidR="005B1BF2" w:rsidRDefault="005B1BF2" w:rsidP="005B1BF2">
      <w:pPr>
        <w:numPr>
          <w:ilvl w:val="0"/>
          <w:numId w:val="47"/>
        </w:numPr>
        <w:spacing w:before="100" w:beforeAutospacing="1" w:after="120" w:line="240" w:lineRule="auto"/>
      </w:pPr>
      <w:r>
        <w:t>wypełniane automatycznie albo</w:t>
      </w:r>
    </w:p>
    <w:p w14:paraId="3D3FC261" w14:textId="77777777" w:rsidR="005B1BF2" w:rsidRDefault="005B1BF2" w:rsidP="005B1BF2">
      <w:pPr>
        <w:numPr>
          <w:ilvl w:val="0"/>
          <w:numId w:val="47"/>
        </w:numPr>
        <w:spacing w:before="100" w:beforeAutospacing="1" w:after="120" w:line="240" w:lineRule="auto"/>
      </w:pPr>
      <w:r>
        <w:t>możliwe do wyboru przez użytkownika.</w:t>
      </w:r>
    </w:p>
    <w:p w14:paraId="5210DDE7" w14:textId="77777777" w:rsidR="005B1BF2" w:rsidRDefault="005B1BF2" w:rsidP="005B1BF2">
      <w:pPr>
        <w:pStyle w:val="NormalnyWeb"/>
        <w:spacing w:before="240" w:beforeAutospacing="0" w:after="240" w:afterAutospacing="0"/>
      </w:pPr>
      <w:r>
        <w:t>Wyjątkiem są sytuacje, gdy:</w:t>
      </w:r>
    </w:p>
    <w:p w14:paraId="6C1DB883" w14:textId="77777777" w:rsidR="005B1BF2" w:rsidRDefault="005B1BF2" w:rsidP="005B1BF2">
      <w:pPr>
        <w:numPr>
          <w:ilvl w:val="0"/>
          <w:numId w:val="48"/>
        </w:numPr>
        <w:spacing w:before="100" w:beforeAutospacing="1" w:after="120" w:line="240" w:lineRule="auto"/>
      </w:pPr>
      <w:r>
        <w:t>ponowne wprowadzenie informacji jest </w:t>
      </w:r>
      <w:hyperlink r:id="rId6" w:anchor="dfn-essential" w:history="1">
        <w:r>
          <w:rPr>
            <w:rStyle w:val="Hipercze"/>
          </w:rPr>
          <w:t>niezbędne</w:t>
        </w:r>
      </w:hyperlink>
      <w:r>
        <w:t>,</w:t>
      </w:r>
    </w:p>
    <w:p w14:paraId="4B3C7260" w14:textId="77777777" w:rsidR="005B1BF2" w:rsidRDefault="005B1BF2" w:rsidP="005B1BF2">
      <w:pPr>
        <w:numPr>
          <w:ilvl w:val="0"/>
          <w:numId w:val="48"/>
        </w:numPr>
        <w:spacing w:before="100" w:beforeAutospacing="1" w:after="120" w:line="240" w:lineRule="auto"/>
      </w:pPr>
      <w:r>
        <w:t>informacje są niezbędne do zapewnienia bezpieczeństwa treści lub</w:t>
      </w:r>
    </w:p>
    <w:p w14:paraId="68FC9F38" w14:textId="77777777" w:rsidR="005B1BF2" w:rsidRDefault="005B1BF2" w:rsidP="005B1BF2">
      <w:pPr>
        <w:numPr>
          <w:ilvl w:val="0"/>
          <w:numId w:val="48"/>
        </w:numPr>
        <w:spacing w:before="100" w:beforeAutospacing="1" w:after="120" w:line="240" w:lineRule="auto"/>
      </w:pPr>
      <w:r>
        <w:t>poprzednio wprowadzone informacje są już nieaktualne.</w:t>
      </w:r>
    </w:p>
    <w:p w14:paraId="3E751916" w14:textId="77777777" w:rsidR="005B1BF2" w:rsidRDefault="005B1BF2" w:rsidP="005B1BF2">
      <w:pPr>
        <w:pStyle w:val="Nagwek2"/>
        <w:spacing w:before="900" w:beforeAutospacing="0" w:after="300" w:afterAutospacing="0"/>
      </w:pPr>
      <w:r>
        <w:t>W skrócie</w:t>
      </w:r>
    </w:p>
    <w:p w14:paraId="2D50307E" w14:textId="77777777" w:rsidR="005B1BF2" w:rsidRDefault="005B1BF2" w:rsidP="005B1BF2">
      <w:pPr>
        <w:rPr>
          <w:b/>
          <w:bCs/>
        </w:rPr>
      </w:pPr>
      <w:r>
        <w:rPr>
          <w:b/>
          <w:bCs/>
        </w:rPr>
        <w:t>Cel</w:t>
      </w:r>
    </w:p>
    <w:p w14:paraId="786120E5" w14:textId="77777777" w:rsidR="005B1BF2" w:rsidRDefault="005B1BF2" w:rsidP="005B1BF2">
      <w:pPr>
        <w:ind w:left="720"/>
      </w:pPr>
      <w:r>
        <w:t>Ułatwiaj użytkownikom realizowanie wieloetapowych procedur.</w:t>
      </w:r>
    </w:p>
    <w:p w14:paraId="4137EA33" w14:textId="77777777" w:rsidR="005B1BF2" w:rsidRDefault="005B1BF2" w:rsidP="005B1BF2">
      <w:pPr>
        <w:spacing w:before="120"/>
        <w:ind w:left="480"/>
        <w:rPr>
          <w:b/>
          <w:bCs/>
        </w:rPr>
      </w:pPr>
      <w:r>
        <w:rPr>
          <w:b/>
          <w:bCs/>
        </w:rPr>
        <w:t>Co zrobić</w:t>
      </w:r>
    </w:p>
    <w:p w14:paraId="19208DDB" w14:textId="77777777" w:rsidR="005B1BF2" w:rsidRDefault="005B1BF2" w:rsidP="005B1BF2">
      <w:pPr>
        <w:ind w:left="720"/>
      </w:pPr>
      <w:r>
        <w:t>Nie pytaj o te same informacje dwa razy w trakcie jednej sesji.</w:t>
      </w:r>
    </w:p>
    <w:p w14:paraId="10EED08B" w14:textId="77777777" w:rsidR="005B1BF2" w:rsidRDefault="005B1BF2" w:rsidP="005B1BF2">
      <w:pPr>
        <w:spacing w:before="120"/>
        <w:ind w:left="960"/>
        <w:rPr>
          <w:b/>
          <w:bCs/>
        </w:rPr>
      </w:pPr>
      <w:r>
        <w:rPr>
          <w:b/>
          <w:bCs/>
        </w:rPr>
        <w:t>Dlaczego to jest ważne</w:t>
      </w:r>
    </w:p>
    <w:p w14:paraId="34C33100" w14:textId="77777777" w:rsidR="005B1BF2" w:rsidRDefault="005B1BF2" w:rsidP="005B1BF2">
      <w:pPr>
        <w:ind w:left="720"/>
      </w:pPr>
      <w:r>
        <w:t>Niektóre osoby z problemami poznawczymi mają trudności z zapamiętaniem tego, co wprowadziły wcześniej.</w:t>
      </w:r>
    </w:p>
    <w:p w14:paraId="3F3B91EF" w14:textId="77777777" w:rsidR="005B1BF2" w:rsidRDefault="005B1BF2" w:rsidP="005B1BF2">
      <w:pPr>
        <w:pStyle w:val="Nagwek2"/>
        <w:spacing w:before="900" w:beforeAutospacing="0" w:after="300" w:afterAutospacing="0"/>
      </w:pPr>
      <w:r>
        <w:t>Intencja</w:t>
      </w:r>
    </w:p>
    <w:p w14:paraId="6B5A5BDB" w14:textId="77777777" w:rsidR="005B1BF2" w:rsidRDefault="005B1BF2" w:rsidP="005B1BF2">
      <w:pPr>
        <w:pStyle w:val="NormalnyWeb"/>
        <w:spacing w:before="240" w:beforeAutospacing="0" w:after="240" w:afterAutospacing="0"/>
      </w:pPr>
      <w:r>
        <w:t>Intencją tego kryterium sukcesu jest zapewnienie użytkownikom możliwości pomyślnego ukończenia procesów wieloetapowych. Zmniejsza wysiłek poznawczy, gdy informacje są wymagane więcej niż raz podczas procesu. Zmniejsza to również potrzebę przywoływania informacji dostarczonych w poprzednim kroku.</w:t>
      </w:r>
    </w:p>
    <w:p w14:paraId="0482DF31" w14:textId="77777777" w:rsidR="005B1BF2" w:rsidRDefault="005B1BF2" w:rsidP="005B1BF2">
      <w:pPr>
        <w:pStyle w:val="NormalnyWeb"/>
        <w:spacing w:before="240" w:beforeAutospacing="0" w:after="240" w:afterAutospacing="0"/>
      </w:pPr>
      <w:r>
        <w:t>Informacje, które należy zapamiętać w celu wprowadzenia, mogą stanowić istotną barierę dla użytkowników z problemami poznawczymi oraz z problemami z pamięcią. Wszyscy użytkownicy doświadczają naturalnego, stopniowego zmęczenia psychicznego, gdy przechodzą przez kolejne etapy procedury. Zmęczenie to jest przyspieszane przez stres związany z przywoływaniem informacji z krótkotrwałej pamięci roboczej. Użytkownicy z problemami w uczeniu się i problemami poznawczymi są bardzo podatni na zmęczenie psychiczne.</w:t>
      </w:r>
    </w:p>
    <w:p w14:paraId="2BB90D61" w14:textId="77777777" w:rsidR="005B1BF2" w:rsidRDefault="005B1BF2" w:rsidP="005B1BF2">
      <w:pPr>
        <w:pStyle w:val="NormalnyWeb"/>
        <w:spacing w:before="240" w:beforeAutospacing="0" w:after="240" w:afterAutospacing="0"/>
      </w:pPr>
      <w:r>
        <w:lastRenderedPageBreak/>
        <w:t xml:space="preserve">Wymaganie, by użytkownicy przypominali sobie wcześniej wprowadzone informacje może spowodować, że zrezygnują lub wprowadzą ponownie te same informacje niepoprawnie. Funkcja autouzupełniania w przeglądarkach nie jest uważana za wystarczającą, ponieważ to treść (strona internetowa) musi zapewnić przechowywane informacje </w:t>
      </w:r>
      <w:proofErr w:type="spellStart"/>
      <w:r>
        <w:t>informacje</w:t>
      </w:r>
      <w:proofErr w:type="spellEnd"/>
      <w:r>
        <w:t xml:space="preserve"> dla powtarzanego wpisu lub uniknąć ponownego pytania o te same informacje.</w:t>
      </w:r>
    </w:p>
    <w:p w14:paraId="75430D04" w14:textId="77777777" w:rsidR="005B1BF2" w:rsidRDefault="005B1BF2" w:rsidP="005B1BF2">
      <w:pPr>
        <w:pStyle w:val="NormalnyWeb"/>
        <w:spacing w:before="240" w:beforeAutospacing="0" w:after="240" w:afterAutospacing="0"/>
      </w:pPr>
      <w:r>
        <w:t>To kryterium sukcesu nie dodaje wymogu przechowywania informacji między sesjami. </w:t>
      </w:r>
      <w:hyperlink r:id="rId7" w:anchor="dfn-process" w:history="1">
        <w:r>
          <w:rPr>
            <w:rStyle w:val="Hipercze"/>
          </w:rPr>
          <w:t>Procedura</w:t>
        </w:r>
      </w:hyperlink>
      <w:r>
        <w:t> jest definiowana na podstawie aktywności i nie ma zastosowania, gdy użytkownik powraca po zamknięciu sesji lub nawigacji. Proces może jednak przebiegać w różnych domenach, więc jeśli proces płatności obejmuje zewnętrznego dostawcę płatności, będzie on objęty zakresem.</w:t>
      </w:r>
    </w:p>
    <w:p w14:paraId="285736EF" w14:textId="77777777" w:rsidR="005B1BF2" w:rsidRDefault="005B1BF2" w:rsidP="005B1BF2">
      <w:pPr>
        <w:pStyle w:val="NormalnyWeb"/>
        <w:spacing w:before="240" w:beforeAutospacing="0" w:after="240" w:afterAutospacing="0"/>
      </w:pPr>
      <w:r>
        <w:t>Termin „możliwe do wyboru” nie ma charakteru normatywnego. Termin ten pozwala autorom opracować techniki, gdy automatyczne wypełnianie nie jest możliwe. Może to obejmować umożliwienie użytkownikowi</w:t>
      </w:r>
    </w:p>
    <w:p w14:paraId="34E338A1" w14:textId="77777777" w:rsidR="005B1BF2" w:rsidRDefault="005B1BF2" w:rsidP="005B1BF2">
      <w:pPr>
        <w:numPr>
          <w:ilvl w:val="0"/>
          <w:numId w:val="49"/>
        </w:numPr>
        <w:spacing w:before="100" w:beforeAutospacing="1" w:after="120" w:line="240" w:lineRule="auto"/>
      </w:pPr>
      <w:r>
        <w:t>wybranie i wypełnienie pola, w tym wybór z listy rozwijanej;</w:t>
      </w:r>
    </w:p>
    <w:p w14:paraId="0C004F1C" w14:textId="77777777" w:rsidR="005B1BF2" w:rsidRDefault="005B1BF2" w:rsidP="005B1BF2">
      <w:pPr>
        <w:numPr>
          <w:ilvl w:val="0"/>
          <w:numId w:val="49"/>
        </w:numPr>
        <w:spacing w:before="100" w:beforeAutospacing="1" w:after="120" w:line="240" w:lineRule="auto"/>
      </w:pPr>
      <w:r>
        <w:t>wybór tekstu ze strony i wklejenie go do pola formularza;</w:t>
      </w:r>
    </w:p>
    <w:p w14:paraId="02E797C1" w14:textId="77777777" w:rsidR="005B1BF2" w:rsidRDefault="005B1BF2" w:rsidP="005B1BF2">
      <w:pPr>
        <w:numPr>
          <w:ilvl w:val="0"/>
          <w:numId w:val="49"/>
        </w:numPr>
        <w:spacing w:before="100" w:beforeAutospacing="1" w:after="120" w:line="240" w:lineRule="auto"/>
      </w:pPr>
      <w:r>
        <w:t>zaznaczenie pola wyboru, aby wypełnić pola danych tymi samymi wartościami, które zostały wprowadzone wcześniej (np. mój adres rozliczeniowy jest taki sam jak adres wysyłki).</w:t>
      </w:r>
    </w:p>
    <w:p w14:paraId="09B56B88" w14:textId="77777777" w:rsidR="005B1BF2" w:rsidRDefault="005B1BF2" w:rsidP="005B1BF2">
      <w:pPr>
        <w:pStyle w:val="NormalnyWeb"/>
        <w:spacing w:before="240" w:beforeAutospacing="0" w:after="240" w:afterAutospacing="0"/>
      </w:pPr>
      <w:r>
        <w:t>Dane, które są „możliwe do wyboru”, muszą znajdować się na tej samej stronie. najlepiej byłoby, gdyby były one widoczne domyślnie i ściśle powiązane z polami danymi, w których są wymagane. Mogą jednak znajdować się w innym miejscu na stronie, w tym w komponencie pokaż/ukryj.</w:t>
      </w:r>
    </w:p>
    <w:p w14:paraId="0FEAFE87" w14:textId="77777777" w:rsidR="005B1BF2" w:rsidRDefault="005B1BF2" w:rsidP="005B1BF2">
      <w:pPr>
        <w:pStyle w:val="NormalnyWeb"/>
        <w:spacing w:before="240" w:beforeAutospacing="0" w:after="240" w:afterAutospacing="0"/>
      </w:pPr>
      <w:r>
        <w:t>To kryterium sukcesu nie ma zastosowania, jeśli dane są dostarczane przez użytkownika za pomocą innej metody, takiej jak przesłanie CV w formacie dokumentu.</w:t>
      </w:r>
    </w:p>
    <w:p w14:paraId="45333B67" w14:textId="77777777" w:rsidR="005B1BF2" w:rsidRDefault="005B1BF2" w:rsidP="005B1BF2">
      <w:pPr>
        <w:pStyle w:val="NormalnyWeb"/>
        <w:spacing w:before="240" w:beforeAutospacing="0" w:after="240" w:afterAutospacing="0"/>
      </w:pPr>
      <w:r>
        <w:t>To kryterium sukcesu nie ma wpływu na </w:t>
      </w:r>
      <w:hyperlink r:id="rId8" w:history="1">
        <w:r>
          <w:rPr>
            <w:rStyle w:val="Hipercze"/>
          </w:rPr>
          <w:t>dostępne uwierzytelnianie</w:t>
        </w:r>
      </w:hyperlink>
      <w:r>
        <w:t>, dla którego wystarczającą techniką jest zezwolenie na automatyczne wypełnianie haseł. W takim przypadku wypełnienie jest wykonywane przez przeglądarkę użytkownika. Ponowne wpisywanie to prośba o przekazanie w treści strony internetowej poprzedniego wpisu, ale nie pomiędzy sesjami, ani nie w istotnych celach, takich jak pytanie o hasło.</w:t>
      </w:r>
    </w:p>
    <w:p w14:paraId="597ABC1D" w14:textId="77777777" w:rsidR="005B1BF2" w:rsidRDefault="005B1BF2" w:rsidP="005B1BF2">
      <w:pPr>
        <w:pStyle w:val="NormalnyWeb"/>
        <w:spacing w:before="240" w:beforeAutospacing="0" w:after="240" w:afterAutospacing="0"/>
      </w:pPr>
      <w:r>
        <w:t xml:space="preserve">To kryterium nie obejmuje wymogów ani wyjątków dotyczących prywatności lub informacji umożliwiających identyfikację osoby (PII), ale przy wdrażaniu technik takich jak </w:t>
      </w:r>
      <w:proofErr w:type="spellStart"/>
      <w:r>
        <w:t>autowypełnienie</w:t>
      </w:r>
      <w:proofErr w:type="spellEnd"/>
      <w:r>
        <w:t xml:space="preserve"> twórcy powinni zapewnić ochronę danych podczas przechowywania informacji nawet tymczasowo podczas procedury. Możliwe jest wyeliminowanie ponownego wpisywania w sposób, który nie wprowadza dodatkowych zagrożeń dla prywatności, ale możliwe jest również, że słaba implementacja (w celu spełnienia tego kryterium) może spowodować wyciek dodatkowych danych osobowych.</w:t>
      </w:r>
    </w:p>
    <w:p w14:paraId="548F9706" w14:textId="77777777" w:rsidR="005B1BF2" w:rsidRDefault="005B1BF2" w:rsidP="005B1BF2">
      <w:pPr>
        <w:pStyle w:val="NormalnyWeb"/>
        <w:spacing w:before="240" w:beforeAutospacing="0" w:after="240" w:afterAutospacing="0"/>
      </w:pPr>
      <w:r>
        <w:t>Istnieją wyjątki w sytuacjach:</w:t>
      </w:r>
    </w:p>
    <w:p w14:paraId="23A1B000" w14:textId="77777777" w:rsidR="005B1BF2" w:rsidRDefault="005B1BF2" w:rsidP="005B1BF2">
      <w:pPr>
        <w:numPr>
          <w:ilvl w:val="0"/>
          <w:numId w:val="50"/>
        </w:numPr>
        <w:spacing w:before="100" w:beforeAutospacing="1" w:after="120" w:line="240" w:lineRule="auto"/>
      </w:pPr>
      <w:r>
        <w:t>Niezbędne zastosowania ponownego wprowadzania danych do takich rzeczy, jak gry pamięciowe, które zostałyby unieważnione, gdyby podano poprzednie odpowiedzi.</w:t>
      </w:r>
    </w:p>
    <w:p w14:paraId="0CE9BC48" w14:textId="77777777" w:rsidR="005B1BF2" w:rsidRDefault="005B1BF2" w:rsidP="005B1BF2">
      <w:pPr>
        <w:numPr>
          <w:ilvl w:val="0"/>
          <w:numId w:val="50"/>
        </w:numPr>
        <w:spacing w:before="100" w:beforeAutospacing="1" w:after="120" w:line="240" w:lineRule="auto"/>
      </w:pPr>
      <w:r>
        <w:t xml:space="preserve">Środki bezpieczeństwa, takie jak zapobieganie wyświetlaniu lub kopiowaniu ciągu haseł. Gdy tworzone hasło powinno być unikalnym i złożonym ciągiem znaków, a zatem nie może być weryfikowane przez twórcę. Jeśli system wymaga od użytkownika ręcznego utworzenia hasła, </w:t>
      </w:r>
      <w:r>
        <w:lastRenderedPageBreak/>
        <w:t>które nie jest wyświetlane, ponowne potwierdzenie przez użytkownika nowego ciągu znaków jest dozwolone jako wyjątek.</w:t>
      </w:r>
    </w:p>
    <w:p w14:paraId="7DE8C62F" w14:textId="77777777" w:rsidR="005B1BF2" w:rsidRDefault="005B1BF2" w:rsidP="005B1BF2">
      <w:pPr>
        <w:numPr>
          <w:ilvl w:val="0"/>
          <w:numId w:val="50"/>
        </w:numPr>
        <w:spacing w:before="100" w:beforeAutospacing="1" w:after="120" w:line="240" w:lineRule="auto"/>
      </w:pPr>
      <w:r>
        <w:t>Gdy poprzednio wprowadzone informacje nie są już aktualne, użytkownik może zostać poproszony o ich ponowne wprowadzenie.</w:t>
      </w:r>
    </w:p>
    <w:p w14:paraId="6607E378" w14:textId="77777777" w:rsidR="005B1BF2" w:rsidRDefault="005B1BF2" w:rsidP="005B1BF2">
      <w:pPr>
        <w:pStyle w:val="Nagwek2"/>
        <w:spacing w:before="900" w:beforeAutospacing="0" w:after="300" w:afterAutospacing="0"/>
      </w:pPr>
      <w:r>
        <w:t>Korzyści</w:t>
      </w:r>
    </w:p>
    <w:p w14:paraId="57AE7019" w14:textId="77777777" w:rsidR="005B1BF2" w:rsidRDefault="005B1BF2" w:rsidP="005B1BF2">
      <w:pPr>
        <w:numPr>
          <w:ilvl w:val="0"/>
          <w:numId w:val="51"/>
        </w:numPr>
        <w:spacing w:before="100" w:beforeAutospacing="1" w:after="120" w:line="240" w:lineRule="auto"/>
      </w:pPr>
      <w:r>
        <w:t>Użytkownicy z problemami poznawczymi doświadczają trudności z pamięcią krótkotrwałą i roboczą. Brak konieczności wielokrotnego zapamiętywania poszczególnych informacji zmniejsza stres i prawdopodobieństwo popełnienia błędu.</w:t>
      </w:r>
    </w:p>
    <w:p w14:paraId="5A0F5270" w14:textId="77777777" w:rsidR="005B1BF2" w:rsidRDefault="005B1BF2" w:rsidP="005B1BF2">
      <w:pPr>
        <w:numPr>
          <w:ilvl w:val="0"/>
          <w:numId w:val="51"/>
        </w:numPr>
        <w:spacing w:before="100" w:beforeAutospacing="1" w:after="120" w:line="240" w:lineRule="auto"/>
      </w:pPr>
      <w:r>
        <w:t>Użytkownicy, którzy mają trudności z przypominaniem sobie zapamiętanych informacji, przywoływaniem informacji i innymi funkcjami poznawczymi, mogą wykonywać procedury bez konieczności niepotrzebnego polegania na swojej pamięci.</w:t>
      </w:r>
    </w:p>
    <w:p w14:paraId="18DA66FC" w14:textId="77777777" w:rsidR="005B1BF2" w:rsidRDefault="005B1BF2" w:rsidP="005B1BF2">
      <w:pPr>
        <w:numPr>
          <w:ilvl w:val="0"/>
          <w:numId w:val="51"/>
        </w:numPr>
        <w:spacing w:before="100" w:beforeAutospacing="1" w:after="120" w:line="240" w:lineRule="auto"/>
      </w:pPr>
      <w:r>
        <w:t>Użytkownicy z niepełnosprawnościami ruchową, na przykład korzystający ze sterowania przełącznikami lub wprowadzania głosowego, odnoszą korzyści z mniejszej ilości wprowadzanego tekstu.</w:t>
      </w:r>
    </w:p>
    <w:p w14:paraId="0DAD924A" w14:textId="77777777" w:rsidR="005B1BF2" w:rsidRDefault="005B1BF2" w:rsidP="005B1BF2">
      <w:pPr>
        <w:pStyle w:val="Nagwek2"/>
        <w:spacing w:before="900" w:beforeAutospacing="0" w:after="300" w:afterAutospacing="0"/>
      </w:pPr>
      <w:r>
        <w:t>Przykłady</w:t>
      </w:r>
    </w:p>
    <w:p w14:paraId="56D1D1F6" w14:textId="77777777" w:rsidR="005B1BF2" w:rsidRDefault="005B1BF2" w:rsidP="005B1BF2">
      <w:pPr>
        <w:numPr>
          <w:ilvl w:val="0"/>
          <w:numId w:val="52"/>
        </w:numPr>
        <w:spacing w:before="100" w:beforeAutospacing="1" w:after="120" w:line="240" w:lineRule="auto"/>
      </w:pPr>
      <w:r>
        <w:t>Formularz wymaga podania firmowego numeru identyfikacyjnego (ID) użytkownika w pierwszym kroku procedury zakupu nowego komputera. W trzecim kroku użytkownik jest proszony o potwierdzenie, że komputer należy do niego (a nie do współpracownika) i ponownie wyświetla identyfikator. Umożliwia użytkownikowi zmianę identyfikatora, ale domyślnie ustawia go na poprzednio wprowadzony.</w:t>
      </w:r>
    </w:p>
    <w:p w14:paraId="4A70A33B" w14:textId="77777777" w:rsidR="005B1BF2" w:rsidRDefault="005B1BF2" w:rsidP="005B1BF2">
      <w:pPr>
        <w:numPr>
          <w:ilvl w:val="0"/>
          <w:numId w:val="52"/>
        </w:numPr>
        <w:spacing w:before="100" w:beforeAutospacing="1" w:after="120" w:line="240" w:lineRule="auto"/>
      </w:pPr>
      <w:r>
        <w:t>Formularz w witrynie e-commerce pozwala użytkownikowi potwierdzić, że adres rozliczeniowy i adres dostawy to ten sam adres.</w:t>
      </w:r>
    </w:p>
    <w:p w14:paraId="5E32F89B" w14:textId="77777777" w:rsidR="005B1BF2" w:rsidRDefault="005B1BF2" w:rsidP="005B1BF2">
      <w:pPr>
        <w:numPr>
          <w:ilvl w:val="0"/>
          <w:numId w:val="52"/>
        </w:numPr>
        <w:spacing w:before="100" w:beforeAutospacing="1" w:after="120" w:line="240" w:lineRule="auto"/>
      </w:pPr>
      <w:r>
        <w:t>Strona wyników wyszukiwania wstępnie wypełnia pole wyszukiwania wcześniej wprowadzonym terminem wyszukiwania w tym samym procesie.</w:t>
      </w:r>
    </w:p>
    <w:p w14:paraId="64783AE8" w14:textId="77777777" w:rsidR="005B1BF2" w:rsidRDefault="005B1BF2" w:rsidP="005B1BF2">
      <w:pPr>
        <w:pStyle w:val="Nagwek2"/>
        <w:spacing w:before="900" w:beforeAutospacing="0" w:after="300" w:afterAutospacing="0"/>
      </w:pPr>
      <w:r>
        <w:t>Powiązane zasoby</w:t>
      </w:r>
    </w:p>
    <w:p w14:paraId="7378C5FF" w14:textId="77777777" w:rsidR="005B1BF2" w:rsidRDefault="005B1BF2" w:rsidP="005B1BF2">
      <w:pPr>
        <w:pStyle w:val="NormalnyWeb"/>
        <w:spacing w:before="240" w:beforeAutospacing="0" w:after="240" w:afterAutospacing="0"/>
      </w:pPr>
      <w:r>
        <w:t>Zasoby służą wyłącznie celom informacyjnym, nie sugeruje się ich poparcia.</w:t>
      </w:r>
    </w:p>
    <w:p w14:paraId="7B50C12B" w14:textId="77777777" w:rsidR="005B1BF2" w:rsidRDefault="005B1BF2" w:rsidP="005B1BF2">
      <w:pPr>
        <w:numPr>
          <w:ilvl w:val="0"/>
          <w:numId w:val="53"/>
        </w:numPr>
        <w:spacing w:before="100" w:beforeAutospacing="1" w:after="120" w:line="240" w:lineRule="auto"/>
      </w:pPr>
      <w:hyperlink r:id="rId9" w:anchor="table3" w:history="1">
        <w:r>
          <w:rPr>
            <w:rStyle w:val="Hipercze"/>
          </w:rPr>
          <w:t>Analiza luk w dostępności poznawczej Temat 3: Wprowadzanie danych, zapobieganie błędom i odzyskiwanie danych</w:t>
        </w:r>
      </w:hyperlink>
    </w:p>
    <w:p w14:paraId="640F806F" w14:textId="77777777" w:rsidR="005B1BF2" w:rsidRDefault="005B1BF2" w:rsidP="005B1BF2">
      <w:pPr>
        <w:numPr>
          <w:ilvl w:val="0"/>
          <w:numId w:val="53"/>
        </w:numPr>
        <w:spacing w:before="100" w:beforeAutospacing="1" w:after="120" w:line="240" w:lineRule="auto"/>
      </w:pPr>
      <w:hyperlink r:id="rId10" w:anchor="design-forms-to-prevent-mistakes-pattern" w:history="1">
        <w:r>
          <w:rPr>
            <w:rStyle w:val="Hipercze"/>
          </w:rPr>
          <w:t>Tworzenie treści użytecznych dla osób z problemami poznawczymi i trudnościami w uczeniu się 4.5.4 Projektowanie formularzy w celu zapobiegania błędom</w:t>
        </w:r>
      </w:hyperlink>
    </w:p>
    <w:p w14:paraId="41BF1F3B" w14:textId="77777777" w:rsidR="005B1BF2" w:rsidRDefault="005B1BF2" w:rsidP="005B1BF2">
      <w:pPr>
        <w:pStyle w:val="Nagwek2"/>
        <w:spacing w:before="900" w:beforeAutospacing="0" w:after="300" w:afterAutospacing="0"/>
      </w:pPr>
      <w:r>
        <w:lastRenderedPageBreak/>
        <w:t>Techniki</w:t>
      </w:r>
    </w:p>
    <w:p w14:paraId="5C1DEC67" w14:textId="77777777" w:rsidR="005B1BF2" w:rsidRDefault="005B1BF2" w:rsidP="005B1BF2">
      <w:pPr>
        <w:pStyle w:val="NormalnyWeb"/>
        <w:spacing w:before="240" w:beforeAutospacing="0" w:after="240" w:afterAutospacing="0"/>
      </w:pPr>
      <w:r>
        <w:t>Każdy numerowany element w tej sekcji przestawia technikę lub kombinację technik, które Grupa Robocza WCAG uważa za wystarczające do spełnienia tego kryterium sukcesu. Nie jest jednak konieczne stosowanie tych konkretnych technik. Aby uzyskać informacje na temat stosowania innych technik, zobacz </w:t>
      </w:r>
      <w:hyperlink r:id="rId11" w:history="1">
        <w:r>
          <w:rPr>
            <w:rStyle w:val="Hipercze"/>
          </w:rPr>
          <w:t>Objaśnienie technik dla kryteriów sukcesu WCAG</w:t>
        </w:r>
      </w:hyperlink>
      <w:r>
        <w:t>, szczególnie w podrozdziale „Inne techniki”.</w:t>
      </w:r>
    </w:p>
    <w:p w14:paraId="030320AF" w14:textId="77777777" w:rsidR="005B1BF2" w:rsidRDefault="005B1BF2" w:rsidP="005B1BF2">
      <w:pPr>
        <w:pStyle w:val="Nagwek3"/>
        <w:spacing w:before="600" w:beforeAutospacing="0" w:after="300" w:afterAutospacing="0"/>
      </w:pPr>
      <w:r>
        <w:t>Techniki wystarczające</w:t>
      </w:r>
    </w:p>
    <w:p w14:paraId="2A099751" w14:textId="77777777" w:rsidR="005B1BF2" w:rsidRDefault="005B1BF2" w:rsidP="005B1BF2">
      <w:pPr>
        <w:numPr>
          <w:ilvl w:val="0"/>
          <w:numId w:val="54"/>
        </w:numPr>
        <w:spacing w:before="100" w:beforeAutospacing="1" w:after="120" w:line="240" w:lineRule="auto"/>
      </w:pPr>
      <w:hyperlink r:id="rId12" w:history="1">
        <w:r>
          <w:rPr>
            <w:rStyle w:val="Hipercze"/>
          </w:rPr>
          <w:t>G221: Zapewnienie danych z poprzedniego etapu procedury</w:t>
        </w:r>
      </w:hyperlink>
    </w:p>
    <w:p w14:paraId="4CFECBAE" w14:textId="77777777" w:rsidR="005B1BF2" w:rsidRDefault="005B1BF2" w:rsidP="005B1BF2">
      <w:pPr>
        <w:numPr>
          <w:ilvl w:val="0"/>
          <w:numId w:val="54"/>
        </w:numPr>
        <w:spacing w:before="100" w:beforeAutospacing="1" w:after="120" w:line="240" w:lineRule="auto"/>
      </w:pPr>
      <w:proofErr w:type="spellStart"/>
      <w:r>
        <w:t>Nieproszenie</w:t>
      </w:r>
      <w:proofErr w:type="spellEnd"/>
      <w:r>
        <w:t xml:space="preserve"> o te same informacje dwa razy (potencjalna przyszła technika)</w:t>
      </w:r>
    </w:p>
    <w:p w14:paraId="13FB8C59" w14:textId="77777777" w:rsidR="00CD7227" w:rsidRPr="005B1BF2" w:rsidRDefault="00CD7227" w:rsidP="005B1BF2"/>
    <w:sectPr w:rsidR="00CD7227" w:rsidRPr="005B1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6D0"/>
    <w:multiLevelType w:val="multilevel"/>
    <w:tmpl w:val="B1A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F1866"/>
    <w:multiLevelType w:val="multilevel"/>
    <w:tmpl w:val="784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366D0"/>
    <w:multiLevelType w:val="multilevel"/>
    <w:tmpl w:val="1FB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A559C"/>
    <w:multiLevelType w:val="multilevel"/>
    <w:tmpl w:val="00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D27EB"/>
    <w:multiLevelType w:val="multilevel"/>
    <w:tmpl w:val="12F2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FD58B8"/>
    <w:multiLevelType w:val="multilevel"/>
    <w:tmpl w:val="CA1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E50020"/>
    <w:multiLevelType w:val="multilevel"/>
    <w:tmpl w:val="E87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750045"/>
    <w:multiLevelType w:val="multilevel"/>
    <w:tmpl w:val="2E5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3A4C87"/>
    <w:multiLevelType w:val="multilevel"/>
    <w:tmpl w:val="5DF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5B4512"/>
    <w:multiLevelType w:val="multilevel"/>
    <w:tmpl w:val="01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ED4024"/>
    <w:multiLevelType w:val="multilevel"/>
    <w:tmpl w:val="E22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557A24"/>
    <w:multiLevelType w:val="multilevel"/>
    <w:tmpl w:val="F1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100B96"/>
    <w:multiLevelType w:val="multilevel"/>
    <w:tmpl w:val="38C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6B29EA"/>
    <w:multiLevelType w:val="multilevel"/>
    <w:tmpl w:val="7740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4B08CB"/>
    <w:multiLevelType w:val="multilevel"/>
    <w:tmpl w:val="1B8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B7685"/>
    <w:multiLevelType w:val="multilevel"/>
    <w:tmpl w:val="25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112EF1"/>
    <w:multiLevelType w:val="multilevel"/>
    <w:tmpl w:val="19D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0B5E94"/>
    <w:multiLevelType w:val="multilevel"/>
    <w:tmpl w:val="5E4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5879AF"/>
    <w:multiLevelType w:val="multilevel"/>
    <w:tmpl w:val="F0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FD43AE"/>
    <w:multiLevelType w:val="multilevel"/>
    <w:tmpl w:val="75E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5530E2"/>
    <w:multiLevelType w:val="multilevel"/>
    <w:tmpl w:val="F7F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7C6EEE"/>
    <w:multiLevelType w:val="multilevel"/>
    <w:tmpl w:val="F22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714601"/>
    <w:multiLevelType w:val="multilevel"/>
    <w:tmpl w:val="99DA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EC35C9"/>
    <w:multiLevelType w:val="multilevel"/>
    <w:tmpl w:val="5D0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11"/>
  </w:num>
  <w:num w:numId="2" w16cid:durableId="2029331695">
    <w:abstractNumId w:val="16"/>
  </w:num>
  <w:num w:numId="3" w16cid:durableId="636110317">
    <w:abstractNumId w:val="18"/>
  </w:num>
  <w:num w:numId="4" w16cid:durableId="280311035">
    <w:abstractNumId w:val="35"/>
  </w:num>
  <w:num w:numId="5" w16cid:durableId="469129536">
    <w:abstractNumId w:val="26"/>
  </w:num>
  <w:num w:numId="6" w16cid:durableId="1001735461">
    <w:abstractNumId w:val="25"/>
  </w:num>
  <w:num w:numId="7" w16cid:durableId="1567109053">
    <w:abstractNumId w:val="40"/>
  </w:num>
  <w:num w:numId="8" w16cid:durableId="1945922949">
    <w:abstractNumId w:val="9"/>
  </w:num>
  <w:num w:numId="9" w16cid:durableId="2075276303">
    <w:abstractNumId w:val="45"/>
  </w:num>
  <w:num w:numId="10" w16cid:durableId="2122793514">
    <w:abstractNumId w:val="44"/>
  </w:num>
  <w:num w:numId="11" w16cid:durableId="885413818">
    <w:abstractNumId w:val="10"/>
  </w:num>
  <w:num w:numId="12" w16cid:durableId="1152673575">
    <w:abstractNumId w:val="28"/>
  </w:num>
  <w:num w:numId="13" w16cid:durableId="36246493">
    <w:abstractNumId w:val="5"/>
  </w:num>
  <w:num w:numId="14" w16cid:durableId="831794654">
    <w:abstractNumId w:val="51"/>
  </w:num>
  <w:num w:numId="15" w16cid:durableId="48041543">
    <w:abstractNumId w:val="4"/>
  </w:num>
  <w:num w:numId="16" w16cid:durableId="1060904910">
    <w:abstractNumId w:val="46"/>
  </w:num>
  <w:num w:numId="17" w16cid:durableId="366417125">
    <w:abstractNumId w:val="27"/>
  </w:num>
  <w:num w:numId="18" w16cid:durableId="8802983">
    <w:abstractNumId w:val="36"/>
  </w:num>
  <w:num w:numId="19" w16cid:durableId="789788078">
    <w:abstractNumId w:val="12"/>
  </w:num>
  <w:num w:numId="20" w16cid:durableId="720712004">
    <w:abstractNumId w:val="20"/>
  </w:num>
  <w:num w:numId="21" w16cid:durableId="1510556008">
    <w:abstractNumId w:val="22"/>
  </w:num>
  <w:num w:numId="22" w16cid:durableId="3675454">
    <w:abstractNumId w:val="2"/>
  </w:num>
  <w:num w:numId="23" w16cid:durableId="1372195723">
    <w:abstractNumId w:val="13"/>
  </w:num>
  <w:num w:numId="24" w16cid:durableId="189539684">
    <w:abstractNumId w:val="6"/>
  </w:num>
  <w:num w:numId="25" w16cid:durableId="1236669658">
    <w:abstractNumId w:val="29"/>
  </w:num>
  <w:num w:numId="26" w16cid:durableId="243103902">
    <w:abstractNumId w:val="48"/>
  </w:num>
  <w:num w:numId="27" w16cid:durableId="1428771339">
    <w:abstractNumId w:val="17"/>
  </w:num>
  <w:num w:numId="28" w16cid:durableId="202595366">
    <w:abstractNumId w:val="31"/>
  </w:num>
  <w:num w:numId="29" w16cid:durableId="270169969">
    <w:abstractNumId w:val="38"/>
  </w:num>
  <w:num w:numId="30" w16cid:durableId="654186695">
    <w:abstractNumId w:val="7"/>
  </w:num>
  <w:num w:numId="31" w16cid:durableId="818689502">
    <w:abstractNumId w:val="43"/>
  </w:num>
  <w:num w:numId="32" w16cid:durableId="506673577">
    <w:abstractNumId w:val="8"/>
  </w:num>
  <w:num w:numId="33" w16cid:durableId="1927230623">
    <w:abstractNumId w:val="33"/>
  </w:num>
  <w:num w:numId="34" w16cid:durableId="523517331">
    <w:abstractNumId w:val="24"/>
  </w:num>
  <w:num w:numId="35" w16cid:durableId="165707672">
    <w:abstractNumId w:val="53"/>
  </w:num>
  <w:num w:numId="36" w16cid:durableId="1200513082">
    <w:abstractNumId w:val="32"/>
  </w:num>
  <w:num w:numId="37" w16cid:durableId="1473328005">
    <w:abstractNumId w:val="41"/>
  </w:num>
  <w:num w:numId="38" w16cid:durableId="1786150602">
    <w:abstractNumId w:val="3"/>
  </w:num>
  <w:num w:numId="39" w16cid:durableId="1615166351">
    <w:abstractNumId w:val="50"/>
  </w:num>
  <w:num w:numId="40" w16cid:durableId="2078624685">
    <w:abstractNumId w:val="1"/>
  </w:num>
  <w:num w:numId="41" w16cid:durableId="1214735956">
    <w:abstractNumId w:val="52"/>
  </w:num>
  <w:num w:numId="42" w16cid:durableId="394470017">
    <w:abstractNumId w:val="0"/>
  </w:num>
  <w:num w:numId="43" w16cid:durableId="2124692087">
    <w:abstractNumId w:val="37"/>
  </w:num>
  <w:num w:numId="44" w16cid:durableId="55249955">
    <w:abstractNumId w:val="19"/>
  </w:num>
  <w:num w:numId="45" w16cid:durableId="1886678818">
    <w:abstractNumId w:val="34"/>
  </w:num>
  <w:num w:numId="46" w16cid:durableId="1186405263">
    <w:abstractNumId w:val="30"/>
  </w:num>
  <w:num w:numId="47" w16cid:durableId="1270745759">
    <w:abstractNumId w:val="42"/>
  </w:num>
  <w:num w:numId="48" w16cid:durableId="1742748831">
    <w:abstractNumId w:val="15"/>
  </w:num>
  <w:num w:numId="49" w16cid:durableId="113326239">
    <w:abstractNumId w:val="14"/>
  </w:num>
  <w:num w:numId="50" w16cid:durableId="875847730">
    <w:abstractNumId w:val="39"/>
  </w:num>
  <w:num w:numId="51" w16cid:durableId="361906507">
    <w:abstractNumId w:val="23"/>
  </w:num>
  <w:num w:numId="52" w16cid:durableId="1354652540">
    <w:abstractNumId w:val="21"/>
  </w:num>
  <w:num w:numId="53" w16cid:durableId="1071926219">
    <w:abstractNumId w:val="49"/>
  </w:num>
  <w:num w:numId="54" w16cid:durableId="189257354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82CAD"/>
    <w:rsid w:val="005B1BF2"/>
    <w:rsid w:val="00790B3C"/>
    <w:rsid w:val="00904EEB"/>
    <w:rsid w:val="00CD7227"/>
    <w:rsid w:val="00DF39BB"/>
    <w:rsid w:val="00E2210E"/>
    <w:rsid w:val="00F67D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676">
      <w:bodyDiv w:val="1"/>
      <w:marLeft w:val="0"/>
      <w:marRight w:val="0"/>
      <w:marTop w:val="0"/>
      <w:marBottom w:val="0"/>
      <w:divBdr>
        <w:top w:val="none" w:sz="0" w:space="0" w:color="auto"/>
        <w:left w:val="none" w:sz="0" w:space="0" w:color="auto"/>
        <w:bottom w:val="none" w:sz="0" w:space="0" w:color="auto"/>
        <w:right w:val="none" w:sz="0" w:space="0" w:color="auto"/>
      </w:divBdr>
      <w:divsChild>
        <w:div w:id="1822888008">
          <w:marLeft w:val="0"/>
          <w:marRight w:val="0"/>
          <w:marTop w:val="0"/>
          <w:marBottom w:val="0"/>
          <w:divBdr>
            <w:top w:val="none" w:sz="0" w:space="0" w:color="auto"/>
            <w:left w:val="none" w:sz="0" w:space="0" w:color="auto"/>
            <w:bottom w:val="none" w:sz="0" w:space="0" w:color="auto"/>
            <w:right w:val="none" w:sz="0" w:space="0" w:color="auto"/>
          </w:divBdr>
        </w:div>
      </w:divsChild>
    </w:div>
    <w:div w:id="64189750">
      <w:bodyDiv w:val="1"/>
      <w:marLeft w:val="0"/>
      <w:marRight w:val="0"/>
      <w:marTop w:val="0"/>
      <w:marBottom w:val="0"/>
      <w:divBdr>
        <w:top w:val="none" w:sz="0" w:space="0" w:color="auto"/>
        <w:left w:val="none" w:sz="0" w:space="0" w:color="auto"/>
        <w:bottom w:val="none" w:sz="0" w:space="0" w:color="auto"/>
        <w:right w:val="none" w:sz="0" w:space="0" w:color="auto"/>
      </w:divBdr>
      <w:divsChild>
        <w:div w:id="1879852046">
          <w:marLeft w:val="0"/>
          <w:marRight w:val="0"/>
          <w:marTop w:val="0"/>
          <w:marBottom w:val="0"/>
          <w:divBdr>
            <w:top w:val="none" w:sz="0" w:space="0" w:color="auto"/>
            <w:left w:val="none" w:sz="0" w:space="0" w:color="auto"/>
            <w:bottom w:val="none" w:sz="0" w:space="0" w:color="auto"/>
            <w:right w:val="none" w:sz="0" w:space="0" w:color="auto"/>
          </w:divBdr>
        </w:div>
      </w:divsChild>
    </w:div>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609817974">
      <w:bodyDiv w:val="1"/>
      <w:marLeft w:val="0"/>
      <w:marRight w:val="0"/>
      <w:marTop w:val="0"/>
      <w:marBottom w:val="0"/>
      <w:divBdr>
        <w:top w:val="none" w:sz="0" w:space="0" w:color="auto"/>
        <w:left w:val="none" w:sz="0" w:space="0" w:color="auto"/>
        <w:bottom w:val="none" w:sz="0" w:space="0" w:color="auto"/>
        <w:right w:val="none" w:sz="0" w:space="0" w:color="auto"/>
      </w:divBdr>
      <w:divsChild>
        <w:div w:id="1295403757">
          <w:marLeft w:val="0"/>
          <w:marRight w:val="0"/>
          <w:marTop w:val="0"/>
          <w:marBottom w:val="0"/>
          <w:divBdr>
            <w:top w:val="none" w:sz="0" w:space="0" w:color="auto"/>
            <w:left w:val="none" w:sz="0" w:space="0" w:color="auto"/>
            <w:bottom w:val="none" w:sz="0" w:space="0" w:color="auto"/>
            <w:right w:val="none" w:sz="0" w:space="0" w:color="auto"/>
          </w:divBdr>
        </w:div>
        <w:div w:id="1569151146">
          <w:marLeft w:val="0"/>
          <w:marRight w:val="0"/>
          <w:marTop w:val="0"/>
          <w:marBottom w:val="0"/>
          <w:divBdr>
            <w:top w:val="none" w:sz="0" w:space="0" w:color="auto"/>
            <w:left w:val="none" w:sz="0" w:space="0" w:color="auto"/>
            <w:bottom w:val="none" w:sz="0" w:space="0" w:color="auto"/>
            <w:right w:val="none" w:sz="0" w:space="0" w:color="auto"/>
          </w:divBdr>
          <w:divsChild>
            <w:div w:id="1999307281">
              <w:marLeft w:val="0"/>
              <w:marRight w:val="0"/>
              <w:marTop w:val="0"/>
              <w:marBottom w:val="0"/>
              <w:divBdr>
                <w:top w:val="none" w:sz="0" w:space="0" w:color="auto"/>
                <w:left w:val="none" w:sz="0" w:space="0" w:color="auto"/>
                <w:bottom w:val="none" w:sz="0" w:space="0" w:color="auto"/>
                <w:right w:val="none" w:sz="0" w:space="0" w:color="auto"/>
              </w:divBdr>
            </w:div>
          </w:divsChild>
        </w:div>
        <w:div w:id="1613047331">
          <w:marLeft w:val="0"/>
          <w:marRight w:val="0"/>
          <w:marTop w:val="0"/>
          <w:marBottom w:val="0"/>
          <w:divBdr>
            <w:top w:val="none" w:sz="0" w:space="0" w:color="auto"/>
            <w:left w:val="none" w:sz="0" w:space="0" w:color="auto"/>
            <w:bottom w:val="none" w:sz="0" w:space="0" w:color="auto"/>
            <w:right w:val="none" w:sz="0" w:space="0" w:color="auto"/>
          </w:divBdr>
          <w:divsChild>
            <w:div w:id="180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2/Understanding/accessible-authentic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github\objasnienia\WCAG-22_KS-337.html" TargetMode="External"/><Relationship Id="rId12" Type="http://schemas.openxmlformats.org/officeDocument/2006/relationships/hyperlink" Target="https://www.w3.org/WAI/WCAG22/Techniques/general/G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github\objasnienia\WCAG-22_KS-337.html" TargetMode="External"/><Relationship Id="rId11" Type="http://schemas.openxmlformats.org/officeDocument/2006/relationships/hyperlink" Target="https://www.w3.org/WAI/WCAG22/Understanding/understanding-techniques" TargetMode="External"/><Relationship Id="rId5" Type="http://schemas.openxmlformats.org/officeDocument/2006/relationships/hyperlink" Target="file:///D:\github\objasnienia\WCAG-22_KS-337.html" TargetMode="External"/><Relationship Id="rId10" Type="http://schemas.openxmlformats.org/officeDocument/2006/relationships/hyperlink" Target="https://www.w3.org/TR/coga-usable/" TargetMode="External"/><Relationship Id="rId4" Type="http://schemas.openxmlformats.org/officeDocument/2006/relationships/webSettings" Target="webSettings.xml"/><Relationship Id="rId9" Type="http://schemas.openxmlformats.org/officeDocument/2006/relationships/hyperlink" Target="https://www.w3.org/TR/coga-gap-analysis/"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1108</Words>
  <Characters>6648</Characters>
  <Application>Microsoft Office Word</Application>
  <DocSecurity>0</DocSecurity>
  <Lines>55</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2024-01-09T02:23:00Z</dcterms:created>
  <dcterms:modified xsi:type="dcterms:W3CDTF">2024-01-09T02:23:00Z</dcterms:modified>
</cp:coreProperties>
</file>