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15A3D" w14:textId="77777777" w:rsidR="003F47B7" w:rsidRPr="00791BAD" w:rsidRDefault="003F47B7" w:rsidP="003F47B7">
      <w:pPr>
        <w:spacing w:line="360" w:lineRule="auto"/>
        <w:ind w:left="641" w:hanging="357"/>
        <w:jc w:val="center"/>
        <w:rPr>
          <w:b/>
          <w:bCs/>
          <w:sz w:val="144"/>
          <w:szCs w:val="144"/>
        </w:rPr>
      </w:pPr>
      <w:r w:rsidRPr="61DA69D5">
        <w:rPr>
          <w:b/>
          <w:bCs/>
          <w:sz w:val="144"/>
          <w:szCs w:val="144"/>
        </w:rPr>
        <w:t>Advanced Risk Management</w:t>
      </w:r>
    </w:p>
    <w:p w14:paraId="1B6FB074" w14:textId="58609D71" w:rsidR="003F47B7" w:rsidRPr="00791BAD" w:rsidRDefault="003F47B7" w:rsidP="003F47B7">
      <w:pPr>
        <w:spacing w:line="480" w:lineRule="auto"/>
        <w:ind w:left="643" w:hanging="360"/>
        <w:jc w:val="center"/>
        <w:rPr>
          <w:b/>
          <w:bCs/>
          <w:sz w:val="72"/>
          <w:szCs w:val="72"/>
        </w:rPr>
      </w:pPr>
      <w:r w:rsidRPr="00791BAD">
        <w:rPr>
          <w:rFonts w:hint="eastAsia"/>
          <w:b/>
          <w:bCs/>
          <w:sz w:val="72"/>
          <w:szCs w:val="72"/>
        </w:rPr>
        <w:t>Assignment</w:t>
      </w:r>
      <w:r w:rsidR="00767BDB">
        <w:rPr>
          <w:rFonts w:hint="eastAsia"/>
          <w:b/>
          <w:bCs/>
          <w:sz w:val="72"/>
          <w:szCs w:val="72"/>
        </w:rPr>
        <w:t>2</w:t>
      </w:r>
    </w:p>
    <w:p w14:paraId="26D100E6" w14:textId="77777777" w:rsidR="003F47B7" w:rsidRDefault="003F47B7" w:rsidP="003F47B7">
      <w:pPr>
        <w:spacing w:line="480" w:lineRule="auto"/>
        <w:ind w:left="643" w:hanging="360"/>
      </w:pPr>
    </w:p>
    <w:tbl>
      <w:tblPr>
        <w:tblStyle w:val="TableGrid"/>
        <w:tblW w:w="9986" w:type="dxa"/>
        <w:tblInd w:w="213" w:type="dxa"/>
        <w:tblLook w:val="04A0" w:firstRow="1" w:lastRow="0" w:firstColumn="1" w:lastColumn="0" w:noHBand="0" w:noVBand="1"/>
      </w:tblPr>
      <w:tblGrid>
        <w:gridCol w:w="3024"/>
        <w:gridCol w:w="2835"/>
        <w:gridCol w:w="4127"/>
      </w:tblGrid>
      <w:tr w:rsidR="003F47B7" w14:paraId="1B677672" w14:textId="77777777" w:rsidTr="00E71A12">
        <w:tc>
          <w:tcPr>
            <w:tcW w:w="3024" w:type="dxa"/>
            <w:vAlign w:val="center"/>
          </w:tcPr>
          <w:p w14:paraId="3B1C3838" w14:textId="77777777" w:rsidR="003F47B7" w:rsidRPr="00791BAD" w:rsidRDefault="003F47B7" w:rsidP="00E71A12">
            <w:pPr>
              <w:spacing w:line="480" w:lineRule="auto"/>
              <w:jc w:val="center"/>
              <w:rPr>
                <w:b/>
                <w:bCs/>
                <w:sz w:val="32"/>
                <w:szCs w:val="32"/>
              </w:rPr>
            </w:pPr>
            <w:r w:rsidRPr="00791BAD">
              <w:rPr>
                <w:rFonts w:hint="eastAsia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835" w:type="dxa"/>
            <w:vAlign w:val="center"/>
          </w:tcPr>
          <w:p w14:paraId="44A58CD1" w14:textId="77777777" w:rsidR="003F47B7" w:rsidRPr="00791BAD" w:rsidRDefault="003F47B7" w:rsidP="00E71A12">
            <w:pPr>
              <w:spacing w:line="480" w:lineRule="auto"/>
              <w:jc w:val="center"/>
              <w:rPr>
                <w:b/>
                <w:bCs/>
                <w:sz w:val="32"/>
                <w:szCs w:val="32"/>
              </w:rPr>
            </w:pPr>
            <w:r w:rsidRPr="00791BAD">
              <w:rPr>
                <w:rFonts w:hint="eastAsia"/>
                <w:b/>
                <w:bCs/>
                <w:sz w:val="32"/>
                <w:szCs w:val="32"/>
              </w:rPr>
              <w:t>Andrew ID</w:t>
            </w:r>
          </w:p>
        </w:tc>
        <w:tc>
          <w:tcPr>
            <w:tcW w:w="4127" w:type="dxa"/>
            <w:vAlign w:val="center"/>
          </w:tcPr>
          <w:p w14:paraId="1E180AEA" w14:textId="77777777" w:rsidR="003F47B7" w:rsidRPr="00791BAD" w:rsidRDefault="003F47B7" w:rsidP="00E71A12">
            <w:pPr>
              <w:spacing w:line="480" w:lineRule="auto"/>
              <w:jc w:val="center"/>
              <w:rPr>
                <w:b/>
                <w:bCs/>
                <w:sz w:val="32"/>
                <w:szCs w:val="32"/>
              </w:rPr>
            </w:pPr>
            <w:r w:rsidRPr="00791BAD">
              <w:rPr>
                <w:rFonts w:hint="eastAsia"/>
                <w:b/>
                <w:bCs/>
                <w:sz w:val="32"/>
                <w:szCs w:val="32"/>
              </w:rPr>
              <w:t>Email Address</w:t>
            </w:r>
          </w:p>
        </w:tc>
      </w:tr>
      <w:tr w:rsidR="003F47B7" w14:paraId="4B53CF45" w14:textId="77777777" w:rsidTr="00E71A12">
        <w:tc>
          <w:tcPr>
            <w:tcW w:w="3024" w:type="dxa"/>
            <w:vAlign w:val="center"/>
          </w:tcPr>
          <w:p w14:paraId="6B37B92C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00791BAD">
              <w:rPr>
                <w:rFonts w:hint="eastAsia"/>
                <w:sz w:val="32"/>
                <w:szCs w:val="32"/>
              </w:rPr>
              <w:t>Ningxin Zhang</w:t>
            </w:r>
          </w:p>
        </w:tc>
        <w:tc>
          <w:tcPr>
            <w:tcW w:w="2835" w:type="dxa"/>
            <w:vAlign w:val="center"/>
          </w:tcPr>
          <w:p w14:paraId="53C7AAF2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00791BAD">
              <w:rPr>
                <w:rFonts w:hint="eastAsia"/>
                <w:sz w:val="32"/>
                <w:szCs w:val="32"/>
              </w:rPr>
              <w:t>coraz</w:t>
            </w:r>
          </w:p>
        </w:tc>
        <w:tc>
          <w:tcPr>
            <w:tcW w:w="4127" w:type="dxa"/>
            <w:vAlign w:val="center"/>
          </w:tcPr>
          <w:p w14:paraId="2DF5D75D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00791BAD">
              <w:rPr>
                <w:rFonts w:hint="eastAsia"/>
                <w:sz w:val="32"/>
                <w:szCs w:val="32"/>
              </w:rPr>
              <w:t>coraz@andrew.cmu.edu</w:t>
            </w:r>
          </w:p>
        </w:tc>
      </w:tr>
      <w:tr w:rsidR="003F47B7" w14:paraId="63BE9128" w14:textId="77777777" w:rsidTr="00E71A12">
        <w:tc>
          <w:tcPr>
            <w:tcW w:w="3024" w:type="dxa"/>
            <w:vAlign w:val="center"/>
          </w:tcPr>
          <w:p w14:paraId="694364A7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Shuming Xu</w:t>
            </w:r>
          </w:p>
        </w:tc>
        <w:tc>
          <w:tcPr>
            <w:tcW w:w="2835" w:type="dxa"/>
            <w:vAlign w:val="center"/>
          </w:tcPr>
          <w:p w14:paraId="59794BA9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shumingx</w:t>
            </w:r>
          </w:p>
        </w:tc>
        <w:tc>
          <w:tcPr>
            <w:tcW w:w="4127" w:type="dxa"/>
            <w:vAlign w:val="center"/>
          </w:tcPr>
          <w:p w14:paraId="1D5868F0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shumingx@andrew.cmu.edu</w:t>
            </w:r>
          </w:p>
        </w:tc>
      </w:tr>
      <w:tr w:rsidR="003F47B7" w14:paraId="52E8B8BE" w14:textId="77777777" w:rsidTr="00E71A12">
        <w:tc>
          <w:tcPr>
            <w:tcW w:w="3024" w:type="dxa"/>
            <w:vAlign w:val="center"/>
          </w:tcPr>
          <w:p w14:paraId="20D3A0CC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Ping Wang</w:t>
            </w:r>
          </w:p>
        </w:tc>
        <w:tc>
          <w:tcPr>
            <w:tcW w:w="2835" w:type="dxa"/>
            <w:vAlign w:val="center"/>
          </w:tcPr>
          <w:p w14:paraId="71CC6FD9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irenew</w:t>
            </w:r>
          </w:p>
        </w:tc>
        <w:tc>
          <w:tcPr>
            <w:tcW w:w="4127" w:type="dxa"/>
            <w:vAlign w:val="center"/>
          </w:tcPr>
          <w:p w14:paraId="4AEBCB72" w14:textId="77777777" w:rsidR="003F47B7" w:rsidRPr="00791BAD" w:rsidRDefault="003F47B7" w:rsidP="00E71A12">
            <w:pPr>
              <w:spacing w:line="480" w:lineRule="auto"/>
              <w:jc w:val="center"/>
              <w:rPr>
                <w:sz w:val="32"/>
                <w:szCs w:val="32"/>
              </w:rPr>
            </w:pPr>
            <w:r w:rsidRPr="61DA69D5">
              <w:rPr>
                <w:sz w:val="32"/>
                <w:szCs w:val="32"/>
              </w:rPr>
              <w:t>irenew@andrew.cmu.edu</w:t>
            </w:r>
          </w:p>
        </w:tc>
      </w:tr>
    </w:tbl>
    <w:p w14:paraId="4504332E" w14:textId="77777777" w:rsidR="003F47B7" w:rsidRDefault="003F47B7" w:rsidP="003F47B7">
      <w:pPr>
        <w:spacing w:line="480" w:lineRule="auto"/>
        <w:ind w:left="643" w:hanging="360"/>
      </w:pPr>
    </w:p>
    <w:p w14:paraId="293F377F" w14:textId="77777777" w:rsidR="00054E68" w:rsidRDefault="00054E68"/>
    <w:p w14:paraId="753EF237" w14:textId="77777777" w:rsidR="003F47B7" w:rsidRDefault="003F47B7"/>
    <w:p w14:paraId="12B47F9A" w14:textId="17C3E3FC" w:rsidR="003F47B7" w:rsidRDefault="003F47B7" w:rsidP="00147ECE">
      <w:pPr>
        <w:pStyle w:val="Style1"/>
        <w:spacing w:line="360" w:lineRule="auto"/>
        <w:jc w:val="both"/>
      </w:pPr>
      <w:r>
        <w:lastRenderedPageBreak/>
        <w:t xml:space="preserve">Part A: Trading Strategy </w:t>
      </w:r>
      <w:r w:rsidR="00CE23E8">
        <w:rPr>
          <w:rFonts w:hint="eastAsia"/>
        </w:rPr>
        <w:t>Implementation</w:t>
      </w:r>
    </w:p>
    <w:p w14:paraId="04ED8D91" w14:textId="6032E93E" w:rsidR="003F47B7" w:rsidRDefault="00E26A85" w:rsidP="00147ECE">
      <w:pPr>
        <w:pStyle w:val="Style2"/>
        <w:numPr>
          <w:ilvl w:val="0"/>
          <w:numId w:val="0"/>
        </w:numPr>
        <w:spacing w:line="360" w:lineRule="auto"/>
        <w:ind w:left="720"/>
        <w:jc w:val="both"/>
      </w:pPr>
      <w:r>
        <w:rPr>
          <w:rFonts w:hint="eastAsia"/>
        </w:rPr>
        <w:t xml:space="preserve">1.1 </w:t>
      </w:r>
      <w:r w:rsidR="0072516F">
        <w:rPr>
          <w:rFonts w:hint="eastAsia"/>
        </w:rPr>
        <w:t>Strategy Summary</w:t>
      </w:r>
    </w:p>
    <w:p w14:paraId="5C9F9B51" w14:textId="1445BA04" w:rsidR="0072516F" w:rsidRDefault="003B4C4D" w:rsidP="00147ECE">
      <w:pPr>
        <w:spacing w:line="360" w:lineRule="auto"/>
        <w:ind w:left="720"/>
        <w:jc w:val="both"/>
      </w:pPr>
      <w:r w:rsidRPr="003B4C4D">
        <w:t>The strategy is a hybrid pairs-trading approach that dynamically merges mean-reversion and trend-following regimes. It leverages Kalman Filter–estimated residuals to compute a z</w:t>
      </w:r>
      <w:r w:rsidRPr="003B4C4D">
        <w:rPr>
          <w:rFonts w:ascii="Cambria Math" w:hAnsi="Cambria Math" w:cs="Cambria Math"/>
        </w:rPr>
        <w:t>‑</w:t>
      </w:r>
      <w:r w:rsidRPr="003B4C4D">
        <w:t>score for entry/exit signals and applies dual moving-average crossovers for trend confirmation.</w:t>
      </w:r>
    </w:p>
    <w:p w14:paraId="73F1D2B9" w14:textId="5751A644" w:rsidR="00E26A85" w:rsidRPr="00E26A85" w:rsidRDefault="00E26A85" w:rsidP="00147ECE">
      <w:pPr>
        <w:pStyle w:val="Style2"/>
        <w:numPr>
          <w:ilvl w:val="0"/>
          <w:numId w:val="0"/>
        </w:numPr>
        <w:spacing w:line="360" w:lineRule="auto"/>
        <w:ind w:left="720"/>
        <w:jc w:val="both"/>
      </w:pPr>
      <w:r w:rsidRPr="00E26A85">
        <w:rPr>
          <w:rFonts w:hint="eastAsia"/>
        </w:rPr>
        <w:t>1.2 Market Instrument</w:t>
      </w:r>
      <w:r w:rsidR="00FD7AD9">
        <w:rPr>
          <w:rFonts w:hint="eastAsia"/>
        </w:rPr>
        <w:t>s</w:t>
      </w:r>
    </w:p>
    <w:p w14:paraId="563B6678" w14:textId="77777777" w:rsidR="00FD7AD9" w:rsidRDefault="00FD7AD9" w:rsidP="00147ECE">
      <w:pPr>
        <w:spacing w:after="0" w:line="360" w:lineRule="auto"/>
        <w:ind w:firstLine="720"/>
        <w:jc w:val="both"/>
      </w:pPr>
      <w:r w:rsidRPr="61DA69D5">
        <w:rPr>
          <w:rFonts w:ascii="Calibri" w:eastAsia="Calibri" w:hAnsi="Calibri" w:cs="Calibri"/>
          <w:b/>
          <w:bCs/>
          <w:noProof/>
        </w:rPr>
        <w:t>Instruments Traded:</w:t>
      </w:r>
    </w:p>
    <w:p w14:paraId="3FD6E59B" w14:textId="77777777" w:rsidR="00FD7AD9" w:rsidRDefault="00FD7AD9" w:rsidP="00147ECE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Calibri" w:eastAsia="Calibri" w:hAnsi="Calibri" w:cs="Calibri"/>
          <w:noProof/>
        </w:rPr>
      </w:pPr>
      <w:r w:rsidRPr="61DA69D5">
        <w:rPr>
          <w:rFonts w:ascii="Calibri" w:eastAsia="Calibri" w:hAnsi="Calibri" w:cs="Calibri"/>
          <w:noProof/>
        </w:rPr>
        <w:t>Long/short positions in Coca-Cola (KO, asset1) and PepsiCo (PEP, asset2) equities.</w:t>
      </w:r>
    </w:p>
    <w:p w14:paraId="5E70FFC1" w14:textId="77777777" w:rsidR="00FD7AD9" w:rsidRDefault="00FD7AD9" w:rsidP="00147ECE">
      <w:pPr>
        <w:spacing w:after="0" w:line="360" w:lineRule="auto"/>
        <w:ind w:firstLine="720"/>
        <w:jc w:val="both"/>
      </w:pPr>
      <w:r w:rsidRPr="61DA69D5">
        <w:rPr>
          <w:rFonts w:ascii="Calibri" w:eastAsia="Calibri" w:hAnsi="Calibri" w:cs="Calibri"/>
          <w:b/>
          <w:bCs/>
          <w:noProof/>
        </w:rPr>
        <w:t xml:space="preserve">Mechanism: </w:t>
      </w:r>
    </w:p>
    <w:p w14:paraId="30107FCF" w14:textId="4EF8730E" w:rsidR="00FD7AD9" w:rsidRDefault="003B4C4D" w:rsidP="00147ECE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Calibri" w:eastAsia="Calibri" w:hAnsi="Calibri" w:cs="Calibri"/>
          <w:noProof/>
        </w:rPr>
      </w:pPr>
      <w:r w:rsidRPr="003B4C4D">
        <w:rPr>
          <w:rFonts w:ascii="Calibri" w:eastAsia="Calibri" w:hAnsi="Calibri" w:cs="Calibri"/>
          <w:noProof/>
        </w:rPr>
        <w:t>Long Spread: Buy KO and short β</w:t>
      </w:r>
      <w:r w:rsidRPr="003B4C4D">
        <w:rPr>
          <w:rFonts w:ascii="Cambria Math" w:eastAsia="Calibri" w:hAnsi="Cambria Math" w:cs="Cambria Math"/>
          <w:noProof/>
        </w:rPr>
        <w:t>ₜ</w:t>
      </w:r>
      <w:r w:rsidRPr="003B4C4D">
        <w:rPr>
          <w:rFonts w:ascii="Calibri" w:eastAsia="Calibri" w:hAnsi="Calibri" w:cs="Calibri"/>
          <w:noProof/>
        </w:rPr>
        <w:t xml:space="preserve"> × PEP</w:t>
      </w:r>
      <w:r>
        <w:rPr>
          <w:rFonts w:ascii="宋体" w:eastAsia="宋体" w:hAnsi="宋体" w:cs="宋体" w:hint="eastAsia"/>
          <w:noProof/>
        </w:rPr>
        <w:t>.</w:t>
      </w:r>
    </w:p>
    <w:p w14:paraId="4C5BF7F6" w14:textId="64D5BC07" w:rsidR="00E26A85" w:rsidRPr="003B4C4D" w:rsidRDefault="003B4C4D" w:rsidP="00147ECE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Calibri" w:eastAsia="Calibri" w:hAnsi="Calibri" w:cs="Calibri"/>
          <w:noProof/>
        </w:rPr>
      </w:pPr>
      <w:r w:rsidRPr="003B4C4D">
        <w:rPr>
          <w:rFonts w:ascii="Calibri" w:eastAsia="Calibri" w:hAnsi="Calibri" w:cs="Calibri"/>
          <w:noProof/>
        </w:rPr>
        <w:t>Short Spread: Short KO and buy β</w:t>
      </w:r>
      <w:r w:rsidRPr="003B4C4D">
        <w:rPr>
          <w:rFonts w:ascii="Cambria Math" w:eastAsia="Calibri" w:hAnsi="Cambria Math" w:cs="Cambria Math"/>
          <w:noProof/>
        </w:rPr>
        <w:t>ₜ</w:t>
      </w:r>
      <w:r w:rsidRPr="003B4C4D">
        <w:rPr>
          <w:rFonts w:ascii="Calibri" w:eastAsia="Calibri" w:hAnsi="Calibri" w:cs="Calibri"/>
          <w:noProof/>
        </w:rPr>
        <w:t xml:space="preserve"> × PEP.</w:t>
      </w:r>
    </w:p>
    <w:p w14:paraId="77065D08" w14:textId="06B3A450" w:rsidR="00E26A85" w:rsidRDefault="00E26A85" w:rsidP="00147ECE">
      <w:pPr>
        <w:pStyle w:val="Style2"/>
        <w:numPr>
          <w:ilvl w:val="0"/>
          <w:numId w:val="0"/>
        </w:numPr>
        <w:spacing w:line="360" w:lineRule="auto"/>
        <w:ind w:left="720"/>
        <w:jc w:val="both"/>
      </w:pPr>
      <w:r>
        <w:rPr>
          <w:rFonts w:hint="eastAsia"/>
        </w:rPr>
        <w:t>1.3 Core Logic</w:t>
      </w:r>
    </w:p>
    <w:p w14:paraId="33478642" w14:textId="32089EE6" w:rsidR="00E26A85" w:rsidRDefault="00E26A85" w:rsidP="00147ECE">
      <w:pPr>
        <w:pStyle w:val="Style3"/>
        <w:spacing w:line="360" w:lineRule="auto"/>
        <w:jc w:val="both"/>
      </w:pPr>
      <w:r>
        <w:tab/>
      </w:r>
      <w:r>
        <w:rPr>
          <w:rFonts w:hint="eastAsia"/>
        </w:rPr>
        <w:t>1.</w:t>
      </w:r>
      <w:r w:rsidR="003B4C4D">
        <w:rPr>
          <w:rFonts w:hint="eastAsia"/>
        </w:rPr>
        <w:t>3</w:t>
      </w:r>
      <w:r>
        <w:rPr>
          <w:rFonts w:hint="eastAsia"/>
        </w:rPr>
        <w:t xml:space="preserve">.1 </w:t>
      </w:r>
      <w:r w:rsidR="003B4C4D" w:rsidRPr="003B4C4D">
        <w:t>Kalman Filter for Hedge Ratio Estimation</w:t>
      </w:r>
    </w:p>
    <w:p w14:paraId="1F7C28FB" w14:textId="77777777" w:rsidR="003B4C4D" w:rsidRPr="003F38AE" w:rsidRDefault="003B4C4D" w:rsidP="003B4C4D">
      <w:pPr>
        <w:spacing w:after="220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ln⁡</m:t>
          </m:r>
          <m:sSub>
            <m:sSubPr>
              <m:ctrlPr>
                <w:rPr>
                  <w:rFonts w:ascii="Cambria Math" w:eastAsiaTheme="minorHAnsi" w:hAnsi="Cambria Math" w:cstheme="minorHAnsi"/>
                  <w:lang w:eastAsia="en-US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PEP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,</m:t>
              </m:r>
              <m:r>
                <w:rPr>
                  <w:rFonts w:ascii="Cambria Math" w:hAnsi="Cambria Math" w:cstheme="minorHAnsi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eastAsiaTheme="minorHAnsi" w:hAnsi="Cambria Math" w:cstheme="minorHAnsi"/>
                  <w:lang w:eastAsia="en-US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β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ln⁡</m:t>
          </m:r>
          <m:sSub>
            <m:sSubPr>
              <m:ctrlPr>
                <w:rPr>
                  <w:rFonts w:ascii="Cambria Math" w:eastAsiaTheme="minorHAnsi" w:hAnsi="Cambria Math" w:cstheme="minorHAnsi"/>
                  <w:lang w:eastAsia="en-US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hAnsi="Cambria Math" w:cstheme="minorHAnsi"/>
                </w:rPr>
                <m:t>KO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,</m:t>
              </m:r>
              <m:r>
                <w:rPr>
                  <w:rFonts w:ascii="Cambria Math" w:hAnsi="Cambria Math" w:cstheme="minorHAnsi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eastAsiaTheme="minorHAnsi" w:hAnsi="Cambria Math" w:cstheme="minorHAnsi"/>
                  <w:lang w:eastAsia="en-US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eastAsiaTheme="minorHAnsi" w:hAnsi="Cambria Math" w:cstheme="minorHAnsi"/>
                  <w:lang w:eastAsia="en-US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ε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</m:oMath>
      </m:oMathPara>
    </w:p>
    <w:p w14:paraId="720E9FFE" w14:textId="16EA6C16" w:rsidR="00056415" w:rsidRDefault="003B4C4D" w:rsidP="00056415">
      <w:pPr>
        <w:spacing w:line="360" w:lineRule="auto"/>
        <w:ind w:left="720"/>
        <w:jc w:val="both"/>
      </w:pPr>
      <w:r w:rsidRPr="003B4C4D">
        <w:t>Process Noise: δ = 0.001; Observation Noise Variance: σ² = 0.01</w:t>
      </w:r>
      <w:r w:rsidR="00056415">
        <w:rPr>
          <w:rFonts w:hint="eastAsia"/>
        </w:rPr>
        <w:t>.</w:t>
      </w:r>
    </w:p>
    <w:p w14:paraId="54E7DB9C" w14:textId="6E443E95" w:rsidR="008A473B" w:rsidRPr="00B22DDB" w:rsidRDefault="003F38AE" w:rsidP="00B22DDB">
      <w:pPr>
        <w:spacing w:after="220" w:line="240" w:lineRule="atLeast"/>
        <w:rPr>
          <w:rFonts w:eastAsia="等线" w:cstheme="minorHAnsi"/>
          <w:kern w:val="0"/>
          <w14:ligatures w14:val="none"/>
        </w:rPr>
      </w:pPr>
      <m:oMathPara>
        <m:oMath>
          <m:r>
            <m:rPr>
              <m:nor/>
            </m:rPr>
            <w:rPr>
              <w:rFonts w:eastAsia="等线" w:cstheme="minorHAnsi"/>
              <w:kern w:val="0"/>
              <w:lang w:eastAsia="en-US"/>
              <w14:ligatures w14:val="none"/>
            </w:rPr>
            <m:t> price-level hedge </m:t>
          </m:r>
          <m:sSub>
            <m:sSub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sSubPr>
            <m:e>
              <m:r>
                <m:rPr>
                  <m:nor/>
                </m:rPr>
                <w:rPr>
                  <w:rFonts w:eastAsia="等线" w:cstheme="minorHAnsi"/>
                  <w:kern w:val="0"/>
                  <w:lang w:eastAsia="en-US"/>
                  <w14:ligatures w14:val="none"/>
                </w:rPr>
                <m:t> ratio </m:t>
              </m:r>
            </m:e>
            <m:sub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=</m:t>
          </m:r>
          <m:sSub>
            <m:sSub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sSubPr>
            <m:e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β</m:t>
              </m:r>
            </m:e>
            <m:sub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⋅</m:t>
          </m:r>
          <m:f>
            <m:f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等线" w:hAnsi="Cambria Math" w:cstheme="minorHAnsi"/>
                      <w:i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KO,t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等线" w:hAnsi="Cambria Math" w:cstheme="minorHAnsi"/>
                      <w:i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PEP,t</m:t>
                  </m:r>
                </m:sub>
              </m:sSub>
            </m:den>
          </m:f>
        </m:oMath>
      </m:oMathPara>
    </w:p>
    <w:p w14:paraId="5C9DEB65" w14:textId="10E9F796" w:rsidR="00E26A85" w:rsidRDefault="00E26A85" w:rsidP="00147ECE">
      <w:pPr>
        <w:pStyle w:val="Style3"/>
        <w:spacing w:line="360" w:lineRule="auto"/>
        <w:ind w:firstLine="720"/>
        <w:jc w:val="both"/>
      </w:pPr>
      <w:r>
        <w:rPr>
          <w:rFonts w:hint="eastAsia"/>
        </w:rPr>
        <w:t>1</w:t>
      </w:r>
      <w:r w:rsidRPr="00E26A85">
        <w:rPr>
          <w:rFonts w:hint="eastAsia"/>
        </w:rPr>
        <w:t>.</w:t>
      </w:r>
      <w:r w:rsidR="003B4C4D">
        <w:rPr>
          <w:rFonts w:hint="eastAsia"/>
        </w:rPr>
        <w:t>3</w:t>
      </w:r>
      <w:r w:rsidRPr="00E26A85">
        <w:rPr>
          <w:rFonts w:hint="eastAsia"/>
        </w:rPr>
        <w:t xml:space="preserve">.2 </w:t>
      </w:r>
      <w:r w:rsidR="003B4C4D" w:rsidRPr="003B4C4D">
        <w:t>Z</w:t>
      </w:r>
      <w:r w:rsidR="003B4C4D" w:rsidRPr="003B4C4D">
        <w:rPr>
          <w:rFonts w:ascii="Cambria Math" w:hAnsi="Cambria Math" w:cs="Cambria Math"/>
        </w:rPr>
        <w:t>‑</w:t>
      </w:r>
      <w:r w:rsidR="003B4C4D" w:rsidRPr="003B4C4D">
        <w:t>Score Calculation</w:t>
      </w:r>
    </w:p>
    <w:p w14:paraId="21742B54" w14:textId="1921420C" w:rsidR="003B4C4D" w:rsidRPr="003F38AE" w:rsidRDefault="000B701F" w:rsidP="0001723C">
      <w:pPr>
        <w:spacing w:after="220" w:line="240" w:lineRule="atLeast"/>
        <w:rPr>
          <w:rFonts w:eastAsia="等线" w:cstheme="minorHAnsi"/>
          <w:kern w:val="0"/>
          <w14:ligatures w14:val="none"/>
        </w:rPr>
      </w:pPr>
      <m:oMathPara>
        <m:oMath>
          <m:sSub>
            <m:sSub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sSubPr>
            <m:e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z</m:t>
              </m:r>
            </m:e>
            <m:sub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=</m:t>
          </m:r>
          <m:f>
            <m:f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μ</m:t>
                  </m:r>
                </m:e>
                <m:sub>
                  <m:r>
                    <m:rPr>
                      <m:nor/>
                    </m:rPr>
                    <w:rPr>
                      <w:rFonts w:eastAsia="等线" w:cstheme="minorHAnsi"/>
                      <w:kern w:val="0"/>
                      <w:lang w:eastAsia="en-US"/>
                      <w14:ligatures w14:val="none"/>
                    </w:rPr>
                    <m:t>calib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eastAsia="等线" w:cstheme="minorHAnsi"/>
                      <w:kern w:val="0"/>
                      <w:lang w:eastAsia="en-US"/>
                      <w14:ligatures w14:val="none"/>
                    </w:rPr>
                    <m:t>rolling 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sSubPr>
            <m:e>
              <m: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  <m:t>σ</m:t>
              </m:r>
            </m:e>
            <m:sub>
              <m:r>
                <m:rPr>
                  <m:nor/>
                </m:rPr>
                <w:rPr>
                  <w:rFonts w:eastAsia="等线" w:cstheme="minorHAnsi"/>
                  <w:kern w:val="0"/>
                  <w:lang w:eastAsia="en-US"/>
                  <w14:ligatures w14:val="none"/>
                </w:rPr>
                <m:t>rolling </m:t>
              </m:r>
            </m:sub>
          </m:sSub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=std</m:t>
          </m:r>
          <m:d>
            <m:dPr>
              <m:ctrlPr>
                <w:rPr>
                  <w:rFonts w:ascii="Cambria Math" w:eastAsia="等线" w:hAnsi="Cambria Math" w:cstheme="minorHAnsi"/>
                  <w:kern w:val="0"/>
                  <w:lang w:eastAsia="en-US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-</m:t>
                  </m:r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τ</m:t>
                  </m:r>
                  <m:r>
                    <m:rPr>
                      <m:sty m:val="p"/>
                    </m:rP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+1:</m:t>
                  </m:r>
                  <m:r>
                    <w:rPr>
                      <w:rFonts w:ascii="Cambria Math" w:eastAsia="等线" w:hAnsi="Cambria Math" w:cstheme="minorHAnsi"/>
                      <w:kern w:val="0"/>
                      <w:lang w:eastAsia="en-US"/>
                      <w14:ligatures w14:val="none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,</m:t>
          </m:r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 xml:space="preserve"> </m:t>
          </m:r>
          <m: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τ</m:t>
          </m:r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=</m:t>
          </m:r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2</m:t>
          </m:r>
          <m:r>
            <m:rPr>
              <m:sty m:val="p"/>
            </m:rPr>
            <w:rPr>
              <w:rFonts w:ascii="Cambria Math" w:eastAsia="等线" w:hAnsi="Cambria Math" w:cstheme="minorHAnsi"/>
              <w:kern w:val="0"/>
              <w:lang w:eastAsia="en-US"/>
              <w14:ligatures w14:val="none"/>
            </w:rPr>
            <m:t>0</m:t>
          </m:r>
        </m:oMath>
      </m:oMathPara>
    </w:p>
    <w:p w14:paraId="5C9C932D" w14:textId="20C52E84" w:rsidR="007C6ABE" w:rsidRDefault="0001723C" w:rsidP="0001723C">
      <w:pPr>
        <w:spacing w:line="360" w:lineRule="auto"/>
        <w:ind w:left="720"/>
        <w:jc w:val="both"/>
      </w:pPr>
      <w:r w:rsidRPr="0001723C">
        <w:t>Calibration Mean (μ_{calib}): −0.0023, computed over 2012–202</w:t>
      </w:r>
      <w:r w:rsidR="00FA78F2">
        <w:rPr>
          <w:rFonts w:hint="eastAsia"/>
        </w:rPr>
        <w:t>1</w:t>
      </w:r>
      <w:r w:rsidRPr="0001723C">
        <w:t xml:space="preserve"> calibration period.</w:t>
      </w:r>
      <w:r w:rsidR="00056415">
        <w:rPr>
          <w:rFonts w:hint="eastAsia"/>
        </w:rPr>
        <w:t xml:space="preserve"> </w:t>
      </w:r>
    </w:p>
    <w:p w14:paraId="3D3A0A1F" w14:textId="412E496B" w:rsidR="0001723C" w:rsidRDefault="00056415" w:rsidP="0001723C">
      <w:pPr>
        <w:spacing w:line="360" w:lineRule="auto"/>
        <w:ind w:left="720"/>
        <w:jc w:val="both"/>
      </w:pPr>
      <w:r w:rsidRPr="00056415">
        <w:rPr>
          <w:color w:val="4472C4" w:themeColor="accent1"/>
        </w:rPr>
        <w:t>F</w:t>
      </w:r>
      <w:r w:rsidRPr="00056415">
        <w:rPr>
          <w:rFonts w:hint="eastAsia"/>
          <w:color w:val="4472C4" w:themeColor="accent1"/>
        </w:rPr>
        <w:t xml:space="preserve">igure </w:t>
      </w:r>
      <w:r w:rsidR="00E618E0">
        <w:rPr>
          <w:rFonts w:hint="eastAsia"/>
          <w:color w:val="4472C4" w:themeColor="accent1"/>
        </w:rPr>
        <w:t xml:space="preserve">3 </w:t>
      </w:r>
      <w:r w:rsidR="00E618E0" w:rsidRPr="00E618E0">
        <w:t>shows</w:t>
      </w:r>
      <w:r w:rsidR="000A23EF">
        <w:rPr>
          <w:rFonts w:hint="eastAsia"/>
        </w:rPr>
        <w:t xml:space="preserve"> that</w:t>
      </w:r>
      <w:r w:rsidR="00E618E0" w:rsidRPr="00E618E0">
        <w:t xml:space="preserve"> (1) the spread’s z</w:t>
      </w:r>
      <w:r w:rsidR="00E618E0" w:rsidRPr="00E618E0">
        <w:rPr>
          <w:rFonts w:ascii="Cambria Math" w:hAnsi="Cambria Math" w:cs="Cambria Math"/>
        </w:rPr>
        <w:t>‑</w:t>
      </w:r>
      <w:r w:rsidR="00E618E0" w:rsidRPr="00E618E0">
        <w:t xml:space="preserve">score over time with red dashed lines at </w:t>
      </w:r>
      <w:r w:rsidR="00E618E0" w:rsidRPr="00E618E0">
        <w:rPr>
          <w:rFonts w:ascii="Calibri" w:hAnsi="Calibri" w:cs="Calibri"/>
        </w:rPr>
        <w:t>±</w:t>
      </w:r>
      <w:r w:rsidR="00E618E0" w:rsidRPr="00E618E0">
        <w:t xml:space="preserve">2 and green dashed lines at </w:t>
      </w:r>
      <w:r w:rsidR="00E618E0" w:rsidRPr="00E618E0">
        <w:rPr>
          <w:rFonts w:ascii="Calibri" w:hAnsi="Calibri" w:cs="Calibri"/>
        </w:rPr>
        <w:t>±</w:t>
      </w:r>
      <w:r w:rsidR="00E618E0" w:rsidRPr="00E618E0">
        <w:t xml:space="preserve">0.5 for entry and neutral thresholds; (2) the dynamically estimated hedge ratio </w:t>
      </w:r>
      <w:r w:rsidR="00E618E0" w:rsidRPr="00E618E0">
        <w:rPr>
          <w:rFonts w:ascii="Calibri" w:hAnsi="Calibri" w:cs="Calibri"/>
        </w:rPr>
        <w:lastRenderedPageBreak/>
        <w:t>β</w:t>
      </w:r>
      <w:r w:rsidR="00E618E0" w:rsidRPr="00E618E0">
        <w:rPr>
          <w:rFonts w:ascii="Cambria Math" w:hAnsi="Cambria Math" w:cs="Cambria Math"/>
        </w:rPr>
        <w:t>ₜ</w:t>
      </w:r>
      <w:r w:rsidR="00E618E0" w:rsidRPr="00E618E0">
        <w:t xml:space="preserve"> revealing how the filter adapts; and (3) the estimated intercept </w:t>
      </w:r>
      <w:r w:rsidR="00E618E0" w:rsidRPr="00E618E0">
        <w:rPr>
          <w:rFonts w:ascii="Calibri" w:hAnsi="Calibri" w:cs="Calibri"/>
        </w:rPr>
        <w:t>α</w:t>
      </w:r>
      <w:r w:rsidR="00E618E0" w:rsidRPr="00E618E0">
        <w:rPr>
          <w:rFonts w:ascii="Cambria Math" w:hAnsi="Cambria Math" w:cs="Cambria Math"/>
        </w:rPr>
        <w:t>ₜ</w:t>
      </w:r>
      <w:r w:rsidR="00E618E0" w:rsidRPr="00E618E0">
        <w:t xml:space="preserve"> reflecting changes in the relationship</w:t>
      </w:r>
      <w:r w:rsidR="00E618E0" w:rsidRPr="00E618E0">
        <w:rPr>
          <w:rFonts w:ascii="Calibri" w:hAnsi="Calibri" w:cs="Calibri"/>
        </w:rPr>
        <w:t>’</w:t>
      </w:r>
      <w:r w:rsidR="00E618E0" w:rsidRPr="00E618E0">
        <w:t>s offset.</w:t>
      </w:r>
    </w:p>
    <w:p w14:paraId="3C75F31C" w14:textId="1FF1627A" w:rsidR="0001723C" w:rsidRDefault="0001723C" w:rsidP="0001723C">
      <w:pPr>
        <w:pStyle w:val="Style3"/>
        <w:spacing w:line="360" w:lineRule="auto"/>
        <w:ind w:firstLine="720"/>
        <w:jc w:val="both"/>
      </w:pPr>
      <w:r w:rsidRPr="0001723C">
        <w:t>1.3.3 Mean</w:t>
      </w:r>
      <w:r w:rsidRPr="0001723C">
        <w:rPr>
          <w:rFonts w:ascii="Cambria Math" w:hAnsi="Cambria Math" w:cs="Cambria Math"/>
        </w:rPr>
        <w:t>‑</w:t>
      </w:r>
      <w:r w:rsidRPr="0001723C">
        <w:t>Reversion Rules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310"/>
        <w:gridCol w:w="3689"/>
      </w:tblGrid>
      <w:tr w:rsidR="0001723C" w:rsidRPr="0001723C" w14:paraId="4ADF7E9E" w14:textId="77777777" w:rsidTr="0001723C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72AD7330" w14:textId="77777777" w:rsidR="0001723C" w:rsidRPr="0001723C" w:rsidRDefault="0001723C" w:rsidP="0001723C">
            <w:pPr>
              <w:rPr>
                <w:rFonts w:eastAsia="等线" w:hAnsi="等线" w:cs="Times New Roman"/>
              </w:rPr>
            </w:pPr>
            <w:r w:rsidRPr="0001723C">
              <w:rPr>
                <w:rFonts w:eastAsia="等线" w:hAnsi="等线" w:cs="Times New Roman"/>
              </w:rPr>
              <w:t>Signal</w:t>
            </w:r>
          </w:p>
        </w:tc>
        <w:tc>
          <w:tcPr>
            <w:tcW w:w="0" w:type="auto"/>
            <w:vAlign w:val="center"/>
          </w:tcPr>
          <w:p w14:paraId="0328F92B" w14:textId="77777777" w:rsidR="0001723C" w:rsidRPr="0001723C" w:rsidRDefault="0001723C" w:rsidP="0001723C">
            <w:pPr>
              <w:rPr>
                <w:rFonts w:eastAsia="等线" w:hAnsi="等线" w:cs="Times New Roman"/>
              </w:rPr>
            </w:pPr>
            <w:r w:rsidRPr="0001723C">
              <w:rPr>
                <w:rFonts w:eastAsia="等线" w:hAnsi="等线" w:cs="Times New Roman"/>
              </w:rPr>
              <w:t>Condition</w:t>
            </w:r>
          </w:p>
        </w:tc>
        <w:tc>
          <w:tcPr>
            <w:tcW w:w="0" w:type="auto"/>
            <w:vAlign w:val="center"/>
          </w:tcPr>
          <w:p w14:paraId="55EB9C7E" w14:textId="77777777" w:rsidR="0001723C" w:rsidRPr="0001723C" w:rsidRDefault="0001723C" w:rsidP="0001723C">
            <w:pPr>
              <w:rPr>
                <w:rFonts w:eastAsia="等线" w:hAnsi="等线" w:cs="Times New Roman"/>
              </w:rPr>
            </w:pPr>
            <w:r w:rsidRPr="0001723C">
              <w:rPr>
                <w:rFonts w:eastAsia="等线" w:hAnsi="等线" w:cs="Times New Roman"/>
              </w:rPr>
              <w:t>Action</w:t>
            </w:r>
          </w:p>
        </w:tc>
      </w:tr>
      <w:tr w:rsidR="0001723C" w:rsidRPr="0001723C" w14:paraId="04F16547" w14:textId="77777777" w:rsidTr="0001723C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7B095301" w14:textId="77777777" w:rsidR="0001723C" w:rsidRPr="0001723C" w:rsidRDefault="0001723C" w:rsidP="0001723C">
            <w:pPr>
              <w:rPr>
                <w:rFonts w:eastAsia="等线" w:hAnsi="等线" w:cs="Times New Roman"/>
              </w:rPr>
            </w:pPr>
            <w:r w:rsidRPr="0001723C">
              <w:rPr>
                <w:rFonts w:eastAsia="等线" w:hAnsi="等线" w:cs="Times New Roman"/>
              </w:rPr>
              <w:t>Enter Long</w:t>
            </w:r>
          </w:p>
        </w:tc>
        <w:tc>
          <w:tcPr>
            <w:tcW w:w="0" w:type="auto"/>
            <w:vAlign w:val="center"/>
          </w:tcPr>
          <w:p w14:paraId="2FC244E0" w14:textId="77777777" w:rsidR="0001723C" w:rsidRPr="0001723C" w:rsidRDefault="0001723C" w:rsidP="0001723C">
            <w:pPr>
              <w:rPr>
                <w:rFonts w:eastAsia="宋体" w:hAnsi="等线" w:cs="Times New Roman"/>
              </w:rPr>
            </w:pPr>
            <w:r w:rsidRPr="0001723C">
              <w:rPr>
                <w:rFonts w:eastAsia="等线" w:hAnsi="等线" w:cs="Times New Roman"/>
              </w:rPr>
              <w:t>z</w:t>
            </w:r>
            <w:r w:rsidRPr="0001723C">
              <w:rPr>
                <w:rFonts w:ascii="Cambria Math" w:eastAsia="等线" w:hAnsi="Cambria Math" w:cs="Cambria Math"/>
              </w:rPr>
              <w:t>ₜ</w:t>
            </w:r>
            <w:r w:rsidRPr="0001723C">
              <w:rPr>
                <w:rFonts w:eastAsia="等线" w:hAnsi="等线" w:cs="Times New Roman"/>
              </w:rPr>
              <w:t xml:space="preserve"> &lt; </w:t>
            </w:r>
            <w:r w:rsidRPr="0001723C">
              <w:rPr>
                <w:rFonts w:ascii="Cambria Math" w:eastAsia="等线" w:hAnsi="Cambria Math" w:cs="Cambria Math"/>
              </w:rPr>
              <w:t>−</w:t>
            </w:r>
            <w:r w:rsidRPr="0001723C">
              <w:rPr>
                <w:rFonts w:eastAsia="等线" w:hAnsi="等线" w:cs="Times New Roman"/>
              </w:rPr>
              <w:t>2.0</w:t>
            </w:r>
          </w:p>
        </w:tc>
        <w:tc>
          <w:tcPr>
            <w:tcW w:w="0" w:type="auto"/>
            <w:vAlign w:val="center"/>
          </w:tcPr>
          <w:p w14:paraId="4AD9146D" w14:textId="77777777" w:rsidR="0001723C" w:rsidRPr="0001723C" w:rsidRDefault="0001723C" w:rsidP="0001723C">
            <w:pPr>
              <w:rPr>
                <w:rFonts w:eastAsia="等线" w:hAnsi="等线" w:cs="Times New Roman"/>
              </w:rPr>
            </w:pPr>
            <w:r w:rsidRPr="0001723C">
              <w:rPr>
                <w:rFonts w:eastAsia="等线" w:hAnsi="等线" w:cs="Times New Roman"/>
              </w:rPr>
              <w:t xml:space="preserve">Buy KO; short PEP (hedged by </w:t>
            </w:r>
            <m:oMath>
              <m:sSub>
                <m:sSubPr>
                  <m:ctrlPr>
                    <w:rPr>
                      <w:rFonts w:ascii="Cambria Math" w:eastAsia="等线" w:hAnsi="Cambria Math" w:cs="Times New Roman"/>
                    </w:rPr>
                  </m:ctrlPr>
                </m:sSubPr>
                <m:e>
                  <m:r>
                    <w:rPr>
                      <w:rFonts w:ascii="Cambria Math" w:eastAsia="等线" w:hAnsi="Cambria Math" w:cs="Times New Roman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等线" w:hAnsi="Cambria Math" w:cs="Times New Roman"/>
                    </w:rPr>
                    <m:t>t</m:t>
                  </m:r>
                </m:sub>
              </m:sSub>
            </m:oMath>
            <w:r w:rsidRPr="0001723C">
              <w:rPr>
                <w:rFonts w:eastAsia="等线" w:hAnsi="等线" w:cs="Times New Roman"/>
              </w:rPr>
              <w:t xml:space="preserve"> )</w:t>
            </w:r>
          </w:p>
        </w:tc>
      </w:tr>
      <w:tr w:rsidR="0001723C" w:rsidRPr="0001723C" w14:paraId="10269C66" w14:textId="77777777" w:rsidTr="0001723C">
        <w:trPr>
          <w:cantSplit/>
          <w:tblCellSpacing w:w="0" w:type="dxa"/>
          <w:jc w:val="center"/>
        </w:trPr>
        <w:tc>
          <w:tcPr>
            <w:tcW w:w="0" w:type="auto"/>
            <w:vAlign w:val="center"/>
          </w:tcPr>
          <w:p w14:paraId="3BC719CD" w14:textId="77777777" w:rsidR="0001723C" w:rsidRPr="0001723C" w:rsidRDefault="0001723C" w:rsidP="0001723C">
            <w:pPr>
              <w:rPr>
                <w:rFonts w:eastAsia="宋体" w:hAnsi="等线" w:cs="Times New Roman"/>
              </w:rPr>
            </w:pPr>
            <w:r w:rsidRPr="0001723C">
              <w:rPr>
                <w:rFonts w:eastAsia="等线" w:hAnsi="等线" w:cs="Times New Roman"/>
              </w:rPr>
              <w:t>Enter Short</w:t>
            </w:r>
          </w:p>
        </w:tc>
        <w:tc>
          <w:tcPr>
            <w:tcW w:w="0" w:type="auto"/>
            <w:vAlign w:val="center"/>
          </w:tcPr>
          <w:p w14:paraId="6035B279" w14:textId="77777777" w:rsidR="0001723C" w:rsidRPr="0001723C" w:rsidRDefault="0001723C" w:rsidP="0001723C">
            <w:pPr>
              <w:rPr>
                <w:rFonts w:eastAsia="宋体" w:hAnsi="等线" w:cs="Times New Roman"/>
              </w:rPr>
            </w:pPr>
            <w:r w:rsidRPr="0001723C">
              <w:rPr>
                <w:rFonts w:eastAsia="等线" w:hAnsi="等线" w:cs="Times New Roman"/>
              </w:rPr>
              <w:t>z</w:t>
            </w:r>
            <w:r w:rsidRPr="0001723C">
              <w:rPr>
                <w:rFonts w:ascii="Cambria Math" w:eastAsia="等线" w:hAnsi="Cambria Math" w:cs="Cambria Math"/>
              </w:rPr>
              <w:t>ₜ</w:t>
            </w:r>
            <w:r w:rsidRPr="0001723C">
              <w:rPr>
                <w:rFonts w:eastAsia="等线" w:hAnsi="等线" w:cs="Times New Roman"/>
              </w:rPr>
              <w:t xml:space="preserve"> &gt; +2.0</w:t>
            </w:r>
          </w:p>
        </w:tc>
        <w:tc>
          <w:tcPr>
            <w:tcW w:w="0" w:type="auto"/>
            <w:vAlign w:val="center"/>
          </w:tcPr>
          <w:p w14:paraId="070CC678" w14:textId="77777777" w:rsidR="0001723C" w:rsidRPr="0001723C" w:rsidRDefault="0001723C" w:rsidP="0001723C">
            <w:pPr>
              <w:rPr>
                <w:rFonts w:eastAsia="宋体" w:hAnsi="等线" w:cs="Times New Roman"/>
              </w:rPr>
            </w:pPr>
            <w:r w:rsidRPr="0001723C">
              <w:rPr>
                <w:rFonts w:eastAsia="等线" w:hAnsi="等线" w:cs="Times New Roman"/>
              </w:rPr>
              <w:t>Short KO; buy PEP</w:t>
            </w:r>
          </w:p>
        </w:tc>
      </w:tr>
      <w:tr w:rsidR="0001723C" w:rsidRPr="0001723C" w14:paraId="78A53612" w14:textId="77777777" w:rsidTr="0001723C">
        <w:trPr>
          <w:cantSplit/>
          <w:trHeight w:val="52"/>
          <w:tblCellSpacing w:w="0" w:type="dxa"/>
          <w:jc w:val="center"/>
        </w:trPr>
        <w:tc>
          <w:tcPr>
            <w:tcW w:w="0" w:type="auto"/>
            <w:vAlign w:val="center"/>
          </w:tcPr>
          <w:p w14:paraId="344AAE60" w14:textId="15C02116" w:rsidR="0001723C" w:rsidRPr="0001723C" w:rsidRDefault="0001723C" w:rsidP="0001723C">
            <w:pPr>
              <w:rPr>
                <w:rFonts w:eastAsia="宋体" w:hAnsi="等线" w:cs="Times New Roman" w:hint="eastAsia"/>
                <w:lang w:eastAsia="zh-CN"/>
              </w:rPr>
            </w:pPr>
            <w:r w:rsidRPr="0001723C">
              <w:rPr>
                <w:rFonts w:eastAsia="等线" w:hAnsi="等线" w:cs="Times New Roman"/>
              </w:rPr>
              <w:t xml:space="preserve">Exit </w:t>
            </w:r>
            <w:r w:rsidR="00FA78F2">
              <w:rPr>
                <w:rFonts w:eastAsia="等线" w:hAnsi="等线" w:cs="Times New Roman" w:hint="eastAsia"/>
                <w:lang w:eastAsia="zh-CN"/>
              </w:rPr>
              <w:t>Long</w:t>
            </w:r>
          </w:p>
        </w:tc>
        <w:tc>
          <w:tcPr>
            <w:tcW w:w="0" w:type="auto"/>
            <w:vAlign w:val="center"/>
          </w:tcPr>
          <w:p w14:paraId="301070FE" w14:textId="7730E2B3" w:rsidR="0001723C" w:rsidRPr="0001723C" w:rsidRDefault="0001723C" w:rsidP="0001723C">
            <w:pPr>
              <w:rPr>
                <w:rFonts w:eastAsia="宋体" w:hAnsi="等线" w:cs="Times New Roman" w:hint="eastAsia"/>
                <w:lang w:eastAsia="zh-CN"/>
              </w:rPr>
            </w:pPr>
            <w:r w:rsidRPr="0001723C">
              <w:rPr>
                <w:rFonts w:eastAsia="等线" w:hAnsi="等线" w:cs="Times New Roman"/>
              </w:rPr>
              <w:t>z</w:t>
            </w:r>
            <w:r w:rsidRPr="0001723C">
              <w:rPr>
                <w:rFonts w:ascii="Cambria Math" w:eastAsia="等线" w:hAnsi="Cambria Math" w:cs="Cambria Math"/>
              </w:rPr>
              <w:t>ₜ</w:t>
            </w:r>
            <w:r w:rsidRPr="0001723C">
              <w:rPr>
                <w:rFonts w:ascii="Cambria Math" w:eastAsia="等线" w:hAnsi="Cambria Math" w:cs="Cambria Math" w:hint="eastAsia"/>
              </w:rPr>
              <w:t xml:space="preserve"> </w:t>
            </w:r>
            <w:r w:rsidR="00FA78F2">
              <w:rPr>
                <w:rFonts w:eastAsia="等线" w:hAnsi="Cambria Math" w:cs="Cambria Math" w:hint="eastAsia"/>
                <w:lang w:eastAsia="zh-CN"/>
              </w:rPr>
              <w:t>&gt;</w:t>
            </w:r>
            <w:r w:rsidRPr="0001723C">
              <w:rPr>
                <w:rFonts w:eastAsia="等线" w:hAnsi="等线" w:cs="Times New Roman"/>
              </w:rPr>
              <w:t xml:space="preserve"> 0.</w:t>
            </w:r>
            <w:r w:rsidR="00FA78F2">
              <w:rPr>
                <w:rFonts w:eastAsia="等线" w:hAnsi="等线" w:cs="Times New Roman" w:hint="eastAsia"/>
                <w:lang w:eastAsia="zh-CN"/>
              </w:rPr>
              <w:t>1</w:t>
            </w:r>
          </w:p>
        </w:tc>
        <w:tc>
          <w:tcPr>
            <w:tcW w:w="0" w:type="auto"/>
            <w:vAlign w:val="center"/>
          </w:tcPr>
          <w:p w14:paraId="01CB8B22" w14:textId="5BB6F15C" w:rsidR="0001723C" w:rsidRPr="0001723C" w:rsidRDefault="0001723C" w:rsidP="0001723C">
            <w:pPr>
              <w:rPr>
                <w:rFonts w:eastAsia="宋体" w:hAnsi="等线" w:cs="Times New Roman"/>
              </w:rPr>
            </w:pPr>
            <w:r w:rsidRPr="0001723C">
              <w:rPr>
                <w:rFonts w:eastAsia="等线" w:hAnsi="等线" w:cs="Times New Roman"/>
              </w:rPr>
              <w:t xml:space="preserve">Close existing </w:t>
            </w:r>
            <w:r w:rsidR="00FA78F2">
              <w:rPr>
                <w:rFonts w:eastAsia="等线" w:hAnsi="等线" w:cs="Times New Roman" w:hint="eastAsia"/>
                <w:lang w:eastAsia="zh-CN"/>
              </w:rPr>
              <w:t xml:space="preserve">long </w:t>
            </w:r>
            <w:r w:rsidRPr="0001723C">
              <w:rPr>
                <w:rFonts w:eastAsia="等线" w:hAnsi="等线" w:cs="Times New Roman"/>
              </w:rPr>
              <w:t>spread trade</w:t>
            </w:r>
          </w:p>
        </w:tc>
      </w:tr>
      <w:tr w:rsidR="00FA78F2" w:rsidRPr="0001723C" w14:paraId="15F89E4A" w14:textId="77777777" w:rsidTr="0001723C">
        <w:trPr>
          <w:cantSplit/>
          <w:trHeight w:val="52"/>
          <w:tblCellSpacing w:w="0" w:type="dxa"/>
          <w:jc w:val="center"/>
        </w:trPr>
        <w:tc>
          <w:tcPr>
            <w:tcW w:w="0" w:type="auto"/>
            <w:vAlign w:val="center"/>
          </w:tcPr>
          <w:p w14:paraId="2E6995CF" w14:textId="6181B249" w:rsidR="00FA78F2" w:rsidRPr="0001723C" w:rsidRDefault="00FA78F2" w:rsidP="0001723C">
            <w:pPr>
              <w:rPr>
                <w:rFonts w:eastAsia="等线" w:hAnsi="等线" w:cs="Times New Roman"/>
                <w:lang w:eastAsia="zh-CN"/>
              </w:rPr>
            </w:pPr>
            <w:r w:rsidRPr="00FA78F2">
              <w:rPr>
                <w:rFonts w:eastAsia="等线" w:hAnsi="等线" w:cs="Times New Roman"/>
              </w:rPr>
              <w:t xml:space="preserve">Exit </w:t>
            </w:r>
            <w:r>
              <w:rPr>
                <w:rFonts w:eastAsia="等线" w:hAnsi="等线" w:cs="Times New Roman" w:hint="eastAsia"/>
                <w:lang w:eastAsia="zh-CN"/>
              </w:rPr>
              <w:t>Short</w:t>
            </w:r>
          </w:p>
        </w:tc>
        <w:tc>
          <w:tcPr>
            <w:tcW w:w="0" w:type="auto"/>
            <w:vAlign w:val="center"/>
          </w:tcPr>
          <w:p w14:paraId="23A50057" w14:textId="5E772723" w:rsidR="00FA78F2" w:rsidRPr="0001723C" w:rsidRDefault="00FA78F2" w:rsidP="0001723C">
            <w:pPr>
              <w:rPr>
                <w:rFonts w:eastAsia="等线" w:hAnsi="等线" w:cs="Times New Roman"/>
              </w:rPr>
            </w:pPr>
            <w:r w:rsidRPr="00FA78F2">
              <w:rPr>
                <w:rFonts w:eastAsia="等线" w:hAnsi="等线" w:cs="Times New Roman"/>
              </w:rPr>
              <w:t>z</w:t>
            </w:r>
            <w:r w:rsidRPr="00FA78F2">
              <w:rPr>
                <w:rFonts w:ascii="Cambria Math" w:eastAsia="等线" w:hAnsi="Cambria Math" w:cs="Cambria Math"/>
              </w:rPr>
              <w:t>ₜ</w:t>
            </w:r>
            <w:r w:rsidRPr="00FA78F2">
              <w:rPr>
                <w:rFonts w:eastAsia="等线" w:hAnsi="等线" w:cs="Times New Roman" w:hint="eastAsia"/>
              </w:rPr>
              <w:t xml:space="preserve"> </w:t>
            </w:r>
            <w:r>
              <w:rPr>
                <w:rFonts w:eastAsia="等线" w:hAnsi="等线" w:cs="Times New Roman" w:hint="eastAsia"/>
                <w:lang w:eastAsia="zh-CN"/>
              </w:rPr>
              <w:t>&lt;</w:t>
            </w:r>
            <w:r w:rsidRPr="00FA78F2">
              <w:rPr>
                <w:rFonts w:eastAsia="等线" w:hAnsi="等线" w:cs="Times New Roman"/>
              </w:rPr>
              <w:t xml:space="preserve"> </w:t>
            </w:r>
            <w:r>
              <w:rPr>
                <w:rFonts w:eastAsia="等线" w:hAnsi="等线" w:cs="Times New Roman" w:hint="eastAsia"/>
                <w:lang w:eastAsia="zh-CN"/>
              </w:rPr>
              <w:t>-</w:t>
            </w:r>
            <w:r w:rsidRPr="00FA78F2">
              <w:rPr>
                <w:rFonts w:eastAsia="等线" w:hAnsi="等线" w:cs="Times New Roman"/>
              </w:rPr>
              <w:t>0.</w:t>
            </w:r>
            <w:r w:rsidRPr="00FA78F2">
              <w:rPr>
                <w:rFonts w:eastAsia="等线" w:hAnsi="等线" w:cs="Times New Roman"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0C0AD0CA" w14:textId="112C422F" w:rsidR="00FA78F2" w:rsidRPr="0001723C" w:rsidRDefault="00FA78F2" w:rsidP="0001723C">
            <w:pPr>
              <w:rPr>
                <w:rFonts w:eastAsia="等线" w:hAnsi="等线" w:cs="Times New Roman"/>
              </w:rPr>
            </w:pPr>
            <w:r w:rsidRPr="00FA78F2">
              <w:rPr>
                <w:rFonts w:eastAsia="等线" w:hAnsi="等线" w:cs="Times New Roman"/>
              </w:rPr>
              <w:t xml:space="preserve">Close existing </w:t>
            </w:r>
            <w:r>
              <w:rPr>
                <w:rFonts w:eastAsia="等线" w:hAnsi="等线" w:cs="Times New Roman" w:hint="eastAsia"/>
                <w:lang w:eastAsia="zh-CN"/>
              </w:rPr>
              <w:t>short</w:t>
            </w:r>
            <w:r w:rsidRPr="00FA78F2">
              <w:rPr>
                <w:rFonts w:eastAsia="等线" w:hAnsi="等线" w:cs="Times New Roman" w:hint="eastAsia"/>
              </w:rPr>
              <w:t xml:space="preserve"> </w:t>
            </w:r>
            <w:r w:rsidRPr="00FA78F2">
              <w:rPr>
                <w:rFonts w:eastAsia="等线" w:hAnsi="等线" w:cs="Times New Roman"/>
              </w:rPr>
              <w:t>spread trade</w:t>
            </w:r>
          </w:p>
        </w:tc>
      </w:tr>
    </w:tbl>
    <w:p w14:paraId="196C4AA7" w14:textId="0910B7A2" w:rsidR="00B8761A" w:rsidRDefault="00AE773E" w:rsidP="00B8761A">
      <w:pPr>
        <w:spacing w:line="360" w:lineRule="auto"/>
        <w:ind w:left="720"/>
        <w:jc w:val="both"/>
      </w:pPr>
      <w:r w:rsidRPr="00AE773E">
        <w:t>Forced Exit: If a position remains open for over 1</w:t>
      </w:r>
      <w:r w:rsidR="00FA78F2">
        <w:rPr>
          <w:rFonts w:hint="eastAsia"/>
        </w:rPr>
        <w:t>8</w:t>
      </w:r>
      <w:r w:rsidRPr="00AE773E">
        <w:t xml:space="preserve">0 days without reverting, trigger exit based on short-term vs long-term MA crossover and impose a 30-day </w:t>
      </w:r>
      <w:proofErr w:type="spellStart"/>
      <w:r w:rsidRPr="00AE773E">
        <w:t>coldown</w:t>
      </w:r>
      <w:proofErr w:type="spellEnd"/>
      <w:r w:rsidRPr="00AE773E">
        <w:t>.</w:t>
      </w:r>
    </w:p>
    <w:p w14:paraId="229CE5D8" w14:textId="7D79BA1B" w:rsidR="00E618E0" w:rsidRDefault="00E618E0" w:rsidP="00B8761A">
      <w:pPr>
        <w:spacing w:line="360" w:lineRule="auto"/>
        <w:ind w:left="720"/>
        <w:jc w:val="both"/>
      </w:pPr>
      <w:r w:rsidRPr="00E618E0">
        <w:rPr>
          <w:color w:val="4472C4" w:themeColor="accent1"/>
        </w:rPr>
        <w:t>F</w:t>
      </w:r>
      <w:r w:rsidRPr="00E618E0">
        <w:rPr>
          <w:rFonts w:hint="eastAsia"/>
          <w:color w:val="4472C4" w:themeColor="accent1"/>
        </w:rPr>
        <w:t xml:space="preserve">igure 1 </w:t>
      </w:r>
      <w:r w:rsidRPr="00E618E0">
        <w:t>shows the spread (blue line) between KO and PEP over time with red dashed line at +0.05 and green dashed line at −0.05 representing entry and exit thresholds. Green triangles mark buy signals and red triangles mark sell signals for mean-reversion trades.</w:t>
      </w:r>
    </w:p>
    <w:p w14:paraId="2CC9A437" w14:textId="4750A7B8" w:rsidR="00AE773E" w:rsidRDefault="00AE773E" w:rsidP="00AE773E">
      <w:pPr>
        <w:pStyle w:val="Style3"/>
        <w:spacing w:line="360" w:lineRule="auto"/>
        <w:ind w:firstLine="720"/>
        <w:jc w:val="both"/>
      </w:pPr>
      <w:r>
        <w:t>1.3.4 Trend</w:t>
      </w:r>
      <w:r w:rsidRPr="00AE773E">
        <w:rPr>
          <w:rFonts w:ascii="Cambria Math" w:hAnsi="Cambria Math" w:cs="Cambria Math"/>
        </w:rPr>
        <w:t>‑</w:t>
      </w:r>
      <w:r>
        <w:t>Following Rules</w:t>
      </w:r>
    </w:p>
    <w:p w14:paraId="74A5EB7D" w14:textId="4C7533CA" w:rsidR="00AE773E" w:rsidRDefault="00AE773E" w:rsidP="00AE773E">
      <w:pPr>
        <w:spacing w:line="360" w:lineRule="auto"/>
        <w:ind w:left="720"/>
        <w:jc w:val="both"/>
      </w:pPr>
      <w:r>
        <w:t>When the spread’s |z</w:t>
      </w:r>
      <w:r>
        <w:rPr>
          <w:rFonts w:ascii="Cambria Math" w:hAnsi="Cambria Math" w:cs="Cambria Math"/>
        </w:rPr>
        <w:t>ₜ</w:t>
      </w:r>
      <w:r>
        <w:t xml:space="preserve">| </w:t>
      </w:r>
      <w:r>
        <w:rPr>
          <w:rFonts w:hint="eastAsia"/>
        </w:rPr>
        <w:t>≤</w:t>
      </w:r>
      <w:r>
        <w:t xml:space="preserve"> 0.5, switch to trend-following:</w:t>
      </w:r>
    </w:p>
    <w:p w14:paraId="134C00B7" w14:textId="6945C122" w:rsidR="00AE773E" w:rsidRDefault="00AE773E" w:rsidP="00AE773E">
      <w:pPr>
        <w:spacing w:line="360" w:lineRule="auto"/>
        <w:ind w:left="720"/>
        <w:jc w:val="both"/>
      </w:pPr>
      <w:r>
        <w:t xml:space="preserve">Trend Entry: If 30-day MA &gt; 90-day MA, go long both assets. </w:t>
      </w:r>
    </w:p>
    <w:p w14:paraId="6E08AAB1" w14:textId="3BAFB2F2" w:rsidR="00AE773E" w:rsidRDefault="00AE773E" w:rsidP="00AE773E">
      <w:pPr>
        <w:spacing w:line="360" w:lineRule="auto"/>
        <w:ind w:left="720"/>
        <w:jc w:val="both"/>
      </w:pPr>
      <w:r>
        <w:t>Trend Exit: If 30-day MA &lt; 90-day MA or |z</w:t>
      </w:r>
      <w:r>
        <w:rPr>
          <w:rFonts w:ascii="Cambria Math" w:hAnsi="Cambria Math" w:cs="Cambria Math"/>
        </w:rPr>
        <w:t>ₜ</w:t>
      </w:r>
      <w:r>
        <w:t xml:space="preserve">| exits </w:t>
      </w:r>
      <w:r>
        <w:rPr>
          <w:rFonts w:ascii="Calibri" w:hAnsi="Calibri" w:cs="Calibri"/>
        </w:rPr>
        <w:t>±</w:t>
      </w:r>
      <w:r>
        <w:t>0.5, close trend position.</w:t>
      </w:r>
    </w:p>
    <w:p w14:paraId="078E03C7" w14:textId="52332BA6" w:rsidR="007C6ABE" w:rsidRDefault="007C6ABE" w:rsidP="00AE773E">
      <w:pPr>
        <w:spacing w:line="360" w:lineRule="auto"/>
        <w:ind w:left="720"/>
        <w:jc w:val="both"/>
      </w:pPr>
      <w:r w:rsidRPr="007C6ABE">
        <w:rPr>
          <w:color w:val="4472C4" w:themeColor="accent1"/>
        </w:rPr>
        <w:t>Figure 2</w:t>
      </w:r>
      <w:r w:rsidRPr="007C6ABE">
        <w:t xml:space="preserve"> plots the spread’s 30-day and 90-day moving averages. The crossover points (highlighted) indicate trend-following entry and exit.</w:t>
      </w:r>
    </w:p>
    <w:p w14:paraId="28F13DB7" w14:textId="3069A93B" w:rsidR="00E26A85" w:rsidRDefault="00E26A85" w:rsidP="00147ECE">
      <w:pPr>
        <w:pStyle w:val="Style2"/>
        <w:numPr>
          <w:ilvl w:val="0"/>
          <w:numId w:val="0"/>
        </w:numPr>
        <w:spacing w:line="360" w:lineRule="auto"/>
        <w:ind w:left="720"/>
        <w:jc w:val="both"/>
      </w:pPr>
      <w:r>
        <w:rPr>
          <w:rFonts w:hint="eastAsia"/>
        </w:rPr>
        <w:t>1.</w:t>
      </w:r>
      <w:r w:rsidR="00AE773E">
        <w:rPr>
          <w:rFonts w:hint="eastAsia"/>
        </w:rPr>
        <w:t>4</w:t>
      </w:r>
      <w:r>
        <w:rPr>
          <w:rFonts w:hint="eastAsia"/>
        </w:rPr>
        <w:t xml:space="preserve"> Risk Management Measure</w:t>
      </w:r>
    </w:p>
    <w:p w14:paraId="071AE7F3" w14:textId="4B33F0A0" w:rsidR="00AE773E" w:rsidRDefault="00AE773E" w:rsidP="00AE773E">
      <w:pPr>
        <w:spacing w:line="360" w:lineRule="auto"/>
        <w:ind w:left="720"/>
        <w:jc w:val="both"/>
      </w:pPr>
      <w:r>
        <w:t>To improve robustness, two dynamic risk controls have been added:</w:t>
      </w:r>
    </w:p>
    <w:p w14:paraId="0E251ADE" w14:textId="2DF80DA9" w:rsidR="00AE773E" w:rsidRPr="00AE773E" w:rsidRDefault="00AE773E" w:rsidP="00AE773E">
      <w:pPr>
        <w:pStyle w:val="Style3"/>
        <w:spacing w:line="360" w:lineRule="auto"/>
        <w:ind w:firstLine="720"/>
        <w:jc w:val="both"/>
      </w:pPr>
      <w:r w:rsidRPr="00AE773E">
        <w:rPr>
          <w:rFonts w:hint="eastAsia"/>
        </w:rPr>
        <w:t xml:space="preserve">1.4.1 </w:t>
      </w:r>
      <w:r w:rsidRPr="00AE773E">
        <w:t>Value</w:t>
      </w:r>
      <w:r w:rsidRPr="00AE773E">
        <w:rPr>
          <w:rFonts w:ascii="Cambria Math" w:hAnsi="Cambria Math" w:cs="Cambria Math"/>
        </w:rPr>
        <w:t>‑</w:t>
      </w:r>
      <w:r w:rsidRPr="00AE773E">
        <w:t>at</w:t>
      </w:r>
      <w:r w:rsidRPr="00AE773E">
        <w:rPr>
          <w:rFonts w:ascii="Cambria Math" w:hAnsi="Cambria Math" w:cs="Cambria Math"/>
        </w:rPr>
        <w:t>‑</w:t>
      </w:r>
      <w:r w:rsidRPr="00AE773E">
        <w:t>Risk (VaR) Control</w:t>
      </w:r>
    </w:p>
    <w:p w14:paraId="35C51E52" w14:textId="62B3AE36" w:rsidR="00AE773E" w:rsidRDefault="00AE773E" w:rsidP="00AE773E">
      <w:pPr>
        <w:spacing w:line="360" w:lineRule="auto"/>
        <w:ind w:left="720"/>
        <w:jc w:val="both"/>
      </w:pPr>
      <w:r w:rsidRPr="00AE773E">
        <w:rPr>
          <w:b/>
          <w:bCs/>
        </w:rPr>
        <w:t>Calculation:</w:t>
      </w:r>
      <w:r>
        <w:t xml:space="preserve"> Daily 1</w:t>
      </w:r>
      <w:r>
        <w:rPr>
          <w:rFonts w:ascii="Cambria Math" w:hAnsi="Cambria Math" w:cs="Cambria Math"/>
        </w:rPr>
        <w:t>‑</w:t>
      </w:r>
      <w:r>
        <w:t>day 95% VaR using historical log return simulation.</w:t>
      </w:r>
    </w:p>
    <w:p w14:paraId="4D1031EE" w14:textId="60E9F068" w:rsidR="00AE773E" w:rsidRDefault="00AE773E" w:rsidP="00AE773E">
      <w:pPr>
        <w:spacing w:line="360" w:lineRule="auto"/>
        <w:ind w:left="720"/>
        <w:jc w:val="both"/>
      </w:pPr>
      <w:r w:rsidRPr="00AE773E">
        <w:rPr>
          <w:b/>
          <w:bCs/>
        </w:rPr>
        <w:lastRenderedPageBreak/>
        <w:t>Rule:</w:t>
      </w:r>
      <w:r>
        <w:t xml:space="preserve"> If VaR exceeds 2% of portfolio value, reduce position size by 50% until VaR falls below threshold. </w:t>
      </w:r>
    </w:p>
    <w:p w14:paraId="357E59C6" w14:textId="1A78A17C" w:rsidR="00AE773E" w:rsidRDefault="00AE773E" w:rsidP="00AE773E">
      <w:pPr>
        <w:pStyle w:val="Style3"/>
        <w:spacing w:line="360" w:lineRule="auto"/>
        <w:ind w:firstLine="720"/>
        <w:jc w:val="both"/>
      </w:pPr>
      <w:r>
        <w:rPr>
          <w:rFonts w:hint="eastAsia"/>
        </w:rPr>
        <w:t xml:space="preserve">1.4.2 </w:t>
      </w:r>
      <w:r>
        <w:t>Maximum Drawdown (MDD) Guardrail</w:t>
      </w:r>
    </w:p>
    <w:p w14:paraId="762A0CE2" w14:textId="20D7D2F0" w:rsidR="00AE773E" w:rsidRPr="00AE773E" w:rsidRDefault="00AE773E" w:rsidP="00AE773E">
      <w:pPr>
        <w:spacing w:line="360" w:lineRule="auto"/>
        <w:ind w:left="720"/>
        <w:jc w:val="both"/>
      </w:pPr>
      <w:r w:rsidRPr="00AE773E">
        <w:rPr>
          <w:b/>
          <w:bCs/>
        </w:rPr>
        <w:t xml:space="preserve">Monitoring: </w:t>
      </w:r>
      <w:r>
        <w:t>Track historical peak-to-trough drawdown.</w:t>
      </w:r>
    </w:p>
    <w:p w14:paraId="76C04AB5" w14:textId="6A88FCFD" w:rsidR="00AE773E" w:rsidRDefault="00AE773E" w:rsidP="00AE773E">
      <w:pPr>
        <w:spacing w:line="360" w:lineRule="auto"/>
        <w:ind w:left="720"/>
        <w:jc w:val="both"/>
      </w:pPr>
      <w:r w:rsidRPr="00AE773E">
        <w:rPr>
          <w:b/>
          <w:bCs/>
        </w:rPr>
        <w:t>Rule:</w:t>
      </w:r>
      <w:r>
        <w:t xml:space="preserve"> If drawdown &gt; 5%, halt all new entries until drawdown recovers below 3%. </w:t>
      </w:r>
    </w:p>
    <w:p w14:paraId="72ED329F" w14:textId="5972D93A" w:rsidR="008F547D" w:rsidRPr="00683192" w:rsidRDefault="008F547D" w:rsidP="008F547D">
      <w:pPr>
        <w:pStyle w:val="Style1"/>
      </w:pPr>
      <w:r>
        <w:t>Part B: Results and Interpretation</w:t>
      </w:r>
    </w:p>
    <w:p w14:paraId="0E25550F" w14:textId="0E1150D1" w:rsidR="009320E5" w:rsidRDefault="008C6AFC" w:rsidP="008C6AFC">
      <w:pPr>
        <w:pStyle w:val="Style2"/>
        <w:numPr>
          <w:ilvl w:val="0"/>
          <w:numId w:val="0"/>
        </w:numPr>
        <w:spacing w:line="360" w:lineRule="auto"/>
        <w:ind w:left="720"/>
        <w:jc w:val="both"/>
      </w:pPr>
      <w:r>
        <w:rPr>
          <w:rFonts w:hint="eastAsia"/>
        </w:rPr>
        <w:t xml:space="preserve">2.1 </w:t>
      </w:r>
      <w:r w:rsidR="00955750">
        <w:t>B</w:t>
      </w:r>
      <w:r w:rsidR="00955750">
        <w:rPr>
          <w:rFonts w:hint="eastAsia"/>
        </w:rPr>
        <w:t>acktesting Result</w:t>
      </w:r>
      <w:r w:rsidR="00BF4BB2">
        <w:rPr>
          <w:rFonts w:hint="eastAsia"/>
        </w:rPr>
        <w:t xml:space="preserve"> and </w:t>
      </w:r>
      <w:r w:rsidR="00BF4BB2" w:rsidRPr="00BF4BB2">
        <w:t>Comparison with Buy-and-Hold Strategy</w:t>
      </w:r>
    </w:p>
    <w:p w14:paraId="172031D4" w14:textId="0D574533" w:rsidR="008C6AFC" w:rsidRPr="008C6AFC" w:rsidRDefault="008C6AFC" w:rsidP="008C6AFC">
      <w:pPr>
        <w:spacing w:line="360" w:lineRule="auto"/>
        <w:ind w:left="720"/>
        <w:jc w:val="both"/>
      </w:pPr>
      <w:r w:rsidRPr="008C6AFC">
        <w:rPr>
          <w:rFonts w:hint="eastAsia"/>
        </w:rPr>
        <w:t>Table 2.1.1</w:t>
      </w:r>
      <w:r w:rsidRPr="008C6AFC">
        <w:t xml:space="preserve"> presents the cumulative wealth evolution of the hybrid pairs</w:t>
      </w:r>
      <w:r w:rsidRPr="008C6AFC">
        <w:rPr>
          <w:rFonts w:ascii="Cambria Math" w:hAnsi="Cambria Math" w:cs="Cambria Math"/>
        </w:rPr>
        <w:t>‑</w:t>
      </w:r>
      <w:r w:rsidRPr="008C6AFC">
        <w:t>trading strategy over the backtesting period.</w:t>
      </w:r>
      <w:r w:rsidRPr="008C6AFC">
        <w:rPr>
          <w:rFonts w:hint="eastAsia"/>
        </w:rPr>
        <w:t xml:space="preserve"> </w:t>
      </w:r>
      <w:r w:rsidRPr="008C6AFC">
        <w:t xml:space="preserve">The backtesting results for the </w:t>
      </w:r>
      <w:r w:rsidRPr="008C6AFC">
        <w:rPr>
          <w:rFonts w:hint="eastAsia"/>
        </w:rPr>
        <w:t>strategy</w:t>
      </w:r>
      <w:r w:rsidRPr="008C6AFC">
        <w:t xml:space="preserve"> trading are as follows:</w:t>
      </w:r>
    </w:p>
    <w:tbl>
      <w:tblPr>
        <w:tblStyle w:val="GridTable4-Accent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110"/>
        <w:gridCol w:w="2414"/>
        <w:gridCol w:w="2693"/>
      </w:tblGrid>
      <w:tr w:rsidR="00CC3B9E" w14:paraId="2779D838" w14:textId="0509B265" w:rsidTr="007F23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291EB271" w14:textId="77777777" w:rsidR="00CC3B9E" w:rsidRDefault="00CC3B9E" w:rsidP="0062309C">
            <w:pPr>
              <w:jc w:val="center"/>
            </w:pPr>
            <w:r w:rsidRPr="61DA69D5">
              <w:t>Metric</w:t>
            </w:r>
          </w:p>
        </w:tc>
        <w:tc>
          <w:tcPr>
            <w:tcW w:w="2414" w:type="dxa"/>
          </w:tcPr>
          <w:p w14:paraId="19B072AB" w14:textId="5396EEB1" w:rsidR="00CC3B9E" w:rsidRDefault="00CC3B9E" w:rsidP="00623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>
              <w:rPr>
                <w:rFonts w:hint="eastAsia"/>
              </w:rPr>
              <w:t>lended Strategy</w:t>
            </w:r>
          </w:p>
        </w:tc>
        <w:tc>
          <w:tcPr>
            <w:tcW w:w="2693" w:type="dxa"/>
          </w:tcPr>
          <w:p w14:paraId="600D6D49" w14:textId="29E6A5CB" w:rsidR="00CC3B9E" w:rsidRPr="61DA69D5" w:rsidRDefault="00CC3B9E" w:rsidP="00623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Buy-and-Hold Strategy</w:t>
            </w:r>
          </w:p>
        </w:tc>
      </w:tr>
      <w:tr w:rsidR="00CC3B9E" w14:paraId="7A9D400B" w14:textId="7E2663E1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0868A973" w14:textId="77777777" w:rsidR="00CC3B9E" w:rsidRDefault="00CC3B9E" w:rsidP="0011634D">
            <w:pPr>
              <w:jc w:val="center"/>
            </w:pPr>
            <w:r w:rsidRPr="61DA69D5">
              <w:t>Final Wealth</w:t>
            </w:r>
          </w:p>
        </w:tc>
        <w:tc>
          <w:tcPr>
            <w:tcW w:w="2414" w:type="dxa"/>
          </w:tcPr>
          <w:p w14:paraId="323950BC" w14:textId="516A5502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106,806.7492</w:t>
            </w:r>
          </w:p>
        </w:tc>
        <w:tc>
          <w:tcPr>
            <w:tcW w:w="2693" w:type="dxa"/>
          </w:tcPr>
          <w:p w14:paraId="21D2B131" w14:textId="4A7CB32F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34E">
              <w:t>106</w:t>
            </w:r>
            <w:r>
              <w:rPr>
                <w:rFonts w:hint="eastAsia"/>
              </w:rPr>
              <w:t>,</w:t>
            </w:r>
            <w:r w:rsidRPr="007F234E">
              <w:t>246.835</w:t>
            </w:r>
            <w:r>
              <w:rPr>
                <w:rFonts w:hint="eastAsia"/>
              </w:rPr>
              <w:t>8</w:t>
            </w:r>
          </w:p>
        </w:tc>
      </w:tr>
      <w:tr w:rsidR="00CC3B9E" w14:paraId="0F201519" w14:textId="2AE4616B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7DAEEF56" w14:textId="77777777" w:rsidR="00CC3B9E" w:rsidRDefault="00CC3B9E" w:rsidP="0011634D">
            <w:pPr>
              <w:jc w:val="center"/>
            </w:pPr>
            <w:r w:rsidRPr="61DA69D5">
              <w:t>Annual Return (%)</w:t>
            </w:r>
          </w:p>
        </w:tc>
        <w:tc>
          <w:tcPr>
            <w:tcW w:w="2414" w:type="dxa"/>
          </w:tcPr>
          <w:p w14:paraId="3B20B47F" w14:textId="1CE424D3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1.53%</w:t>
            </w:r>
          </w:p>
        </w:tc>
        <w:tc>
          <w:tcPr>
            <w:tcW w:w="2693" w:type="dxa"/>
          </w:tcPr>
          <w:p w14:paraId="167A1DB1" w14:textId="7FC497D0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34E">
              <w:t>1</w:t>
            </w:r>
            <w:r w:rsidR="0063759E">
              <w:rPr>
                <w:rFonts w:hint="eastAsia"/>
              </w:rPr>
              <w:t>.</w:t>
            </w:r>
            <w:r w:rsidRPr="007F234E">
              <w:t>4</w:t>
            </w:r>
            <w:r w:rsidR="0063759E">
              <w:rPr>
                <w:rFonts w:hint="eastAsia"/>
              </w:rPr>
              <w:t>1%</w:t>
            </w:r>
          </w:p>
        </w:tc>
      </w:tr>
      <w:tr w:rsidR="00CC3B9E" w14:paraId="6FC63844" w14:textId="65D1BE47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5CD62072" w14:textId="77777777" w:rsidR="00CC3B9E" w:rsidRDefault="00CC3B9E" w:rsidP="0011634D">
            <w:pPr>
              <w:jc w:val="center"/>
            </w:pPr>
            <w:r w:rsidRPr="61DA69D5">
              <w:t>Sharpe Ratio (daily)</w:t>
            </w:r>
          </w:p>
        </w:tc>
        <w:tc>
          <w:tcPr>
            <w:tcW w:w="2414" w:type="dxa"/>
          </w:tcPr>
          <w:p w14:paraId="1DA79061" w14:textId="3953A032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4.6155</w:t>
            </w:r>
          </w:p>
        </w:tc>
        <w:tc>
          <w:tcPr>
            <w:tcW w:w="2693" w:type="dxa"/>
          </w:tcPr>
          <w:p w14:paraId="3A7DA5BA" w14:textId="581447F9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34E">
              <w:t>0.2121</w:t>
            </w:r>
          </w:p>
        </w:tc>
      </w:tr>
      <w:tr w:rsidR="00CC3B9E" w14:paraId="12D781CE" w14:textId="014B94AF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226982EA" w14:textId="77777777" w:rsidR="00CC3B9E" w:rsidRDefault="00CC3B9E" w:rsidP="0011634D">
            <w:pPr>
              <w:jc w:val="center"/>
            </w:pPr>
            <w:r w:rsidRPr="61DA69D5">
              <w:t>Max Drawdown (%)</w:t>
            </w:r>
          </w:p>
        </w:tc>
        <w:tc>
          <w:tcPr>
            <w:tcW w:w="2414" w:type="dxa"/>
          </w:tcPr>
          <w:p w14:paraId="44D00860" w14:textId="229A59B4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2.35%</w:t>
            </w:r>
          </w:p>
        </w:tc>
        <w:tc>
          <w:tcPr>
            <w:tcW w:w="2693" w:type="dxa"/>
          </w:tcPr>
          <w:p w14:paraId="4B93B552" w14:textId="280899C4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34E">
              <w:t>16</w:t>
            </w:r>
            <w:r w:rsidR="00EA35E8">
              <w:rPr>
                <w:rFonts w:hint="eastAsia"/>
              </w:rPr>
              <w:t>.</w:t>
            </w:r>
            <w:r w:rsidRPr="007F234E">
              <w:t>64</w:t>
            </w:r>
            <w:r w:rsidR="00EA35E8">
              <w:rPr>
                <w:rFonts w:hint="eastAsia"/>
              </w:rPr>
              <w:t>%</w:t>
            </w:r>
          </w:p>
        </w:tc>
      </w:tr>
      <w:tr w:rsidR="00CC3B9E" w14:paraId="501F3832" w14:textId="7C9FEA05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70E49F81" w14:textId="4A5DCFF0" w:rsidR="00CC3B9E" w:rsidRPr="61DA69D5" w:rsidRDefault="00CC3B9E" w:rsidP="0011634D">
            <w:pPr>
              <w:jc w:val="center"/>
            </w:pPr>
            <w:r w:rsidRPr="00C412E7">
              <w:t>1-Day VaR (95%)</w:t>
            </w:r>
          </w:p>
        </w:tc>
        <w:tc>
          <w:tcPr>
            <w:tcW w:w="2414" w:type="dxa"/>
          </w:tcPr>
          <w:p w14:paraId="0DC816CC" w14:textId="71D1AA87" w:rsidR="00CC3B9E" w:rsidRPr="00433668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-1,206.2220</w:t>
            </w:r>
          </w:p>
        </w:tc>
        <w:tc>
          <w:tcPr>
            <w:tcW w:w="2693" w:type="dxa"/>
          </w:tcPr>
          <w:p w14:paraId="1DE1C851" w14:textId="41F6F298" w:rsidR="00CC3B9E" w:rsidRPr="00C72AAB" w:rsidRDefault="00D65AA8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 w:rsidR="007F234E" w:rsidRPr="007F234E">
              <w:t>1491.4217</w:t>
            </w:r>
          </w:p>
        </w:tc>
      </w:tr>
      <w:tr w:rsidR="00CC3B9E" w14:paraId="1AE91EB6" w14:textId="79CE80B2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58BBB6D2" w14:textId="0043118B" w:rsidR="00CC3B9E" w:rsidRPr="61DA69D5" w:rsidRDefault="00CC3B9E" w:rsidP="0011634D">
            <w:pPr>
              <w:jc w:val="center"/>
            </w:pPr>
            <w:r w:rsidRPr="00C412E7">
              <w:t>1-Day VaR (99%)</w:t>
            </w:r>
          </w:p>
        </w:tc>
        <w:tc>
          <w:tcPr>
            <w:tcW w:w="2414" w:type="dxa"/>
          </w:tcPr>
          <w:p w14:paraId="34617C44" w14:textId="315DD4D7" w:rsidR="00CC3B9E" w:rsidRPr="00433668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-1,208.8719</w:t>
            </w:r>
          </w:p>
        </w:tc>
        <w:tc>
          <w:tcPr>
            <w:tcW w:w="2693" w:type="dxa"/>
          </w:tcPr>
          <w:p w14:paraId="022C327D" w14:textId="14E3FF9D" w:rsidR="00CC3B9E" w:rsidRPr="00C72AAB" w:rsidRDefault="00D65AA8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 w:rsidR="007F234E" w:rsidRPr="007F234E">
              <w:t>2449.14</w:t>
            </w:r>
            <w:r w:rsidR="007F234E">
              <w:rPr>
                <w:rFonts w:hint="eastAsia"/>
              </w:rPr>
              <w:t>70</w:t>
            </w:r>
          </w:p>
        </w:tc>
      </w:tr>
      <w:tr w:rsidR="00CC3B9E" w14:paraId="635306F2" w14:textId="7499A8C5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709B6EDC" w14:textId="77777777" w:rsidR="00CC3B9E" w:rsidRDefault="00CC3B9E" w:rsidP="0011634D">
            <w:pPr>
              <w:jc w:val="center"/>
            </w:pPr>
            <w:r w:rsidRPr="61DA69D5">
              <w:t>Win Ratio</w:t>
            </w:r>
          </w:p>
        </w:tc>
        <w:tc>
          <w:tcPr>
            <w:tcW w:w="2414" w:type="dxa"/>
          </w:tcPr>
          <w:p w14:paraId="15F8E283" w14:textId="5CB5750C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0.6000</w:t>
            </w:r>
          </w:p>
        </w:tc>
        <w:tc>
          <w:tcPr>
            <w:tcW w:w="2693" w:type="dxa"/>
          </w:tcPr>
          <w:p w14:paraId="45EC72B9" w14:textId="09B986CC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CC3B9E" w14:paraId="43AC086C" w14:textId="1AF9F601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033E52CD" w14:textId="77777777" w:rsidR="00CC3B9E" w:rsidRDefault="00CC3B9E" w:rsidP="0011634D">
            <w:pPr>
              <w:jc w:val="center"/>
            </w:pPr>
            <w:r w:rsidRPr="61DA69D5">
              <w:t>Profitability (Gain/Loss)</w:t>
            </w:r>
          </w:p>
        </w:tc>
        <w:tc>
          <w:tcPr>
            <w:tcW w:w="2414" w:type="dxa"/>
          </w:tcPr>
          <w:p w14:paraId="08FB30A2" w14:textId="12698263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AAB">
              <w:t>2.2288</w:t>
            </w:r>
          </w:p>
        </w:tc>
        <w:tc>
          <w:tcPr>
            <w:tcW w:w="2693" w:type="dxa"/>
          </w:tcPr>
          <w:p w14:paraId="025F5331" w14:textId="2D7507BE" w:rsidR="00CC3B9E" w:rsidRPr="00C72AAB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CC3B9E" w14:paraId="4A495C57" w14:textId="1E073593" w:rsidTr="007F23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</w:tcPr>
          <w:p w14:paraId="39CBFF46" w14:textId="77777777" w:rsidR="00CC3B9E" w:rsidRDefault="00CC3B9E" w:rsidP="0011634D">
            <w:pPr>
              <w:jc w:val="center"/>
            </w:pPr>
            <w:r w:rsidRPr="61DA69D5">
              <w:t>Total Trades</w:t>
            </w:r>
          </w:p>
        </w:tc>
        <w:tc>
          <w:tcPr>
            <w:tcW w:w="2414" w:type="dxa"/>
          </w:tcPr>
          <w:p w14:paraId="620CEF1A" w14:textId="124821D9" w:rsidR="00CC3B9E" w:rsidRDefault="00CC3B9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12E7"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2693" w:type="dxa"/>
          </w:tcPr>
          <w:p w14:paraId="159F19C8" w14:textId="7DB6D05F" w:rsidR="00CC3B9E" w:rsidRPr="00C412E7" w:rsidRDefault="007F234E" w:rsidP="0011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</w:tbl>
    <w:p w14:paraId="4E1B8B4B" w14:textId="57C65E9C" w:rsidR="00955750" w:rsidRPr="00955750" w:rsidRDefault="00E2022E" w:rsidP="00893025">
      <w:pPr>
        <w:spacing w:line="360" w:lineRule="auto"/>
        <w:ind w:left="720"/>
        <w:jc w:val="both"/>
      </w:pPr>
      <w:r w:rsidRPr="00E2022E">
        <w:t>The enhanced strategy demonstrates improved returns, higher Sharpe ratio, and reduced drawdown, especially during volatile periods.</w:t>
      </w:r>
    </w:p>
    <w:p w14:paraId="6CD73051" w14:textId="725E95B9" w:rsidR="00955750" w:rsidRDefault="00955750" w:rsidP="00BF4BB2">
      <w:pPr>
        <w:spacing w:line="360" w:lineRule="auto"/>
        <w:jc w:val="both"/>
      </w:pPr>
    </w:p>
    <w:p w14:paraId="7CBDFEA7" w14:textId="77777777" w:rsidR="002D0E25" w:rsidRDefault="002D0E25" w:rsidP="000917D2">
      <w:pPr>
        <w:spacing w:line="360" w:lineRule="auto"/>
        <w:jc w:val="both"/>
      </w:pPr>
    </w:p>
    <w:p w14:paraId="00F0B546" w14:textId="77777777" w:rsidR="00056415" w:rsidRDefault="0005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9C1998" w14:textId="5397C86C" w:rsidR="002D0E25" w:rsidRPr="002D0E25" w:rsidRDefault="002D0E25" w:rsidP="002D0E25">
      <w:pPr>
        <w:spacing w:after="120" w:line="360" w:lineRule="auto"/>
        <w:rPr>
          <w:b/>
          <w:bCs/>
          <w:sz w:val="28"/>
          <w:szCs w:val="28"/>
        </w:rPr>
      </w:pPr>
      <w:r w:rsidRPr="006013B9">
        <w:rPr>
          <w:rFonts w:hint="eastAsia"/>
          <w:b/>
          <w:bCs/>
          <w:sz w:val="28"/>
          <w:szCs w:val="28"/>
        </w:rPr>
        <w:lastRenderedPageBreak/>
        <w:t>Appendix</w:t>
      </w:r>
      <w:r w:rsidRPr="006013B9">
        <w:rPr>
          <w:rFonts w:hint="eastAsia"/>
          <w:b/>
          <w:bCs/>
          <w:sz w:val="28"/>
          <w:szCs w:val="28"/>
        </w:rPr>
        <w:t>：</w:t>
      </w:r>
    </w:p>
    <w:p w14:paraId="51ECF94C" w14:textId="53DA15E5" w:rsidR="00DB2740" w:rsidRDefault="00C72AAB" w:rsidP="00DB2740">
      <w:pPr>
        <w:jc w:val="center"/>
        <w:rPr>
          <w:i/>
          <w:iCs/>
        </w:rPr>
      </w:pPr>
      <w:r w:rsidRPr="00C72AAB">
        <w:rPr>
          <w:i/>
          <w:iCs/>
          <w:noProof/>
        </w:rPr>
        <w:drawing>
          <wp:inline distT="0" distB="0" distL="0" distR="0" wp14:anchorId="7086E534" wp14:editId="4DAFA1AD">
            <wp:extent cx="6400800" cy="2742565"/>
            <wp:effectExtent l="0" t="0" r="0" b="635"/>
            <wp:docPr id="195303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678A" w14:textId="42F1D108" w:rsidR="00E6112C" w:rsidRDefault="00DB2740" w:rsidP="00DB2740">
      <w:pPr>
        <w:jc w:val="center"/>
        <w:rPr>
          <w:i/>
          <w:iCs/>
        </w:rPr>
      </w:pPr>
      <w:r w:rsidRPr="00DB2740">
        <w:rPr>
          <w:i/>
          <w:iCs/>
        </w:rPr>
        <w:t xml:space="preserve">Figure </w:t>
      </w:r>
      <w:r>
        <w:rPr>
          <w:rFonts w:hint="eastAsia"/>
          <w:i/>
          <w:iCs/>
        </w:rPr>
        <w:t>1</w:t>
      </w:r>
      <w:r w:rsidRPr="00DB2740">
        <w:rPr>
          <w:i/>
          <w:iCs/>
        </w:rPr>
        <w:t>: Mean Reversion Strategy -Spread with Entry/Exit Signals</w:t>
      </w:r>
    </w:p>
    <w:p w14:paraId="0D33AC57" w14:textId="795113BE" w:rsidR="00DB2740" w:rsidRPr="00E6112C" w:rsidRDefault="00C72AAB" w:rsidP="00DB2740">
      <w:pPr>
        <w:jc w:val="center"/>
        <w:rPr>
          <w:i/>
          <w:iCs/>
        </w:rPr>
      </w:pPr>
      <w:r w:rsidRPr="00C72AAB">
        <w:rPr>
          <w:i/>
          <w:iCs/>
          <w:noProof/>
        </w:rPr>
        <w:drawing>
          <wp:inline distT="0" distB="0" distL="0" distR="0" wp14:anchorId="366F4A33" wp14:editId="0FBEA394">
            <wp:extent cx="6400800" cy="2747010"/>
            <wp:effectExtent l="0" t="0" r="0" b="0"/>
            <wp:docPr id="1926389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89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5E36" w14:textId="09E86E24" w:rsidR="00E6112C" w:rsidRDefault="00DB2740" w:rsidP="00DB2740">
      <w:pPr>
        <w:jc w:val="center"/>
        <w:rPr>
          <w:i/>
          <w:iCs/>
        </w:rPr>
      </w:pPr>
      <w:r w:rsidRPr="00DB2740">
        <w:rPr>
          <w:i/>
          <w:iCs/>
        </w:rPr>
        <w:t>Figure 2: Trend-Following Strategy -Asset Prices &amp; Buy Signals</w:t>
      </w:r>
    </w:p>
    <w:p w14:paraId="25F5AC48" w14:textId="7ABE80BD" w:rsidR="00DB2740" w:rsidRPr="00E6112C" w:rsidRDefault="00C72AAB" w:rsidP="00DB2740">
      <w:pPr>
        <w:jc w:val="center"/>
        <w:rPr>
          <w:i/>
          <w:iCs/>
        </w:rPr>
      </w:pPr>
      <w:r w:rsidRPr="00C72AAB">
        <w:rPr>
          <w:i/>
          <w:iCs/>
          <w:noProof/>
        </w:rPr>
        <w:lastRenderedPageBreak/>
        <w:drawing>
          <wp:inline distT="0" distB="0" distL="0" distR="0" wp14:anchorId="795DCAD8" wp14:editId="4FDC908E">
            <wp:extent cx="6400800" cy="4726305"/>
            <wp:effectExtent l="0" t="0" r="0" b="0"/>
            <wp:docPr id="277175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5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67B4" w14:textId="6C01341D" w:rsidR="00DB2740" w:rsidRDefault="00DB2740" w:rsidP="00DB2740">
      <w:pPr>
        <w:jc w:val="center"/>
        <w:rPr>
          <w:i/>
          <w:iCs/>
        </w:rPr>
      </w:pPr>
      <w:r w:rsidRPr="00DB2740">
        <w:rPr>
          <w:i/>
          <w:iCs/>
        </w:rPr>
        <w:t>Figure 3:</w:t>
      </w:r>
      <w:r>
        <w:rPr>
          <w:rFonts w:hint="eastAsia"/>
          <w:i/>
          <w:iCs/>
        </w:rPr>
        <w:t xml:space="preserve"> </w:t>
      </w:r>
      <w:r w:rsidRPr="00DB2740">
        <w:rPr>
          <w:i/>
          <w:iCs/>
        </w:rPr>
        <w:t>Z-score, Kalman Slope, and Intercept</w:t>
      </w:r>
    </w:p>
    <w:p w14:paraId="70AD285F" w14:textId="467DB670" w:rsidR="00DB2740" w:rsidRDefault="00C72AAB" w:rsidP="00DB2740">
      <w:pPr>
        <w:jc w:val="center"/>
        <w:rPr>
          <w:i/>
          <w:iCs/>
        </w:rPr>
      </w:pPr>
      <w:r w:rsidRPr="00C72AAB">
        <w:rPr>
          <w:i/>
          <w:iCs/>
          <w:noProof/>
        </w:rPr>
        <w:drawing>
          <wp:inline distT="0" distB="0" distL="0" distR="0" wp14:anchorId="5FCCCD90" wp14:editId="43968F86">
            <wp:extent cx="6400800" cy="2584450"/>
            <wp:effectExtent l="0" t="0" r="0" b="6350"/>
            <wp:docPr id="748201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1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036E" w14:textId="3A4D4E57" w:rsidR="00DB2740" w:rsidRDefault="00DB2740" w:rsidP="00DB2740">
      <w:pPr>
        <w:jc w:val="center"/>
        <w:rPr>
          <w:i/>
          <w:iCs/>
        </w:rPr>
      </w:pPr>
      <w:r>
        <w:rPr>
          <w:i/>
          <w:iCs/>
        </w:rPr>
        <w:t>F</w:t>
      </w:r>
      <w:r>
        <w:rPr>
          <w:rFonts w:hint="eastAsia"/>
          <w:i/>
          <w:iCs/>
        </w:rPr>
        <w:t>igure 4: Cumulative Wealth</w:t>
      </w:r>
      <w:r w:rsidR="00BF4BB2">
        <w:rPr>
          <w:rFonts w:hint="eastAsia"/>
          <w:i/>
          <w:iCs/>
        </w:rPr>
        <w:t xml:space="preserve"> of Blended Strategy</w:t>
      </w:r>
    </w:p>
    <w:p w14:paraId="7FB27FE8" w14:textId="2D001DA0" w:rsidR="008A473B" w:rsidRDefault="008A473B" w:rsidP="00DB2740">
      <w:pPr>
        <w:jc w:val="center"/>
        <w:rPr>
          <w:i/>
          <w:iCs/>
        </w:rPr>
      </w:pPr>
      <w:r w:rsidRPr="008A473B">
        <w:rPr>
          <w:i/>
          <w:iCs/>
          <w:noProof/>
        </w:rPr>
        <w:lastRenderedPageBreak/>
        <w:drawing>
          <wp:inline distT="0" distB="0" distL="0" distR="0" wp14:anchorId="787D59D0" wp14:editId="6E11D97E">
            <wp:extent cx="6400800" cy="2580005"/>
            <wp:effectExtent l="0" t="0" r="0" b="0"/>
            <wp:docPr id="1702122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2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F79" w14:textId="77C552D6" w:rsidR="00BF4BB2" w:rsidRDefault="00BF4BB2" w:rsidP="00DB2740">
      <w:pPr>
        <w:jc w:val="center"/>
        <w:rPr>
          <w:i/>
          <w:iCs/>
        </w:rPr>
      </w:pPr>
      <w:r>
        <w:rPr>
          <w:rFonts w:hint="eastAsia"/>
          <w:i/>
          <w:iCs/>
        </w:rPr>
        <w:t xml:space="preserve">Figure 5: </w:t>
      </w:r>
      <w:r w:rsidRPr="00BF4BB2">
        <w:rPr>
          <w:i/>
          <w:iCs/>
        </w:rPr>
        <w:t xml:space="preserve">Cumulative Wealth of </w:t>
      </w:r>
      <w:r>
        <w:rPr>
          <w:rFonts w:hint="eastAsia"/>
          <w:i/>
          <w:iCs/>
        </w:rPr>
        <w:t>Buy-and-Hold</w:t>
      </w:r>
      <w:r w:rsidRPr="00BF4BB2">
        <w:rPr>
          <w:i/>
          <w:iCs/>
        </w:rPr>
        <w:t xml:space="preserve"> Strategy</w:t>
      </w:r>
    </w:p>
    <w:p w14:paraId="60C12F95" w14:textId="09434488" w:rsidR="00DB2740" w:rsidRDefault="00CC3B9E" w:rsidP="00DB2740">
      <w:pPr>
        <w:jc w:val="center"/>
        <w:rPr>
          <w:i/>
          <w:iCs/>
        </w:rPr>
      </w:pPr>
      <w:r w:rsidRPr="00CC3B9E">
        <w:rPr>
          <w:i/>
          <w:iCs/>
          <w:noProof/>
        </w:rPr>
        <w:drawing>
          <wp:inline distT="0" distB="0" distL="0" distR="0" wp14:anchorId="74A8D5B1" wp14:editId="1C5AE770">
            <wp:extent cx="6400800" cy="4763135"/>
            <wp:effectExtent l="0" t="0" r="0" b="0"/>
            <wp:docPr id="50818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83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4606" w14:textId="6BCCFA1C" w:rsidR="00DB2740" w:rsidRDefault="00DB2740" w:rsidP="00DB2740">
      <w:pPr>
        <w:jc w:val="center"/>
        <w:rPr>
          <w:i/>
          <w:iCs/>
        </w:rPr>
      </w:pPr>
      <w:r>
        <w:rPr>
          <w:rFonts w:hint="eastAsia"/>
          <w:i/>
          <w:iCs/>
        </w:rPr>
        <w:t xml:space="preserve">Table </w:t>
      </w:r>
      <w:r w:rsidR="008A473B">
        <w:rPr>
          <w:rFonts w:hint="eastAsia"/>
          <w:i/>
          <w:iCs/>
        </w:rPr>
        <w:t>6</w:t>
      </w:r>
      <w:r>
        <w:rPr>
          <w:rFonts w:hint="eastAsia"/>
          <w:i/>
          <w:iCs/>
        </w:rPr>
        <w:t>: Trades</w:t>
      </w:r>
    </w:p>
    <w:p w14:paraId="306C47F6" w14:textId="36EA3FA1" w:rsidR="0094720F" w:rsidRPr="002D0E25" w:rsidRDefault="002D0E25" w:rsidP="00DB2740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Table </w:t>
      </w:r>
      <w:r w:rsidR="00056415">
        <w:rPr>
          <w:rFonts w:hint="eastAsia"/>
          <w:i/>
          <w:iCs/>
        </w:rPr>
        <w:t xml:space="preserve">7: </w:t>
      </w:r>
      <w:r w:rsidRPr="002D0E25">
        <w:rPr>
          <w:rFonts w:hint="eastAsia"/>
          <w:i/>
          <w:iCs/>
        </w:rPr>
        <w:t xml:space="preserve"> Strategy Code</w:t>
      </w:r>
    </w:p>
    <w:sectPr w:rsidR="0094720F" w:rsidRPr="002D0E25" w:rsidSect="003F47B7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BBF080" w14:textId="77777777" w:rsidR="007D49C2" w:rsidRDefault="007D49C2" w:rsidP="00767BDB">
      <w:pPr>
        <w:spacing w:after="0" w:line="240" w:lineRule="auto"/>
      </w:pPr>
      <w:r>
        <w:separator/>
      </w:r>
    </w:p>
  </w:endnote>
  <w:endnote w:type="continuationSeparator" w:id="0">
    <w:p w14:paraId="2690229D" w14:textId="77777777" w:rsidR="007D49C2" w:rsidRDefault="007D49C2" w:rsidP="00767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32909" w14:textId="77777777" w:rsidR="007D49C2" w:rsidRDefault="007D49C2" w:rsidP="00767BDB">
      <w:pPr>
        <w:spacing w:after="0" w:line="240" w:lineRule="auto"/>
      </w:pPr>
      <w:r>
        <w:separator/>
      </w:r>
    </w:p>
  </w:footnote>
  <w:footnote w:type="continuationSeparator" w:id="0">
    <w:p w14:paraId="0B67FE2D" w14:textId="77777777" w:rsidR="007D49C2" w:rsidRDefault="007D49C2" w:rsidP="00767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5A3A9E"/>
    <w:multiLevelType w:val="multilevel"/>
    <w:tmpl w:val="0E0AD6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64154"/>
    <w:multiLevelType w:val="multilevel"/>
    <w:tmpl w:val="D0A83D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3A34B6"/>
    <w:multiLevelType w:val="multilevel"/>
    <w:tmpl w:val="EE469EA4"/>
    <w:lvl w:ilvl="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94169A1"/>
    <w:multiLevelType w:val="multilevel"/>
    <w:tmpl w:val="1F5EA1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8F94E0"/>
    <w:multiLevelType w:val="hybridMultilevel"/>
    <w:tmpl w:val="65260072"/>
    <w:lvl w:ilvl="0" w:tplc="7F08C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16F88E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F5EAD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46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F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01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003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CE0A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45807">
    <w:abstractNumId w:val="2"/>
  </w:num>
  <w:num w:numId="2" w16cid:durableId="791943947">
    <w:abstractNumId w:val="3"/>
  </w:num>
  <w:num w:numId="3" w16cid:durableId="700938953">
    <w:abstractNumId w:val="1"/>
  </w:num>
  <w:num w:numId="4" w16cid:durableId="999652569">
    <w:abstractNumId w:val="4"/>
  </w:num>
  <w:num w:numId="5" w16cid:durableId="499196024">
    <w:abstractNumId w:val="0"/>
  </w:num>
  <w:num w:numId="6" w16cid:durableId="260065116">
    <w:abstractNumId w:val="2"/>
  </w:num>
  <w:num w:numId="7" w16cid:durableId="18974708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68"/>
    <w:rsid w:val="0001723C"/>
    <w:rsid w:val="00054E68"/>
    <w:rsid w:val="00056415"/>
    <w:rsid w:val="000917D2"/>
    <w:rsid w:val="000A23EF"/>
    <w:rsid w:val="000B701F"/>
    <w:rsid w:val="000D4D11"/>
    <w:rsid w:val="0011634D"/>
    <w:rsid w:val="00147ECE"/>
    <w:rsid w:val="001B18B8"/>
    <w:rsid w:val="00271954"/>
    <w:rsid w:val="002D0E25"/>
    <w:rsid w:val="00325FD5"/>
    <w:rsid w:val="003B4C4D"/>
    <w:rsid w:val="003F38AE"/>
    <w:rsid w:val="003F47B7"/>
    <w:rsid w:val="00426385"/>
    <w:rsid w:val="00433668"/>
    <w:rsid w:val="004A4CC0"/>
    <w:rsid w:val="004B14E4"/>
    <w:rsid w:val="004B236E"/>
    <w:rsid w:val="004C3289"/>
    <w:rsid w:val="004F34BE"/>
    <w:rsid w:val="00517241"/>
    <w:rsid w:val="005A00AB"/>
    <w:rsid w:val="005A3D83"/>
    <w:rsid w:val="0063759E"/>
    <w:rsid w:val="00683192"/>
    <w:rsid w:val="00684F9D"/>
    <w:rsid w:val="0072516F"/>
    <w:rsid w:val="00767BDB"/>
    <w:rsid w:val="007C6ABE"/>
    <w:rsid w:val="007D49C2"/>
    <w:rsid w:val="007E5DA2"/>
    <w:rsid w:val="007F234E"/>
    <w:rsid w:val="007F7979"/>
    <w:rsid w:val="00855B0A"/>
    <w:rsid w:val="00893025"/>
    <w:rsid w:val="008A473B"/>
    <w:rsid w:val="008C1800"/>
    <w:rsid w:val="008C6AFC"/>
    <w:rsid w:val="008F547D"/>
    <w:rsid w:val="009320E5"/>
    <w:rsid w:val="0094720F"/>
    <w:rsid w:val="00955750"/>
    <w:rsid w:val="00963B36"/>
    <w:rsid w:val="009E0FC1"/>
    <w:rsid w:val="00A31FC1"/>
    <w:rsid w:val="00AE773E"/>
    <w:rsid w:val="00AF6BEB"/>
    <w:rsid w:val="00B22DDB"/>
    <w:rsid w:val="00B42DB0"/>
    <w:rsid w:val="00B72167"/>
    <w:rsid w:val="00B760B9"/>
    <w:rsid w:val="00B8761A"/>
    <w:rsid w:val="00BF4BB2"/>
    <w:rsid w:val="00C412E7"/>
    <w:rsid w:val="00C72AAB"/>
    <w:rsid w:val="00CC3B9E"/>
    <w:rsid w:val="00CD62E2"/>
    <w:rsid w:val="00CE23E8"/>
    <w:rsid w:val="00D65AA8"/>
    <w:rsid w:val="00DB2740"/>
    <w:rsid w:val="00E2022E"/>
    <w:rsid w:val="00E26A85"/>
    <w:rsid w:val="00E31B41"/>
    <w:rsid w:val="00E6112C"/>
    <w:rsid w:val="00E618E0"/>
    <w:rsid w:val="00EA35E8"/>
    <w:rsid w:val="00F355B2"/>
    <w:rsid w:val="00FA78F2"/>
    <w:rsid w:val="00FD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FC806D"/>
  <w15:chartTrackingRefBased/>
  <w15:docId w15:val="{C619949C-7DA3-436F-9C8A-58AF7A7A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7B7"/>
  </w:style>
  <w:style w:type="paragraph" w:styleId="Heading1">
    <w:name w:val="heading 1"/>
    <w:basedOn w:val="Normal"/>
    <w:next w:val="Normal"/>
    <w:link w:val="Heading1Char"/>
    <w:uiPriority w:val="9"/>
    <w:qFormat/>
    <w:rsid w:val="00054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E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E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E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4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4E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E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E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E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E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E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E6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4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Heading1"/>
    <w:next w:val="Normal"/>
    <w:link w:val="Style1Char"/>
    <w:qFormat/>
    <w:rsid w:val="003F47B7"/>
    <w:pPr>
      <w:numPr>
        <w:numId w:val="1"/>
      </w:numPr>
    </w:pPr>
    <w:rPr>
      <w:rFonts w:asciiTheme="minorHAnsi" w:hAnsiTheme="minorHAnsi"/>
      <w:b/>
      <w:color w:val="000000" w:themeColor="text1"/>
    </w:rPr>
  </w:style>
  <w:style w:type="character" w:customStyle="1" w:styleId="Style1Char">
    <w:name w:val="Style1 Char"/>
    <w:basedOn w:val="Heading1Char"/>
    <w:link w:val="Style1"/>
    <w:rsid w:val="003F47B7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customStyle="1" w:styleId="Style2">
    <w:name w:val="Style2"/>
    <w:basedOn w:val="Heading2"/>
    <w:next w:val="Normal"/>
    <w:link w:val="Style2Char"/>
    <w:qFormat/>
    <w:rsid w:val="00E26A85"/>
    <w:pPr>
      <w:numPr>
        <w:ilvl w:val="1"/>
        <w:numId w:val="1"/>
      </w:numPr>
    </w:pPr>
    <w:rPr>
      <w:rFonts w:asciiTheme="minorHAnsi" w:hAnsiTheme="minorHAnsi"/>
      <w:b/>
      <w:color w:val="auto"/>
    </w:rPr>
  </w:style>
  <w:style w:type="character" w:customStyle="1" w:styleId="Style2Char">
    <w:name w:val="Style2 Char"/>
    <w:basedOn w:val="Heading2Char"/>
    <w:link w:val="Style2"/>
    <w:rsid w:val="00E26A8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Style3">
    <w:name w:val="Style3"/>
    <w:basedOn w:val="Heading3"/>
    <w:next w:val="Normal"/>
    <w:link w:val="Style3Char"/>
    <w:qFormat/>
    <w:rsid w:val="00E26A85"/>
    <w:rPr>
      <w:b/>
      <w:color w:val="auto"/>
    </w:rPr>
  </w:style>
  <w:style w:type="character" w:customStyle="1" w:styleId="Style3Char">
    <w:name w:val="Style3 Char"/>
    <w:basedOn w:val="Heading3Char"/>
    <w:link w:val="Style3"/>
    <w:rsid w:val="00E26A85"/>
    <w:rPr>
      <w:rFonts w:eastAsiaTheme="majorEastAsia" w:cstheme="majorBidi"/>
      <w:b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67BD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67BD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67BD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67BDB"/>
    <w:rPr>
      <w:sz w:val="18"/>
      <w:szCs w:val="18"/>
    </w:rPr>
  </w:style>
  <w:style w:type="table" w:styleId="GridTable4-Accent1">
    <w:name w:val="Grid Table 4 Accent 1"/>
    <w:basedOn w:val="TableNormal"/>
    <w:uiPriority w:val="49"/>
    <w:rsid w:val="0095575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NormalGrid">
    <w:name w:val="Normal Grid"/>
    <w:basedOn w:val="TableNormal"/>
    <w:uiPriority w:val="39"/>
    <w:rsid w:val="0001723C"/>
    <w:pPr>
      <w:spacing w:after="0" w:line="240" w:lineRule="auto"/>
    </w:pPr>
    <w:rPr>
      <w:rFonts w:ascii="Georgia"/>
      <w:kern w:val="0"/>
      <w:sz w:val="22"/>
      <w:szCs w:val="22"/>
      <w:lang w:eastAsia="en-US"/>
      <w14:ligatures w14:val="none"/>
    </w:r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CD186-505A-48C5-8164-692EDE231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(ZHANG), NINGXIN (CORA)#</dc:creator>
  <cp:keywords/>
  <dc:description/>
  <cp:lastModifiedBy>Irene Wong</cp:lastModifiedBy>
  <cp:revision>2</cp:revision>
  <dcterms:created xsi:type="dcterms:W3CDTF">2025-05-15T23:54:00Z</dcterms:created>
  <dcterms:modified xsi:type="dcterms:W3CDTF">2025-05-15T23:54:00Z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9f63fcdc-2c08-4858-a1c3-f4bda7a43a0d</vt:lpwstr>
  </property>
</Properties>
</file>