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header+xml" PartName="/word/header3.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40" w:before="0"/>
            </w:pPr>
            <w:r>
              <w:rPr>
                <w:rFonts w:ascii="Arial" w:cs="Arial" w:eastAsia="Arial" w:hAnsi="Arial"/>
                <w:sz w:val="22"/>
                <w:szCs w:val="22"/>
              </w:rPr>
              <w:t xml:space="preserve"/>
            </w:r>
          </w:p>
          <w:p>
            <w:pPr>
              <w:spacing w:after="40" w:before="0"/>
              <w:jc w:val="center"/>
            </w:pPr>
            <w:r>
              <w:rPr>
                <w:rFonts w:ascii="Arial" w:cs="Arial" w:eastAsia="Arial" w:hAnsi="Arial"/>
                <w:b/>
                <w:bCs/>
                <w:color w:val="FFFFFF"/>
                <w:sz w:val="52"/>
                <w:szCs w:val="52"/>
              </w:rPr>
              <w:t xml:space="preserve">National Radiology</w:t>
            </w:r>
          </w:p>
          <w:p>
            <w:pPr>
              <w:spacing w:after="80" w:before="0"/>
              <w:jc w:val="center"/>
            </w:pPr>
            <w:r>
              <w:rPr>
                <w:rFonts w:ascii="Arial" w:cs="Arial" w:eastAsia="Arial" w:hAnsi="Arial"/>
                <w:b/>
                <w:bCs/>
                <w:color w:val="FFFFFF"/>
                <w:sz w:val="52"/>
                <w:szCs w:val="52"/>
              </w:rPr>
              <w:t xml:space="preserve">Community Referred Radiology</w:t>
            </w:r>
          </w:p>
          <w:p>
            <w:pPr>
              <w:spacing w:after="20" w:before="0"/>
              <w:jc w:val="center"/>
            </w:pPr>
            <w:r>
              <w:rPr>
                <w:rFonts w:ascii="Arial" w:cs="Arial" w:eastAsia="Arial" w:hAnsi="Arial"/>
                <w:color w:val="A8D8D8"/>
                <w:sz w:val="40"/>
                <w:szCs w:val="40"/>
              </w:rPr>
              <w:t xml:space="preserve">Clinical Decision Support Tools</w:t>
            </w:r>
          </w:p>
          <w:p>
            <w:pPr>
              <w:spacing w:after="80" w:before="0"/>
              <w:jc w:val="center"/>
            </w:pPr>
            <w:r>
              <w:rPr>
                <w:rFonts w:ascii="Arial" w:cs="Arial" w:eastAsia="Arial" w:hAnsi="Arial"/>
                <w:color w:val="A8D8D8"/>
                <w:sz w:val="36"/>
                <w:szCs w:val="36"/>
              </w:rPr>
              <w:t xml:space="preserve">Business Requirements</w:t>
            </w:r>
          </w:p>
        </w:tc>
      </w:tr>
    </w:tbl>
    <w:p>
      <w:pPr>
        <w:spacing w:after="12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sz w:val="20"/>
                <w:szCs w:val="20"/>
              </w:rPr>
              <w:t xml:space="preserve">Document status</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DRAFT</w:t>
            </w:r>
          </w:p>
        </w:tc>
      </w:tr>
      <w:tr>
        <w:tc>
          <w:tcPr>
            <w:tcW w:type="dxa" w:w="3000"/>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sz w:val="20"/>
                <w:szCs w:val="20"/>
              </w:rPr>
              <w:t xml:space="preserve">Date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22 May 2026</w:t>
            </w:r>
          </w:p>
        </w:tc>
      </w:tr>
      <w:tr>
        <w:tc>
          <w:tcPr>
            <w:tcW w:type="dxa" w:w="3000"/>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sz w:val="20"/>
                <w:szCs w:val="20"/>
              </w:rPr>
              <w:t xml:space="preserve">Programme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Community Referred Radiology (CRR)</w:t>
            </w:r>
          </w:p>
        </w:tc>
      </w:tr>
      <w:tr>
        <w:tc>
          <w:tcPr>
            <w:tcW w:type="dxa" w:w="3000"/>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sz w:val="20"/>
                <w:szCs w:val="20"/>
              </w:rPr>
              <w:t xml:space="preserve">Organisation</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Health New Zealand | Te Whatu Ora</w:t>
            </w:r>
          </w:p>
        </w:tc>
      </w:tr>
      <w:tr>
        <w:tc>
          <w:tcPr>
            <w:tcW w:type="dxa" w:w="3000"/>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sz w:val="20"/>
                <w:szCs w:val="20"/>
              </w:rPr>
              <w:t xml:space="preserve">Author</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Gary Ireland, CRR Digital Delivery Lead</w:t>
            </w:r>
          </w:p>
        </w:tc>
      </w:tr>
      <w:tr>
        <w:tc>
          <w:tcPr>
            <w:tcW w:type="dxa" w:w="3000"/>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sz w:val="20"/>
                <w:szCs w:val="20"/>
              </w:rPr>
              <w:t xml:space="preserve">Tools covered</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CRR Criteria Viewer  ·  CRR Triage Advisor  ·  CRR Admin Tool</w:t>
            </w:r>
          </w:p>
        </w:tc>
      </w:tr>
      <w:tr>
        <w:tc>
          <w:tcPr>
            <w:tcW w:type="dxa" w:w="3000"/>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sz w:val="20"/>
                <w:szCs w:val="20"/>
              </w:rPr>
              <w:t xml:space="preserve">Criteria source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National Primary Care Referral Criteria for Imaging, Phase 1, April 2026 release</w:t>
            </w:r>
          </w:p>
        </w:tc>
      </w:tr>
    </w:tbl>
    <w:p>
      <w:pPr>
        <w:spacing w:after="12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8B8B" w:sz="4"/>
              <w:left w:val="single" w:color="008B8B" w:sz="4"/>
              <w:bottom w:val="single" w:color="008B8B" w:sz="4"/>
              <w:right w:val="single" w:color="008B8B" w:sz="4"/>
            </w:tcBorders>
            <w:shd w:fill="E0F2F1" w:val="clear"/>
            <w:tcMar>
              <w:top w:type="dxa" w:w="80"/>
              <w:left w:type="dxa" w:w="120"/>
              <w:bottom w:type="dxa" w:w="80"/>
              <w:right w:type="dxa" w:w="120"/>
            </w:tcMar>
          </w:tcPr>
          <w:p>
            <w:pPr>
              <w:spacing w:after="60" w:before="0"/>
            </w:pPr>
            <w:r>
              <w:rPr>
                <w:rFonts w:ascii="Arial" w:cs="Arial" w:eastAsia="Arial" w:hAnsi="Arial"/>
                <w:b/>
                <w:bCs/>
                <w:color w:val="008B8B"/>
                <w:sz w:val="22"/>
                <w:szCs w:val="22"/>
              </w:rPr>
              <w:t xml:space="preserve">Purpose</w:t>
            </w:r>
          </w:p>
          <w:p>
            <w:pPr>
              <w:spacing w:after="0" w:before="0"/>
            </w:pPr>
            <w:r>
              <w:rPr>
                <w:rFonts w:ascii="Arial" w:cs="Arial" w:eastAsia="Arial" w:hAnsi="Arial"/>
                <w:sz w:val="20"/>
                <w:szCs w:val="20"/>
              </w:rPr>
              <w:t xml:space="preserve">This document sets out the business requirements for the CRR Clinical Decision Support Tool Suite for clinical evaluation. The tools support the national Community Referred Radiology programme by providing structured access to imaging referral criteria, AI-assisted referral quality assessment, and criteria content management. Requirements are presented in a format consistent with CRR programme documentation standards.</w:t>
            </w:r>
          </w:p>
        </w:tc>
      </w:tr>
    </w:tbl>
    <w:p>
      <w:pPr>
        <w:spacing w:after="12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7800" w:sz="4"/>
              <w:left w:val="single" w:color="C07800" w:sz="4"/>
              <w:bottom w:val="single" w:color="C07800" w:sz="4"/>
              <w:right w:val="single" w:color="C07800" w:sz="4"/>
            </w:tcBorders>
            <w:shd w:fill="FFF8E6" w:val="clear"/>
            <w:tcMar>
              <w:top w:type="dxa" w:w="80"/>
              <w:left w:type="dxa" w:w="120"/>
              <w:bottom w:type="dxa" w:w="80"/>
              <w:right w:type="dxa" w:w="120"/>
            </w:tcMar>
          </w:tcPr>
          <w:p>
            <w:pPr>
              <w:spacing w:after="60" w:before="0"/>
            </w:pPr>
            <w:r>
              <w:rPr>
                <w:rFonts w:ascii="Arial" w:cs="Arial" w:eastAsia="Arial" w:hAnsi="Arial"/>
                <w:b/>
                <w:bCs/>
                <w:color w:val="C07800"/>
                <w:sz w:val="22"/>
                <w:szCs w:val="22"/>
              </w:rPr>
              <w:t xml:space="preserve">Document status</w:t>
            </w:r>
          </w:p>
          <w:p>
            <w:pPr>
              <w:spacing w:after="0" w:before="0"/>
            </w:pPr>
            <w:r>
              <w:rPr>
                <w:rFonts w:ascii="Arial" w:cs="Arial" w:eastAsia="Arial" w:hAnsi="Arial"/>
                <w:sz w:val="20"/>
                <w:szCs w:val="20"/>
              </w:rPr>
              <w:t xml:space="preserve">This is a working draft. Requirements have been reverse-engineered from iterative prototype development and are subject to validation by the CRR clinical working group and programme governance. The tools are prototypes and have not been formally approved for clinical use.</w:t>
            </w:r>
          </w:p>
        </w:tc>
      </w:tr>
    </w:tbl>
    <w:p>
      <w:pPr>
        <w:sectPr>
          <w:headerReference w:type="default" r:id="rId7"/>
          <w:headerReference w:type="first" r:id="rId8"/>
          <w:footerReference w:type="default" r:id="rId9"/>
          <w:pgSz w:w="11906" w:h="16838" w:orient="portrait"/>
          <w:pgMar w:top="1800" w:right="1440" w:bottom="1440" w:left="1440" w:header="708" w:footer="708" w:gutter="0"/>
          <w:pgNumType/>
          <w:titlePg/>
          <w:docGrid w:linePitch="360"/>
        </w:sectPr>
      </w:pPr>
    </w:p>
    <w:p>
      <w:pPr>
        <w:pStyle w:val="Heading1"/>
        <w:spacing w:after="160" w:before="280"/>
      </w:pPr>
      <w:r>
        <w:rPr>
          <w:rFonts w:ascii="Arial" w:cs="Arial" w:eastAsia="Arial" w:hAnsi="Arial"/>
          <w:sz w:val="22"/>
          <w:szCs w:val="22"/>
        </w:rPr>
        <w:t xml:space="preserve">1. Background</w:t>
      </w:r>
    </w:p>
    <w:p>
      <w:pPr>
        <w:spacing w:after="120" w:before="0"/>
      </w:pPr>
      <w:r>
        <w:rPr>
          <w:rFonts w:ascii="Arial" w:cs="Arial" w:eastAsia="Arial" w:hAnsi="Arial"/>
          <w:sz w:val="22"/>
          <w:szCs w:val="22"/>
        </w:rPr>
        <w:t xml:space="preserve">The Community Referred Radiology (CRR) programme is a nationally coordinated initiative within Health New Zealand | Te Whatu Ora. The programme funds publicly accessible diagnostic imaging (CT, Ultrasound, X-Ray, MRI) referred from general practice, using nationally defined clinical criteria to determine eligibility and priority.</w:t>
      </w:r>
    </w:p>
    <w:p>
      <w:pPr>
        <w:spacing w:after="120" w:before="0"/>
      </w:pPr>
      <w:r>
        <w:rPr>
          <w:rFonts w:ascii="Arial" w:cs="Arial" w:eastAsia="Arial" w:hAnsi="Arial"/>
          <w:sz w:val="22"/>
          <w:szCs w:val="22"/>
        </w:rPr>
        <w:t xml:space="preserve">Referrals are submitted by community healthcare professionals through referral platforms (BPAC, ERMS, HealthLink) and triaged by radiologists or Primary Care Radiology Liaisons (PCRLs) against the National Primary Care Referral Criteria for Imaging.</w:t>
      </w:r>
    </w:p>
    <w:p>
      <w:pPr>
        <w:spacing w:after="120" w:before="0"/>
      </w:pPr>
      <w:r>
        <w:rPr>
          <w:rFonts w:ascii="Arial" w:cs="Arial" w:eastAsia="Arial" w:hAnsi="Arial"/>
          <w:sz w:val="22"/>
          <w:szCs w:val="22"/>
        </w:rPr>
        <w:t xml:space="preserve">A recurring quality issue is that referrals are declined at triage not because the patient does not need imaging, but because the referral note does not explicitly document the required criteria elements. This represents a documentation failure rather than a clinical failure. The CRR Clinical Decision Support Tool Suite has been developed to address this problem by providing structured criteria reference, AI-assisted referral quality assessment, and criteria content management.</w:t>
      </w:r>
    </w:p>
    <w:p>
      <w:pPr>
        <w:pStyle w:val="Heading1"/>
        <w:spacing w:after="160" w:before="280"/>
      </w:pPr>
      <w:r>
        <w:rPr>
          <w:rFonts w:ascii="Arial" w:cs="Arial" w:eastAsia="Arial" w:hAnsi="Arial"/>
          <w:sz w:val="22"/>
          <w:szCs w:val="22"/>
        </w:rPr>
        <w:t xml:space="preserve">2. Purpose of This Document</w:t>
      </w:r>
    </w:p>
    <w:p>
      <w:pPr>
        <w:spacing w:after="120" w:before="0"/>
      </w:pPr>
      <w:r>
        <w:rPr>
          <w:rFonts w:ascii="Arial" w:cs="Arial" w:eastAsia="Arial" w:hAnsi="Arial"/>
          <w:sz w:val="22"/>
          <w:szCs w:val="22"/>
        </w:rPr>
        <w:t xml:space="preserve">This document sets out the business requirements for the CRR Clinical Decision Support Tool Suite. The requirements are system-agnostic and describe the expected behaviour and capabilities of three tools:</w:t>
      </w:r>
    </w:p>
    <w:p>
      <w:pPr>
        <w:pStyle w:val="ListParagraph"/>
        <w:numPr>
          <w:ilvl w:val="0"/>
          <w:numId w:val="2"/>
        </w:numPr>
        <w:spacing w:after="60" w:before="0"/>
      </w:pPr>
      <w:r>
        <w:rPr>
          <w:rFonts w:ascii="Arial" w:cs="Arial" w:eastAsia="Arial" w:hAnsi="Arial"/>
          <w:sz w:val="22"/>
          <w:szCs w:val="22"/>
        </w:rPr>
        <w:t xml:space="preserve">Criteria Viewer — a structured reference tool enabling referrers and triagers to browse, select, and document national imaging referral criteria</w:t>
      </w:r>
    </w:p>
    <w:p>
      <w:pPr>
        <w:pStyle w:val="ListParagraph"/>
        <w:numPr>
          <w:ilvl w:val="0"/>
          <w:numId w:val="2"/>
        </w:numPr>
        <w:spacing w:after="60" w:before="0"/>
      </w:pPr>
      <w:r>
        <w:rPr>
          <w:rFonts w:ascii="Arial" w:cs="Arial" w:eastAsia="Arial" w:hAnsi="Arial"/>
          <w:sz w:val="22"/>
          <w:szCs w:val="22"/>
        </w:rPr>
        <w:t xml:space="preserve">Triage Advisor — an AI-assisted tool that assesses free-text referral notes against the national criteria and provides structured feedback on referral quality</w:t>
      </w:r>
    </w:p>
    <w:p>
      <w:pPr>
        <w:pStyle w:val="ListParagraph"/>
        <w:numPr>
          <w:ilvl w:val="0"/>
          <w:numId w:val="2"/>
        </w:numPr>
        <w:spacing w:after="60" w:before="0"/>
      </w:pPr>
      <w:r>
        <w:rPr>
          <w:rFonts w:ascii="Arial" w:cs="Arial" w:eastAsia="Arial" w:hAnsi="Arial"/>
          <w:sz w:val="22"/>
          <w:szCs w:val="22"/>
        </w:rPr>
        <w:t xml:space="preserve">Admin Tool — a content management tool for maintaining criteria data, publishing updates, and monitoring tool usage</w:t>
      </w:r>
    </w:p>
    <w:p>
      <w:pPr>
        <w:spacing w:after="12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7800" w:sz="4"/>
              <w:left w:val="single" w:color="C07800" w:sz="4"/>
              <w:bottom w:val="single" w:color="C07800" w:sz="4"/>
              <w:right w:val="single" w:color="C07800" w:sz="4"/>
            </w:tcBorders>
            <w:shd w:fill="FFF8E6" w:val="clear"/>
            <w:tcMar>
              <w:top w:type="dxa" w:w="80"/>
              <w:left w:type="dxa" w:w="120"/>
              <w:bottom w:type="dxa" w:w="80"/>
              <w:right w:type="dxa" w:w="120"/>
            </w:tcMar>
          </w:tcPr>
          <w:p>
            <w:pPr>
              <w:spacing w:after="60" w:before="0"/>
            </w:pPr>
            <w:r>
              <w:rPr>
                <w:rFonts w:ascii="Arial" w:cs="Arial" w:eastAsia="Arial" w:hAnsi="Arial"/>
                <w:b/>
                <w:bCs/>
                <w:color w:val="C07800"/>
                <w:sz w:val="22"/>
                <w:szCs w:val="22"/>
              </w:rPr>
              <w:t xml:space="preserve">Important note</w:t>
            </w:r>
          </w:p>
          <w:p>
            <w:pPr>
              <w:spacing w:after="0" w:before="0"/>
            </w:pPr>
            <w:r>
              <w:rPr>
                <w:rFonts w:ascii="Arial" w:cs="Arial" w:eastAsia="Arial" w:hAnsi="Arial"/>
                <w:sz w:val="20"/>
                <w:szCs w:val="20"/>
              </w:rPr>
              <w:t xml:space="preserve">These requirements should be read in conjunction with existing CRR programme documentation including the National Primary Care Referral Criteria for Imaging, CRR Business Rules, and regional business requirements documents. The requirements described herein pertain to the clinical decision support tools only, not to the broader referral, triage, or delegation workflows.</w:t>
            </w:r>
          </w:p>
        </w:tc>
      </w:tr>
    </w:tbl>
    <w:p>
      <w:pPr>
        <w:spacing w:after="120" w:before="0"/>
      </w:pPr>
      <w:r>
        <w:rPr>
          <w:rFonts w:ascii="Arial" w:cs="Arial" w:eastAsia="Arial" w:hAnsi="Arial"/>
          <w:sz w:val="22"/>
          <w:szCs w:val="22"/>
        </w:rPr>
        <w:t xml:space="preserve"/>
      </w:r>
    </w:p>
    <w:p>
      <w:pPr>
        <w:pStyle w:val="Heading1"/>
        <w:spacing w:after="160" w:before="280"/>
      </w:pPr>
      <w:r>
        <w:rPr>
          <w:rFonts w:ascii="Arial" w:cs="Arial" w:eastAsia="Arial" w:hAnsi="Arial"/>
          <w:sz w:val="22"/>
          <w:szCs w:val="22"/>
        </w:rPr>
        <w:t xml:space="preserve">3. Documents Referenced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26"/>
      </w:tblGrid>
      <w:tr>
        <w:trPr>
          <w:tblHeader/>
        </w:trPr>
        <w:tc>
          <w:tcPr>
            <w:tcW w:type="dxa" w:w="35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Document</w:t>
            </w:r>
          </w:p>
        </w:tc>
        <w:tc>
          <w:tcPr>
            <w:tcW w:type="dxa" w:w="25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Author</w:t>
            </w:r>
          </w:p>
        </w:tc>
        <w:tc>
          <w:tcPr>
            <w:tcW w:type="dxa" w:w="3026"/>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National Primary Care Referral Criteria for Imaging, Phase 1, April 2026 release</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CRR Programme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Authoritative criteria source</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CRR Business and Clinical Rules v1.0</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CRR Programme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Data categorisation and display rules</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CRR Tool Suite Solution Overview v1.2</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CRR Programme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Technical and clinical architecture</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CRR Tool Suite User Guide v2.1</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CRR Programme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End-user operating instructions</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National Radiology Delegation Business Requirements</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Katharine Walker-Mead</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Delegation workflow requirements</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CRR Actionable Findings Solution Architecture</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Murray Hughes</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Actionable findings management</w:t>
            </w:r>
          </w:p>
        </w:tc>
      </w:tr>
    </w:tbl>
    <w:p>
      <w:pPr>
        <w:spacing w:after="120" w:before="0"/>
      </w:pPr>
      <w:r>
        <w:rPr>
          <w:rFonts w:ascii="Arial" w:cs="Arial" w:eastAsia="Arial" w:hAnsi="Arial"/>
          <w:sz w:val="22"/>
          <w:szCs w:val="22"/>
        </w:rPr>
        <w:t xml:space="preserve"/>
      </w:r>
    </w:p>
    <w:p>
      <w:pPr>
        <w:pStyle w:val="Heading1"/>
        <w:spacing w:after="160" w:before="280"/>
      </w:pPr>
      <w:r>
        <w:rPr>
          <w:rFonts w:ascii="Arial" w:cs="Arial" w:eastAsia="Arial" w:hAnsi="Arial"/>
          <w:sz w:val="22"/>
          <w:szCs w:val="22"/>
        </w:rPr>
        <w:t xml:space="preserve">4.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The term</w:t>
            </w:r>
          </w:p>
        </w:tc>
        <w:tc>
          <w:tcPr>
            <w:tcW w:type="dxa" w:w="6526"/>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is defined as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20"/>
                <w:szCs w:val="20"/>
              </w:rPr>
              <w:t xml:space="preserve">Criteria Viewer</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A web-based tool that presents the national imaging referral criteria in a structured, interactive format. Referrers can browse criteria by exam type and anatomical site, tick applicable criteria, and generate formatted output text for inclusion in referral notes.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20"/>
                <w:szCs w:val="20"/>
              </w:rPr>
              <w:t xml:space="preserve">Triage Advisor</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An AI-assisted tool that analyses free-text referral notes against the national criteria and provides structured feedback including verdict, matched criteria, missing elements, and safety alerts. Uses large language model (LLM) technology.</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20"/>
                <w:szCs w:val="20"/>
              </w:rPr>
              <w:t xml:space="preserve">Admin Tool</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A content management tool for maintaining the criteria data that underpins the Criteria Viewer and Triage Advisor. Supports editing, versioning, publishing, and audit logging of criteria content.</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20"/>
                <w:szCs w:val="20"/>
              </w:rPr>
              <w:t xml:space="preserve">Community Healthcare Professional</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General Practitioners, Nurse Practitioners, Urgent Care Practitioners, or other healthcare practitioners approved by Health NZ for the purpose of referring patients for imaging.</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20"/>
                <w:szCs w:val="20"/>
              </w:rPr>
              <w:t xml:space="preserve">PCRL</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Primary Care Radiology Liaison. A clinical role within CRR Hubs responsible for triaging community referrals against the national criteria.</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20"/>
                <w:szCs w:val="20"/>
              </w:rPr>
              <w:t xml:space="preserve">Criteria</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The clinical indications, access requirements, and eligibility conditions defined in the National Primary Care Referral Criteria for Imaging that determine whether a referral is accepted for publicly funded imaging.</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20"/>
                <w:szCs w:val="20"/>
              </w:rPr>
              <w:t xml:space="preserve">Gateway requirement</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A prerequisite that must be met before a referral can be considered, regardless of clinical presentation. Examples include completion of a BPAC decision support tool or specialist endorsement.</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20"/>
                <w:szCs w:val="20"/>
              </w:rPr>
              <w:t xml:space="preserve">Lab value requirement</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A criterion requiring specific numeric laboratory results (e.g. Ca-125, ALP, GGT) to be documented in the referral note.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20"/>
                <w:szCs w:val="20"/>
              </w:rPr>
              <w:t xml:space="preserve">Indication</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A clinical presentation or finding that qualifies a patient for imaging under a specific priority tier (e.g. suspected malignancy, unexplained weight loss for 3–6 months).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20"/>
                <w:szCs w:val="20"/>
              </w:rPr>
              <w:t xml:space="preserve">Priority tier</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A timeframe-based classification for imaging referrals. Referrer-facing labels use timeframe language (e.g. Urgent — within two weeks) rather than internal priority codes.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20"/>
                <w:szCs w:val="20"/>
              </w:rPr>
              <w:t xml:space="preserve">Not routinely funded</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An imaging request that falls outside the scope of publicly funded CRR criteria. These must never appear as selectable criteria items.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20"/>
                <w:szCs w:val="20"/>
              </w:rPr>
              <w:t xml:space="preserve">Passive mode</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A read-only display mode for the Criteria Viewer where criteria are presented for reference only, without interactive checkboxes or output generation.</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20"/>
                <w:szCs w:val="20"/>
              </w:rPr>
              <w:t xml:space="preserve">Active mode</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The default interactive mode for the Criteria Viewer where criteria can be ticked and output text generated for referral notes.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20"/>
                <w:szCs w:val="20"/>
              </w:rPr>
              <w:t xml:space="preserve">HealthPathways</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Regional clinical guidance portals used across New Zealand. Seven instances cover different regions, sharing a common page ID structure.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20"/>
                <w:szCs w:val="20"/>
              </w:rPr>
              <w:t xml:space="preserve">Compound criteria</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Criteria items that contain multiple sub-elements with logical relationships (e.g. all-of, any-of, mandatory-plus-pick). Approximately 5–6% of criteria items exhibit compound logic.</w:t>
            </w:r>
          </w:p>
        </w:tc>
      </w:tr>
    </w:tbl>
    <w:p>
      <w:pPr>
        <w:spacing w:after="120" w:before="0"/>
      </w:pPr>
      <w:r>
        <w:rPr>
          <w:rFonts w:ascii="Arial" w:cs="Arial" w:eastAsia="Arial" w:hAnsi="Arial"/>
          <w:sz w:val="22"/>
          <w:szCs w:val="22"/>
        </w:rPr>
        <w:t xml:space="preserve"/>
      </w:r>
    </w:p>
    <w:p>
      <w:pPr>
        <w:pStyle w:val="Heading1"/>
        <w:spacing w:after="160" w:before="280"/>
      </w:pPr>
      <w:r>
        <w:rPr>
          <w:rFonts w:ascii="Arial" w:cs="Arial" w:eastAsia="Arial" w:hAnsi="Arial"/>
          <w:sz w:val="22"/>
          <w:szCs w:val="22"/>
        </w:rPr>
        <w:t xml:space="preserve">5. Scope</w:t>
      </w:r>
    </w:p>
    <w:p>
      <w:pPr>
        <w:pStyle w:val="Heading2"/>
        <w:spacing w:after="120" w:before="220"/>
      </w:pPr>
      <w:r>
        <w:rPr>
          <w:rFonts w:ascii="Arial" w:cs="Arial" w:eastAsia="Arial" w:hAnsi="Arial"/>
          <w:sz w:val="22"/>
          <w:szCs w:val="22"/>
        </w:rPr>
        <w:t xml:space="preserve">5.1 In Scope</w:t>
      </w:r>
    </w:p>
    <w:p>
      <w:pPr>
        <w:pStyle w:val="ListParagraph"/>
        <w:numPr>
          <w:ilvl w:val="0"/>
          <w:numId w:val="2"/>
        </w:numPr>
        <w:spacing w:after="60" w:before="0"/>
      </w:pPr>
      <w:r>
        <w:rPr>
          <w:rFonts w:ascii="Arial" w:cs="Arial" w:eastAsia="Arial" w:hAnsi="Arial"/>
          <w:sz w:val="22"/>
          <w:szCs w:val="22"/>
        </w:rPr>
        <w:t xml:space="preserve">Criteria Viewer: display, interaction, output generation, localisation, and integration modes for the national imaging referral criteria</w:t>
      </w:r>
    </w:p>
    <w:p>
      <w:pPr>
        <w:pStyle w:val="ListParagraph"/>
        <w:numPr>
          <w:ilvl w:val="0"/>
          <w:numId w:val="2"/>
        </w:numPr>
        <w:spacing w:after="60" w:before="0"/>
      </w:pPr>
      <w:r>
        <w:rPr>
          <w:rFonts w:ascii="Arial" w:cs="Arial" w:eastAsia="Arial" w:hAnsi="Arial"/>
          <w:sz w:val="22"/>
          <w:szCs w:val="22"/>
        </w:rPr>
        <w:t xml:space="preserve">Triage Advisor: AI-assisted referral note assessment against criteria, safety alerting, and structured feedback</w:t>
      </w:r>
    </w:p>
    <w:p>
      <w:pPr>
        <w:pStyle w:val="ListParagraph"/>
        <w:numPr>
          <w:ilvl w:val="0"/>
          <w:numId w:val="2"/>
        </w:numPr>
        <w:spacing w:after="60" w:before="0"/>
      </w:pPr>
      <w:r>
        <w:rPr>
          <w:rFonts w:ascii="Arial" w:cs="Arial" w:eastAsia="Arial" w:hAnsi="Arial"/>
          <w:sz w:val="22"/>
          <w:szCs w:val="22"/>
        </w:rPr>
        <w:t xml:space="preserve">Admin Tool: criteria content management, versioning, publishing, and audit logging</w:t>
      </w:r>
    </w:p>
    <w:p>
      <w:pPr>
        <w:pStyle w:val="ListParagraph"/>
        <w:numPr>
          <w:ilvl w:val="0"/>
          <w:numId w:val="2"/>
        </w:numPr>
        <w:spacing w:after="60" w:before="0"/>
      </w:pPr>
      <w:r>
        <w:rPr>
          <w:rFonts w:ascii="Arial" w:cs="Arial" w:eastAsia="Arial" w:hAnsi="Arial"/>
          <w:sz w:val="22"/>
          <w:szCs w:val="22"/>
        </w:rPr>
        <w:t xml:space="preserve">Data model: criteria data structure, storage, caching, and API access</w:t>
      </w:r>
    </w:p>
    <w:p>
      <w:pPr>
        <w:pStyle w:val="ListParagraph"/>
        <w:numPr>
          <w:ilvl w:val="0"/>
          <w:numId w:val="2"/>
        </w:numPr>
        <w:spacing w:after="60" w:before="0"/>
      </w:pPr>
      <w:r>
        <w:rPr>
          <w:rFonts w:ascii="Arial" w:cs="Arial" w:eastAsia="Arial" w:hAnsi="Arial"/>
          <w:sz w:val="22"/>
          <w:szCs w:val="22"/>
        </w:rPr>
        <w:t xml:space="preserve">Integration patterns: standalone, URL-parameterised, side-panel, modal, and tab-based integration with referral platforms</w:t>
      </w:r>
    </w:p>
    <w:p>
      <w:pPr>
        <w:pStyle w:val="ListParagraph"/>
        <w:numPr>
          <w:ilvl w:val="0"/>
          <w:numId w:val="2"/>
        </w:numPr>
        <w:spacing w:after="60" w:before="0"/>
      </w:pPr>
      <w:r>
        <w:rPr>
          <w:rFonts w:ascii="Arial" w:cs="Arial" w:eastAsia="Arial" w:hAnsi="Arial"/>
          <w:sz w:val="22"/>
          <w:szCs w:val="22"/>
        </w:rPr>
        <w:t xml:space="preserve">Clinical safety: emergency presentation detection, ACC redirect, compound presentation handling, PII protection</w:t>
      </w:r>
    </w:p>
    <w:p>
      <w:pPr>
        <w:pStyle w:val="ListParagraph"/>
        <w:numPr>
          <w:ilvl w:val="0"/>
          <w:numId w:val="2"/>
        </w:numPr>
        <w:spacing w:after="60" w:before="0"/>
      </w:pPr>
      <w:r>
        <w:rPr>
          <w:rFonts w:ascii="Arial" w:cs="Arial" w:eastAsia="Arial" w:hAnsi="Arial"/>
          <w:sz w:val="22"/>
          <w:szCs w:val="22"/>
        </w:rPr>
        <w:t xml:space="preserve">Non-functional requirements: performance, accessibility, security, privacy</w:t>
      </w:r>
    </w:p>
    <w:p>
      <w:pPr>
        <w:spacing w:after="120" w:before="0"/>
      </w:pPr>
      <w:r>
        <w:rPr>
          <w:rFonts w:ascii="Arial" w:cs="Arial" w:eastAsia="Arial" w:hAnsi="Arial"/>
          <w:sz w:val="22"/>
          <w:szCs w:val="22"/>
        </w:rPr>
        <w:t xml:space="preserve"/>
      </w:r>
    </w:p>
    <w:p>
      <w:pPr>
        <w:pStyle w:val="Heading2"/>
        <w:spacing w:after="120" w:before="220"/>
      </w:pPr>
      <w:r>
        <w:rPr>
          <w:rFonts w:ascii="Arial" w:cs="Arial" w:eastAsia="Arial" w:hAnsi="Arial"/>
          <w:sz w:val="22"/>
          <w:szCs w:val="22"/>
        </w:rPr>
        <w:t xml:space="preserve">5.2 Out of Scope</w:t>
      </w:r>
    </w:p>
    <w:p>
      <w:pPr>
        <w:pStyle w:val="ListParagraph"/>
        <w:numPr>
          <w:ilvl w:val="0"/>
          <w:numId w:val="2"/>
        </w:numPr>
        <w:spacing w:after="60" w:before="0"/>
      </w:pPr>
      <w:r>
        <w:rPr>
          <w:rFonts w:ascii="Arial" w:cs="Arial" w:eastAsia="Arial" w:hAnsi="Arial"/>
          <w:sz w:val="22"/>
          <w:szCs w:val="22"/>
        </w:rPr>
        <w:t xml:space="preserve">Referral submission and management workflows (covered by regional business requirements)</w:t>
      </w:r>
    </w:p>
    <w:p>
      <w:pPr>
        <w:pStyle w:val="ListParagraph"/>
        <w:numPr>
          <w:ilvl w:val="0"/>
          <w:numId w:val="2"/>
        </w:numPr>
        <w:spacing w:after="60" w:before="0"/>
      </w:pPr>
      <w:r>
        <w:rPr>
          <w:rFonts w:ascii="Arial" w:cs="Arial" w:eastAsia="Arial" w:hAnsi="Arial"/>
          <w:sz w:val="22"/>
          <w:szCs w:val="22"/>
        </w:rPr>
        <w:t xml:space="preserve">Delegation of imaging services to external providers (covered by Delegation Business Requirements)</w:t>
      </w:r>
    </w:p>
    <w:p>
      <w:pPr>
        <w:pStyle w:val="ListParagraph"/>
        <w:numPr>
          <w:ilvl w:val="0"/>
          <w:numId w:val="2"/>
        </w:numPr>
        <w:spacing w:after="60" w:before="0"/>
      </w:pPr>
      <w:r>
        <w:rPr>
          <w:rFonts w:ascii="Arial" w:cs="Arial" w:eastAsia="Arial" w:hAnsi="Arial"/>
          <w:sz w:val="22"/>
          <w:szCs w:val="22"/>
        </w:rPr>
        <w:t xml:space="preserve">Referral platform configuration (BPAC, ERMS, HealthLink)</w:t>
      </w:r>
    </w:p>
    <w:p>
      <w:pPr>
        <w:pStyle w:val="ListParagraph"/>
        <w:numPr>
          <w:ilvl w:val="0"/>
          <w:numId w:val="2"/>
        </w:numPr>
        <w:spacing w:after="60" w:before="0"/>
      </w:pPr>
      <w:r>
        <w:rPr>
          <w:rFonts w:ascii="Arial" w:cs="Arial" w:eastAsia="Arial" w:hAnsi="Arial"/>
          <w:sz w:val="22"/>
          <w:szCs w:val="22"/>
        </w:rPr>
        <w:t xml:space="preserve">Regional RIS/PACS integration</w:t>
      </w:r>
    </w:p>
    <w:p>
      <w:pPr>
        <w:pStyle w:val="ListParagraph"/>
        <w:numPr>
          <w:ilvl w:val="0"/>
          <w:numId w:val="2"/>
        </w:numPr>
        <w:spacing w:after="60" w:before="0"/>
      </w:pPr>
      <w:r>
        <w:rPr>
          <w:rFonts w:ascii="Arial" w:cs="Arial" w:eastAsia="Arial" w:hAnsi="Arial"/>
          <w:sz w:val="22"/>
          <w:szCs w:val="22"/>
        </w:rPr>
        <w:t xml:space="preserve">Actionable findings management (covered by separate solution architecture)</w:t>
      </w:r>
    </w:p>
    <w:p>
      <w:pPr>
        <w:pStyle w:val="ListParagraph"/>
        <w:numPr>
          <w:ilvl w:val="0"/>
          <w:numId w:val="2"/>
        </w:numPr>
        <w:spacing w:after="60" w:before="0"/>
      </w:pPr>
      <w:r>
        <w:rPr>
          <w:rFonts w:ascii="Arial" w:cs="Arial" w:eastAsia="Arial" w:hAnsi="Arial"/>
          <w:sz w:val="22"/>
          <w:szCs w:val="22"/>
        </w:rPr>
        <w:t xml:space="preserve">Clinical validation and formal approval for clinical use</w:t>
      </w:r>
    </w:p>
    <w:p>
      <w:pPr>
        <w:spacing w:after="120" w:before="0"/>
      </w:pPr>
      <w:r>
        <w:rPr>
          <w:rFonts w:ascii="Arial" w:cs="Arial" w:eastAsia="Arial" w:hAnsi="Arial"/>
          <w:sz w:val="22"/>
          <w:szCs w:val="22"/>
        </w:rPr>
        <w:t xml:space="preserve"/>
      </w:r>
    </w:p>
    <w:p>
      <w:pPr>
        <w:pStyle w:val="Heading1"/>
        <w:spacing w:after="160" w:before="280"/>
      </w:pPr>
      <w:r>
        <w:rPr>
          <w:rFonts w:ascii="Arial" w:cs="Arial" w:eastAsia="Arial" w:hAnsi="Arial"/>
          <w:sz w:val="22"/>
          <w:szCs w:val="22"/>
        </w:rPr>
        <w:t xml:space="preserve">6. Design Principles</w:t>
      </w:r>
    </w:p>
    <w:p>
      <w:pPr>
        <w:pStyle w:val="ListParagraph"/>
        <w:numPr>
          <w:ilvl w:val="0"/>
          <w:numId w:val="2"/>
        </w:numPr>
        <w:spacing w:after="60" w:before="0"/>
      </w:pPr>
      <w:r>
        <w:rPr>
          <w:rFonts w:ascii="Arial" w:cs="Arial" w:eastAsia="Arial" w:hAnsi="Arial"/>
          <w:sz w:val="22"/>
          <w:szCs w:val="22"/>
        </w:rPr>
        <w:t xml:space="preserve">Platform agnostic — the tools must be accessible from any modern browser without requiring specific platform integration, while also supporting embedded integration with referral platforms</w:t>
      </w:r>
    </w:p>
    <w:p>
      <w:pPr>
        <w:pStyle w:val="ListParagraph"/>
        <w:numPr>
          <w:ilvl w:val="0"/>
          <w:numId w:val="2"/>
        </w:numPr>
        <w:spacing w:after="60" w:before="0"/>
      </w:pPr>
      <w:r>
        <w:rPr>
          <w:rFonts w:ascii="Arial" w:cs="Arial" w:eastAsia="Arial" w:hAnsi="Arial"/>
          <w:sz w:val="22"/>
          <w:szCs w:val="22"/>
        </w:rPr>
        <w:t xml:space="preserve">No patient data at rest — the tools must not store, persist, or transmit identifiable patient information. Criteria data is reference content only</w:t>
      </w:r>
    </w:p>
    <w:p>
      <w:pPr>
        <w:pStyle w:val="ListParagraph"/>
        <w:numPr>
          <w:ilvl w:val="0"/>
          <w:numId w:val="2"/>
        </w:numPr>
        <w:spacing w:after="60" w:before="0"/>
      </w:pPr>
      <w:r>
        <w:rPr>
          <w:rFonts w:ascii="Arial" w:cs="Arial" w:eastAsia="Arial" w:hAnsi="Arial"/>
          <w:sz w:val="22"/>
          <w:szCs w:val="22"/>
        </w:rPr>
        <w:t xml:space="preserve">Referrer-facing first — the primary audience is the community healthcare professional at the point of referral. The tools must support a 15-minute GP consultation workflow</w:t>
      </w:r>
    </w:p>
    <w:p>
      <w:pPr>
        <w:pStyle w:val="ListParagraph"/>
        <w:numPr>
          <w:ilvl w:val="0"/>
          <w:numId w:val="2"/>
        </w:numPr>
        <w:spacing w:after="60" w:before="0"/>
      </w:pPr>
      <w:r>
        <w:rPr>
          <w:rFonts w:ascii="Arial" w:cs="Arial" w:eastAsia="Arial" w:hAnsi="Arial"/>
          <w:sz w:val="22"/>
          <w:szCs w:val="22"/>
        </w:rPr>
        <w:t xml:space="preserve">Criteria fidelity — the tools must accurately represent the national criteria as published. Clinical meaning must not be altered by display formatting or AI interpretation</w:t>
      </w:r>
    </w:p>
    <w:p>
      <w:pPr>
        <w:pStyle w:val="ListParagraph"/>
        <w:numPr>
          <w:ilvl w:val="0"/>
          <w:numId w:val="2"/>
        </w:numPr>
        <w:spacing w:after="60" w:before="0"/>
      </w:pPr>
      <w:r>
        <w:rPr>
          <w:rFonts w:ascii="Arial" w:cs="Arial" w:eastAsia="Arial" w:hAnsi="Arial"/>
          <w:sz w:val="22"/>
          <w:szCs w:val="22"/>
        </w:rPr>
        <w:t xml:space="preserve">Fail safe — the tools must never suppress safety-critical information. Emergency presentations, pathway redirects, and not-funded items must be prominently surfaced</w:t>
      </w:r>
    </w:p>
    <w:p>
      <w:pPr>
        <w:pStyle w:val="ListParagraph"/>
        <w:numPr>
          <w:ilvl w:val="0"/>
          <w:numId w:val="2"/>
        </w:numPr>
        <w:spacing w:after="60" w:before="0"/>
      </w:pPr>
      <w:r>
        <w:rPr>
          <w:rFonts w:ascii="Arial" w:cs="Arial" w:eastAsia="Arial" w:hAnsi="Arial"/>
          <w:sz w:val="22"/>
          <w:szCs w:val="22"/>
        </w:rPr>
        <w:t xml:space="preserve">Centralised content, regional delivery — criteria content is maintained nationally and published centrally, with regional customisation limited to HealthPathways links and localised guidance</w:t>
      </w:r>
    </w:p>
    <w:p>
      <w:pPr>
        <w:pStyle w:val="ListParagraph"/>
        <w:numPr>
          <w:ilvl w:val="0"/>
          <w:numId w:val="2"/>
        </w:numPr>
        <w:spacing w:after="60" w:before="0"/>
      </w:pPr>
      <w:r>
        <w:rPr>
          <w:rFonts w:ascii="Arial" w:cs="Arial" w:eastAsia="Arial" w:hAnsi="Arial"/>
          <w:sz w:val="22"/>
          <w:szCs w:val="22"/>
        </w:rPr>
        <w:t xml:space="preserve">Lower governance risk — the tools are positioned as a pragmatic alternative to per-form criteria logic embedded in referral platforms, with a simpler change management pathway</w:t>
      </w:r>
    </w:p>
    <w:p>
      <w:pPr>
        <w:spacing w:after="120" w:before="0"/>
      </w:pPr>
      <w:r>
        <w:rPr>
          <w:rFonts w:ascii="Arial" w:cs="Arial" w:eastAsia="Arial" w:hAnsi="Arial"/>
          <w:sz w:val="22"/>
          <w:szCs w:val="22"/>
        </w:rPr>
        <w:t xml:space="preserve"/>
      </w:r>
    </w:p>
    <w:p>
      <w:pPr>
        <w:pStyle w:val="Heading1"/>
        <w:spacing w:after="160" w:before="280"/>
      </w:pPr>
      <w:r>
        <w:rPr>
          <w:rFonts w:ascii="Arial" w:cs="Arial" w:eastAsia="Arial" w:hAnsi="Arial"/>
          <w:sz w:val="22"/>
          <w:szCs w:val="22"/>
        </w:rPr>
        <w:t xml:space="preserve">7. Roles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w:t>
            </w:r>
          </w:p>
        </w:tc>
        <w:tc>
          <w:tcPr>
            <w:tcW w:type="dxa" w:w="6526"/>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Responsibility</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20"/>
                <w:szCs w:val="20"/>
              </w:rPr>
              <w:t xml:space="preserve">Referrer (GP / NP)</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Uses the Criteria Viewer to identify applicable criteria for a referral, tick matching criteria, generate formatted output text for inclusion in the referral note. May use the Triage Advisor to pre-check referral quality before submission.</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20"/>
                <w:szCs w:val="20"/>
              </w:rPr>
              <w:t xml:space="preserve">PCRL / Triager</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Uses the Criteria Viewer as a reference tool during triage. May use the Triage Advisor to support assessment of referral notes against national criteria.</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20"/>
                <w:szCs w:val="20"/>
              </w:rPr>
              <w:t xml:space="preserve">CRR Programme — Clinical</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Validates criteria content and clinical logic. Reviews AI assessment accuracy. Provides feedback via QA system. Members include the CRR Clinical Working Group.</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20"/>
                <w:szCs w:val="20"/>
              </w:rPr>
              <w:t xml:space="preserve">CRR Programme — Digital</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Maintains criteria data using the Admin Tool. Publishes criteria updates. Monitors tool usage and performance. Manages technical infrastructure.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20"/>
                <w:szCs w:val="20"/>
              </w:rPr>
              <w:t xml:space="preserve">CRR Programme Director</w:t>
            </w:r>
          </w:p>
        </w:tc>
        <w:tc>
          <w:tcPr>
            <w:tcW w:type="dxa" w:w="6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Approves criteria changes and tool releases. Owns programme governance.</w:t>
            </w:r>
          </w:p>
        </w:tc>
      </w:tr>
    </w:tbl>
    <w:p>
      <w:pPr>
        <w:spacing w:after="120" w:before="0"/>
      </w:pPr>
      <w:r>
        <w:rPr>
          <w:rFonts w:ascii="Arial" w:cs="Arial" w:eastAsia="Arial" w:hAnsi="Arial"/>
          <w:sz w:val="22"/>
          <w:szCs w:val="22"/>
        </w:rPr>
        <w:t xml:space="preserve"/>
      </w:r>
    </w:p>
    <w:p>
      <w:pPr>
        <w:pStyle w:val="Heading1"/>
        <w:spacing w:after="160" w:before="280"/>
      </w:pPr>
      <w:r>
        <w:rPr>
          <w:rFonts w:ascii="Arial" w:cs="Arial" w:eastAsia="Arial" w:hAnsi="Arial"/>
          <w:sz w:val="22"/>
          <w:szCs w:val="22"/>
        </w:rPr>
        <w:t xml:space="preserve">8. Business Requirements</w:t>
      </w:r>
    </w:p>
    <w:p>
      <w:pPr>
        <w:spacing w:after="160" w:before="0"/>
      </w:pPr>
      <w:r>
        <w:rPr>
          <w:rFonts w:ascii="Arial" w:cs="Arial" w:eastAsia="Arial" w:hAnsi="Arial"/>
          <w:sz w:val="22"/>
          <w:szCs w:val="22"/>
        </w:rPr>
        <w:t xml:space="preserve">The following requirements define the expected capabilities and behaviour of the CRR Clinical Decision Support Tool Suite. Requirements are system-agnostic. Each requirement is assigned a priority: </w:t>
      </w:r>
      <w:r>
        <w:rPr>
          <w:rFonts w:ascii="Arial" w:cs="Arial" w:eastAsia="Arial" w:hAnsi="Arial"/>
          <w:b/>
          <w:bCs/>
          <w:sz w:val="22"/>
          <w:szCs w:val="22"/>
        </w:rPr>
        <w:t xml:space="preserve">Must have</w:t>
      </w:r>
      <w:r>
        <w:rPr>
          <w:rFonts w:ascii="Arial" w:cs="Arial" w:eastAsia="Arial" w:hAnsi="Arial"/>
          <w:sz w:val="22"/>
          <w:szCs w:val="22"/>
        </w:rPr>
        <w:t xml:space="preserve"> (essential for pilot), </w:t>
      </w:r>
      <w:r>
        <w:rPr>
          <w:rFonts w:ascii="Arial" w:cs="Arial" w:eastAsia="Arial" w:hAnsi="Arial"/>
          <w:b/>
          <w:bCs/>
          <w:sz w:val="22"/>
          <w:szCs w:val="22"/>
        </w:rPr>
        <w:t xml:space="preserve">Should have</w:t>
      </w:r>
      <w:r>
        <w:rPr>
          <w:rFonts w:ascii="Arial" w:cs="Arial" w:eastAsia="Arial" w:hAnsi="Arial"/>
          <w:sz w:val="22"/>
          <w:szCs w:val="22"/>
        </w:rPr>
        <w:t xml:space="preserve"> (expected for full deployment), or </w:t>
      </w:r>
      <w:r>
        <w:rPr>
          <w:rFonts w:ascii="Arial" w:cs="Arial" w:eastAsia="Arial" w:hAnsi="Arial"/>
          <w:b/>
          <w:bCs/>
          <w:sz w:val="22"/>
          <w:szCs w:val="22"/>
        </w:rPr>
        <w:t xml:space="preserve">Nice to have</w:t>
      </w:r>
      <w:r>
        <w:rPr>
          <w:rFonts w:ascii="Arial" w:cs="Arial" w:eastAsia="Arial" w:hAnsi="Arial"/>
          <w:sz w:val="22"/>
          <w:szCs w:val="22"/>
        </w:rPr>
        <w:t xml:space="preserve"> (desirable enhancement).</w:t>
      </w:r>
    </w:p>
    <w:p>
      <w:pPr>
        <w:pStyle w:val="Heading2"/>
        <w:spacing w:after="120" w:before="220"/>
      </w:pPr>
      <w:r>
        <w:rPr>
          <w:rFonts w:ascii="Arial" w:cs="Arial" w:eastAsia="Arial" w:hAnsi="Arial"/>
          <w:sz w:val="22"/>
          <w:szCs w:val="22"/>
        </w:rPr>
        <w:t xml:space="preserve">8.1 General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800"/>
        <w:gridCol w:w="4226"/>
        <w:gridCol w:w="1400"/>
      </w:tblGrid>
      <w:tr>
        <w:trPr>
          <w:tblHeader/>
        </w:trPr>
        <w:tc>
          <w:tcPr>
            <w:tcW w:type="dxa" w:w="7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w:t>
            </w:r>
          </w:p>
        </w:tc>
        <w:tc>
          <w:tcPr>
            <w:tcW w:type="dxa" w:w="9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Process Step</w:t>
            </w:r>
          </w:p>
        </w:tc>
        <w:tc>
          <w:tcPr>
            <w:tcW w:type="dxa" w:w="18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c>
          <w:tcPr>
            <w:tcW w:type="dxa" w:w="4226"/>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14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r>
      <w:tr>
        <w:tc>
          <w:tcPr>
            <w:tcW w:type="dxa" w:w="9026"/>
            <w:gridSpan w:val="5"/>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color w:val="003B5C"/>
                <w:sz w:val="18"/>
                <w:szCs w:val="18"/>
              </w:rPr>
              <w:t xml:space="preserve">GENERAL</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GEN-001</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Criteria data source</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All criteria displayed by the tools shall be sourced from the National Primary Care Referral Criteria for Imaging (authoritative PDF). The PDF is the single source of truth; the database shall be loadable from a structured JSON extract of the PDF.</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GEN-002</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No patient data at rest</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tools shall not store, persist, or transmit identifiable patient information. Referral note text entered into the Triage Advisor shall be processed in-session only and not persisted beyond the browser session.</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GEN-003</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PII auto-redaction</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If patient-identifiable information is detected in free-text input (e.g. NHI numbers, patient names), the system should auto-redact before processing rather than blocking the user.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GEN-004</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Priority code suppression</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Internal priority codes (P2, P3, S2, etc.) must never appear in referrer-facing UI. Timeframe language shall be used instead (e.g. Urgent — within two weeks).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GEN-005</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Not-funded suppression</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Items flagged as not routinely funded must never appear as selectable (tickable) criteria. They shall be displayed as informational text only.</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GEN-006</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Platform-agnostic access</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tools shall be accessible from any modern web browser without requiring specific platform integration, plugins, or client-side installation.</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GEN-007</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Regional localisation</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tools shall support regional customisation of HealthPathways links (7 NZ instances) and localised guidance content per modality and exam type, selectable by region parameter or user interface control.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GEN-008</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Centralised publishing</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Criteria content shall be maintained centrally and published to a national endpoint. A single publish action shall update all tools (Viewer, Triage Advisor) simultaneously.</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GEN-009</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Version identification</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Each tool shall display its current version number. Criteria data shall carry a version identifier that is visible to users and traceable to a specific publish event.</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GEN-010</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Attribution</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tools shall be attributed to Health New Zealand CRR Programme, not to individual developers.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bl>
    <w:p>
      <w:pPr>
        <w:spacing w:after="120" w:before="0"/>
      </w:pPr>
      <w:r>
        <w:rPr>
          <w:rFonts w:ascii="Arial" w:cs="Arial" w:eastAsia="Arial" w:hAnsi="Arial"/>
          <w:sz w:val="22"/>
          <w:szCs w:val="22"/>
        </w:rPr>
        <w:t xml:space="preserve"/>
      </w:r>
    </w:p>
    <w:p>
      <w:pPr>
        <w:pStyle w:val="Heading2"/>
        <w:spacing w:after="120" w:before="220"/>
      </w:pPr>
      <w:r>
        <w:rPr>
          <w:rFonts w:ascii="Arial" w:cs="Arial" w:eastAsia="Arial" w:hAnsi="Arial"/>
          <w:sz w:val="22"/>
          <w:szCs w:val="22"/>
        </w:rPr>
        <w:t xml:space="preserve">8.2 Criteria Viewer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800"/>
        <w:gridCol w:w="4226"/>
        <w:gridCol w:w="1400"/>
      </w:tblGrid>
      <w:tr>
        <w:trPr>
          <w:tblHeader/>
        </w:trPr>
        <w:tc>
          <w:tcPr>
            <w:tcW w:type="dxa" w:w="7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w:t>
            </w:r>
          </w:p>
        </w:tc>
        <w:tc>
          <w:tcPr>
            <w:tcW w:type="dxa" w:w="9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Process Step</w:t>
            </w:r>
          </w:p>
        </w:tc>
        <w:tc>
          <w:tcPr>
            <w:tcW w:type="dxa" w:w="18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c>
          <w:tcPr>
            <w:tcW w:type="dxa" w:w="4226"/>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14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r>
      <w:tr>
        <w:tc>
          <w:tcPr>
            <w:tcW w:type="dxa" w:w="9026"/>
            <w:gridSpan w:val="5"/>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color w:val="003B5C"/>
                <w:sz w:val="18"/>
                <w:szCs w:val="18"/>
              </w:rPr>
              <w:t xml:space="preserve">CRITERIA VIEWER — EXAM SELECTION</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CV-001</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1.0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Exam type selector</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 shall present selection of imaging modalities: CT, Ultrasound, X-Ray, and MRI.</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CV-002</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1.0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Anatomical site selector</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For multi-site exams, the tool shall display an anatomical site selector (e.g. CT: Head, CAP, Chest, KUB, Colonography, IVU, Sinus). Criteria for selected sites shall be displayed.</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CV-003</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1.0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Paediatric toggle</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 shall support a paediatric criteria toggle that switches between adult and paediatric criteria sets. Paediatric criteria cover 14 exam/site combinations (89 items).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CV-004</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1.0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Exam reset</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Switching exams shall reset all ticked criteria and clear all generated output.</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9026"/>
            <w:gridSpan w:val="5"/>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color w:val="003B5C"/>
                <w:sz w:val="18"/>
                <w:szCs w:val="18"/>
              </w:rPr>
              <w:t xml:space="preserve">CRITERIA VIEWER — CRITERIA DISPLAY</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CV-005</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2.0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Indication-based grouping</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Criteria shall be displayed grouped by clinical indication within each anatomical site.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CV-006</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2.0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Priority badges</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Each indication group shall display a colour-coded timeframe badge indicating clinical priority using referrer-appropriate language.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CV-007</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2.0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Gateway badge</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Criteria requiring mandatory prerequisites (e.g. BPAC tool completion, specialist endorsement) shall be flagged with a visible GATEWAY badge.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CV-008</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2.0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Lab value badge</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Criteria requiring specific numeric lab results shall be flagged with a LAB VALUE REQUIRED badge.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CV-009</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2.0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Mandatory group badge</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Criteria groups where all items must be met shall be flagged with a MANDATORY indicator.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CV-010</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2.0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Eligibility requirements</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Prerequisites and eligibility conditions shall be displayed in a prominent information block above the criteria list. These shall not be interactive (no checkboxes).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CV-011</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2.0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Not-funded display</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Not routinely funded scenarios shall be displayed as informational text below the criteria list. These shall not be interactive.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CV-012</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2.0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Guidance and HealthPathways</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Each exam/site shall display relevant clinical guidance text and a link to the applicable HealthPathways page, with the HealthPathways domain swapped based on the selected region.</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CV-013</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2.0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Footnotes and definitions</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Supporting footnotes, definitions, and alternative management notes from the criteria source shall be displayed alongside the criteria.</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CV-014</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2.0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Compound criteria logic</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Criteria items containing multiple sub-elements with logical relationships (all-of, any-of, mandatory-plus-pick) shall be rendered with appropriate visual grouping and logic indicators.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r>
        <w:tc>
          <w:tcPr>
            <w:tcW w:type="dxa" w:w="9026"/>
            <w:gridSpan w:val="5"/>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color w:val="003B5C"/>
                <w:sz w:val="18"/>
                <w:szCs w:val="18"/>
              </w:rPr>
              <w:t xml:space="preserve">CRITERIA VIEWER — OUTPUT GENERATION</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CV-015</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3.0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Criteria ticking</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In active mode, each clinical criterion shall have an interactive checkbox. Ticking a criterion shall add it to the output text.</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CV-016</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3.0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Live output preview</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A live preview panel shall display all ticked criteria as a visual list, updating immediately as criteria are ticked or unticked.</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CV-017</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3.0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Text output</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A formatted text output area shall display clipboard-ready text containing exam name, site(s), and ticked criteria in shorthand format. No date, patient, or header text shall be included.</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CV-018</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3.0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Copy to clipboard</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 shall provide a copy-to-clipboard action for the formatted output text.</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CV-019</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3.0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Send to referral form</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When launched from a referral platform, the tool shall support sending the formatted output text back to the calling form (e.g. via postMessage or callback URL).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r>
        <w:tc>
          <w:tcPr>
            <w:tcW w:type="dxa" w:w="9026"/>
            <w:gridSpan w:val="5"/>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color w:val="003B5C"/>
                <w:sz w:val="18"/>
                <w:szCs w:val="18"/>
              </w:rPr>
              <w:t xml:space="preserve">CRITERIA VIEWER — INTEGRATION MODES</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CV-020</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4.0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Standalone mode</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 shall function as a standalone browser-based application with full exam selection, criteria display, and output generation.</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CV-021</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4.0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URL-parameterised launch</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 shall accept URL parameters (exam, site(s), region) to pre-select criteria display. The exam selection UI shall remain visible showing the current selection, allowing the user to navigate to other exams if needed.</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CV-022</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4.0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Passive mode</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When launched with mode=passive, the tool shall display criteria in read-only format. All checkboxes and copy/action buttons shall be hidden.</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CV-023</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4.0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Referral platform integration</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 shall be embeddable within referral platforms (HealthLink, ERMS, BPAC) via side panel, modal overlay, or new tab/window integration patterns.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Nice to have</w:t>
            </w:r>
          </w:p>
        </w:tc>
      </w:tr>
      <w:tr>
        <w:tc>
          <w:tcPr>
            <w:tcW w:type="dxa" w:w="9026"/>
            <w:gridSpan w:val="5"/>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color w:val="003B5C"/>
                <w:sz w:val="18"/>
                <w:szCs w:val="18"/>
              </w:rPr>
              <w:t xml:space="preserve">CRITERIA VIEWER — QUALITY ASSURANCE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CV-024</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5.0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QA review submission</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 shall provide a mechanism for clinical reviewers to submit quality assessments of criteria display accuracy.</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CV-025</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5.0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Usage telemetry</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 shall log anonymised usage events (exam selected, criteria ticked, copy actions, HealthPathways clicks) for programme analytics without capturing patient data.</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bl>
    <w:p>
      <w:pPr>
        <w:spacing w:after="120" w:before="0"/>
      </w:pPr>
      <w:r>
        <w:rPr>
          <w:rFonts w:ascii="Arial" w:cs="Arial" w:eastAsia="Arial" w:hAnsi="Arial"/>
          <w:sz w:val="22"/>
          <w:szCs w:val="22"/>
        </w:rPr>
        <w:t xml:space="preserve"/>
      </w:r>
    </w:p>
    <w:p>
      <w:pPr>
        <w:pStyle w:val="Heading2"/>
        <w:spacing w:after="120" w:before="220"/>
      </w:pPr>
      <w:r>
        <w:rPr>
          <w:rFonts w:ascii="Arial" w:cs="Arial" w:eastAsia="Arial" w:hAnsi="Arial"/>
          <w:sz w:val="22"/>
          <w:szCs w:val="22"/>
        </w:rPr>
        <w:t xml:space="preserve">8.3 Triage Advisor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800"/>
        <w:gridCol w:w="4226"/>
        <w:gridCol w:w="1400"/>
      </w:tblGrid>
      <w:tr>
        <w:trPr>
          <w:tblHeader/>
        </w:trPr>
        <w:tc>
          <w:tcPr>
            <w:tcW w:type="dxa" w:w="7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w:t>
            </w:r>
          </w:p>
        </w:tc>
        <w:tc>
          <w:tcPr>
            <w:tcW w:type="dxa" w:w="9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Process Step</w:t>
            </w:r>
          </w:p>
        </w:tc>
        <w:tc>
          <w:tcPr>
            <w:tcW w:type="dxa" w:w="18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c>
          <w:tcPr>
            <w:tcW w:type="dxa" w:w="4226"/>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14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r>
      <w:tr>
        <w:tc>
          <w:tcPr>
            <w:tcW w:type="dxa" w:w="9026"/>
            <w:gridSpan w:val="5"/>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color w:val="003B5C"/>
                <w:sz w:val="18"/>
                <w:szCs w:val="18"/>
              </w:rPr>
              <w:t xml:space="preserve">TRIAGE ADVISOR — REFERRAL INPUT</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TA-001</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1.0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Free-text referral input</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 shall accept free-text referral notes as input, supporting the full range of GP referral writing styles and abbreviations.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TA-002</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1.0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Exam auto-detection</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 shall automatically detect the imaging modality and anatomical site from the referral note text when possible, with the ability for the user to manually correct.</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TA-003</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1.0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Paediatric detection</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 shall detect paediatric patients from the referral note (age mentions, keywords including yr abbreviation) and automatically select paediatric criteria when applicable.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TA-004</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1.0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Example referrals</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 shall provide a set of example referral notes that can be loaded and assessed to demonstrate functionality. Clicking an example shall load the note and immediately run the assessment.</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TA-005</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1.0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Receive referral from calling application</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 shall support receiving the referral note text, sex, age (not date of birth), and relevant lab values from a calling application via URL parameters or postMessage, avoiding re-entry of available data.</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r>
        <w:tc>
          <w:tcPr>
            <w:tcW w:type="dxa" w:w="9026"/>
            <w:gridSpan w:val="5"/>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color w:val="003B5C"/>
                <w:sz w:val="18"/>
                <w:szCs w:val="18"/>
              </w:rPr>
              <w:t xml:space="preserve">TRIAGE ADVISOR — AI ASSESSMENT</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TA-006</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2.0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Criteria-based assessment</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 shall assess the referral note against the national criteria. The assessment should not be restricted to the auto-detected exam/site; the AI should consider whether the referral note suggests a different or additional exam may be more appropriate.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TA-007</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2.0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Structured output</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assessment shall produce structured output including: verdict (approve/decline/insufficient), matched criteria with references, missing or unclear elements, and confidence indicators.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TA-008</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2.0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LLM-based analysis</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 shall use a large language model (currently Claude Sonnet 4) to perform natural language analysis of referral notes. The model shall be configurable.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TA-009</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2.0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System prompt control</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assessment shall be governed by a structured system prompt that defines assessment rules, safety logic, and output format. The prompt shall be stored in the database with version control and audit trail of changes, supporting rollback to previous versions.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TA-010</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2.0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Documentation standard</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 shall support a documentation standard setting (strict vs inferred reading mode) that governs how the AI interprets clinical shorthand and implied information. The default mode shall be determined through clinical evaluation feedback. The setting should be configurable without code changes.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r>
        <w:tc>
          <w:tcPr>
            <w:tcW w:type="dxa" w:w="9026"/>
            <w:gridSpan w:val="5"/>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color w:val="003B5C"/>
                <w:sz w:val="18"/>
                <w:szCs w:val="18"/>
              </w:rPr>
              <w:t xml:space="preserve">TRIAGE ADVISOR — SAFETY AND PATHWAY LOGIC</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TA-011</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3.0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Emergency detection (Step 0)</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Before assessing criteria, the tool shall check for emergency presentations (pneumothorax, SAH, cauda equina, torsion, AAA, haemoptysis) and advise the user to redirect to the appropriate emergency pathway. This check takes absolute priority over all other assessment logic.</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TA-012</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3.0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ACC redirect</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 shall detect trauma mechanisms in the referral note and advise the user to redirect to the ACC funding pathway rather than assessing against CRR criteria.</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TA-013</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3.0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Compound presentation handling</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When a referral note contains both a redirect trigger (emergency/ACC) and CRR-eligible criteria elements, the tool shall apply the redirect and not assess CRR criteria.</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TA-014</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3.0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Temporal ambiguity flagging</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When referral notes use ambiguous timing language that could meet or miss a criteria threshold, the tool shall flag the ambiguity for clarification rather than assuming the threshold is met.</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TA-015</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3.0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Risk modifier handling</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Epidemiological risk modifiers (e.g. especially aged 50+) shall be treated as contextual information, not as hard age cutoffs for criteria eligibility.</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TA-016</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3.0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Lab value assessment</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When criteria require specific lab values, the tool shall check whether the referral note documents the required values and flag any that are missing.</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TA-017</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3.0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Gateway requirement assessment</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When criteria require gateway prerequisites (BPAC tool, specialist endorsement), the tool shall check whether documentation of completion is present in the note.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9026"/>
            <w:gridSpan w:val="5"/>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color w:val="003B5C"/>
                <w:sz w:val="18"/>
                <w:szCs w:val="18"/>
              </w:rPr>
              <w:t xml:space="preserve">TRIAGE ADVISOR — DISPLAY AND INTERACTION</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TA-018</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4.0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Criteria reference panel</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 shall display the full criteria for the assessed exam alongside the AI assessment, allowing the user to cross-reference the assessment against the source criteria.</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TA-019</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4.0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Safety alert display</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Safety alerts (emergency, ACC redirect) shall be prominently displayed with appropriate visual severity indicators.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TA-020</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4.0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Cost and token display</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 shall display the estimated cost and token usage for each assessment call.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TA-021</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4.0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Privacy banner</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 shall display a prominent warning that no patient-identifiable information should be entered, with programme disclaimers about prototype status.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9026"/>
            <w:gridSpan w:val="5"/>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color w:val="003B5C"/>
                <w:sz w:val="18"/>
                <w:szCs w:val="18"/>
              </w:rPr>
              <w:t xml:space="preserve">TRIAGE ADVISOR — MODEL COMPARISON</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TA-022</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5.0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Compare models mode</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 shall provide a toggle to activate side-by-side comparison of two LLM models using the identical system prompt, criteria data, and referral note.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Nice to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TA-023</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5.0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Comparison display</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Compare mode results shall be displayed side by side with a summary indicating whether the models agree or differ on the verdict.</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Nice to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TA-024</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5.0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Comparison log</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Each comparison shall be saved to a log accessible within the tool, with individual entries exportable as markdown reports.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Nice to have</w:t>
            </w:r>
          </w:p>
        </w:tc>
      </w:tr>
      <w:tr>
        <w:tc>
          <w:tcPr>
            <w:tcW w:type="dxa" w:w="9026"/>
            <w:gridSpan w:val="5"/>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color w:val="003B5C"/>
                <w:sz w:val="18"/>
                <w:szCs w:val="18"/>
              </w:rPr>
              <w:t xml:space="preserve">TRIAGE ADVISOR — QUALITY ASSURANCE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TA-025</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6.0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QA review system</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 shall provide a QA review mechanism for clinical reviewers to score AI assessment accuracy (1–5 scale), record reviewer identity and role, and store reviews in the database. Reviews shall be visible in the Admin Tool.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TA-026</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6.0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Assessment audit log</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For audit and review purposes, the tool shall record each assessment including the referral note text submitted, the AI advice given, and the criteria data version used. This logging shall be configurable (on/off) to manage data volume.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TA-027</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6.0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Usage logging</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 shall log anonymised usage events (assessment count, model, verdict, cost, token usage) for programme analytics.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bl>
    <w:p>
      <w:pPr>
        <w:spacing w:after="120" w:before="0"/>
      </w:pPr>
      <w:r>
        <w:rPr>
          <w:rFonts w:ascii="Arial" w:cs="Arial" w:eastAsia="Arial" w:hAnsi="Arial"/>
          <w:sz w:val="22"/>
          <w:szCs w:val="22"/>
        </w:rPr>
        <w:t xml:space="preserve"/>
      </w:r>
    </w:p>
    <w:p>
      <w:pPr>
        <w:pStyle w:val="Heading2"/>
        <w:spacing w:after="120" w:before="220"/>
      </w:pPr>
      <w:r>
        <w:rPr>
          <w:rFonts w:ascii="Arial" w:cs="Arial" w:eastAsia="Arial" w:hAnsi="Arial"/>
          <w:sz w:val="22"/>
          <w:szCs w:val="22"/>
        </w:rPr>
        <w:t xml:space="preserve">8.4 Admin Tool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800"/>
        <w:gridCol w:w="4226"/>
        <w:gridCol w:w="1400"/>
      </w:tblGrid>
      <w:tr>
        <w:trPr>
          <w:tblHeader/>
        </w:trPr>
        <w:tc>
          <w:tcPr>
            <w:tcW w:type="dxa" w:w="7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w:t>
            </w:r>
          </w:p>
        </w:tc>
        <w:tc>
          <w:tcPr>
            <w:tcW w:type="dxa" w:w="9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Process Step</w:t>
            </w:r>
          </w:p>
        </w:tc>
        <w:tc>
          <w:tcPr>
            <w:tcW w:type="dxa" w:w="18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c>
          <w:tcPr>
            <w:tcW w:type="dxa" w:w="4226"/>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14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r>
      <w:tr>
        <w:tc>
          <w:tcPr>
            <w:tcW w:type="dxa" w:w="9026"/>
            <w:gridSpan w:val="5"/>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color w:val="003B5C"/>
                <w:sz w:val="18"/>
                <w:szCs w:val="18"/>
              </w:rPr>
              <w:t xml:space="preserve">ADMIN TOOL — CRITERIA MANAGEMENT</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AD-001</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1.0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Criteria browsing</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 shall display all criteria content in a browsable, searchable interface organised by modality, exam, and anatomical site.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AD-002</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1.0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Criteria editing</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 shall allow editing of criteria text, priority classification, badges (gateway, lab value, mandatory), guidance narratives, and eligibility notes. The editing interface should present content in a similar layout to what the end user will see, supporting click-to-edit and drag-and-drop to move criteria between groupings.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AD-003</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1.0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Change review and approval</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Proposed changes shall be presented individually for review before being saved. The tool shall display what changed and why. An approval mechanism shall be provided so that changes require explicit approval before publication.</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9026"/>
            <w:gridSpan w:val="5"/>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color w:val="003B5C"/>
                <w:sz w:val="18"/>
                <w:szCs w:val="18"/>
              </w:rPr>
              <w:t xml:space="preserve">ADMIN TOOL — VERSION MANAGEMENT</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AD-004</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2.0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Version snapshots</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 shall support creation of version snapshots of the criteria data with automatic default version/build numbering so that manual entry is not required for each publish.</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AD-005</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2.0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Version history</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 shall maintain a history of published versions with the ability to view and compare.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AD-006</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2.0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Publish to production</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 shall support a publish action that updates the live criteria endpoint (KV cache) used by the Criteria Viewer and Triage Advisor. A single publish action shall update all consumer tools simultaneously.</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AD-007</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2.0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Version restore</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 shall support restoring a previous version of the criteria data, including rollback of regionalisation data.</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r>
        <w:tc>
          <w:tcPr>
            <w:tcW w:type="dxa" w:w="9026"/>
            <w:gridSpan w:val="5"/>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color w:val="003B5C"/>
                <w:sz w:val="18"/>
                <w:szCs w:val="18"/>
              </w:rPr>
              <w:t xml:space="preserve">ADMIN TOOL — AUDIT AND MONITORING</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AD-008</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3.0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Audit log</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Every edit, publish, and delete action shall be tracked with who, when, and what changed.</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AD-009</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3.0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Usage monitoring</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 shall display usage statistics from the Criteria Viewer and Triage Advisor, including assessment volumes, model usage, and viewer telemetry.</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r>
        <w:tc>
          <w:tcPr>
            <w:tcW w:type="dxa" w:w="9026"/>
            <w:gridSpan w:val="5"/>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color w:val="003B5C"/>
                <w:sz w:val="18"/>
                <w:szCs w:val="18"/>
              </w:rPr>
              <w:t xml:space="preserve">ADMIN TOOL — DATA LOAD</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AD-010</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4.0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Bulk data load</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 shall support bulk loading of criteria data from a structured JSON file derived from the authoritative PDF source. The bulk load process must also be version controlled and support rollback.</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AD-011</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4.0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PDF import disabled</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Direct PDF import via the Admin Tool shall not be supported. Previous implementation caused data corruption (duplicate items with imp_ prefix). Criteria data shall be loaded from pre-validated JSON only.</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AD-012</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4.0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Paediatric ID separation</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Paediatric criteria items shall have distinct identifiers (with _p suffix) to prevent collisions with adult item IDs.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AD-013</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4.0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Regionalisation data</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data load process shall preserve and re-apply regional customisation data (HealthPathways URLs, region-specific overrides) after a bulk reload. Regionalisation data must be version controlled with rollback support.</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bl>
    <w:p>
      <w:pPr>
        <w:spacing w:after="120" w:before="0"/>
      </w:pPr>
      <w:r>
        <w:rPr>
          <w:rFonts w:ascii="Arial" w:cs="Arial" w:eastAsia="Arial" w:hAnsi="Arial"/>
          <w:sz w:val="22"/>
          <w:szCs w:val="22"/>
        </w:rPr>
        <w:t xml:space="preserve"/>
      </w:r>
    </w:p>
    <w:p>
      <w:pPr>
        <w:pStyle w:val="Heading1"/>
        <w:spacing w:after="160" w:before="280"/>
      </w:pPr>
      <w:r>
        <w:rPr>
          <w:rFonts w:ascii="Arial" w:cs="Arial" w:eastAsia="Arial" w:hAnsi="Arial"/>
          <w:sz w:val="22"/>
          <w:szCs w:val="22"/>
        </w:rPr>
        <w:t xml:space="preserve">9.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800"/>
        <w:gridCol w:w="4226"/>
        <w:gridCol w:w="1400"/>
      </w:tblGrid>
      <w:tr>
        <w:trPr>
          <w:tblHeader/>
        </w:trPr>
        <w:tc>
          <w:tcPr>
            <w:tcW w:type="dxa" w:w="7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w:t>
            </w:r>
          </w:p>
        </w:tc>
        <w:tc>
          <w:tcPr>
            <w:tcW w:type="dxa" w:w="9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Process Step</w:t>
            </w:r>
          </w:p>
        </w:tc>
        <w:tc>
          <w:tcPr>
            <w:tcW w:type="dxa" w:w="18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c>
          <w:tcPr>
            <w:tcW w:type="dxa" w:w="4226"/>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14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r>
      <w:tr>
        <w:tc>
          <w:tcPr>
            <w:tcW w:type="dxa" w:w="9026"/>
            <w:gridSpan w:val="5"/>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color w:val="003B5C"/>
                <w:sz w:val="18"/>
                <w:szCs w:val="18"/>
              </w:rPr>
              <w:t xml:space="preserve">PERFORMANCE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NFR-001</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Criteria load time</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Criteria data shall load within 2 seconds for the Criteria Viewer using edge-cached delivery (KV). Users shall not wait for database queries on each page load.</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NFR-002</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AI assessment time</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Triage Advisor assessments shall complete within 15 seconds for typical referral notes.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NFR-003</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Assessment data storage</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system shall support storage of assessment audit logs (referral note, AI response, criteria version) at expected usage volumes. Storage capacity requirements shall be determined during pilot evaluation. A configurable retention or archival policy shall be supported.</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r>
        <w:tc>
          <w:tcPr>
            <w:tcW w:type="dxa" w:w="9026"/>
            <w:gridSpan w:val="5"/>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color w:val="003B5C"/>
                <w:sz w:val="18"/>
                <w:szCs w:val="18"/>
              </w:rPr>
              <w:t xml:space="preserve">SECURITY</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NFR-004</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Admin authentication</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Admin Tool shall require authenticated access via Cloudflare Access or equivalent zero-trust mechanism. Admin API endpoints shall require an API key header.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NFR-005</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Public read-only access</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Criteria Viewer and Triage Advisor shall be accessible without authentication for pilot purposes, with the ability to add authentication for production deployment.</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NFR-006</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API key protection</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LLM API keys shall not be exposed in client-side code. API calls shall be proxied through a server-side worker.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9026"/>
            <w:gridSpan w:val="5"/>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color w:val="003B5C"/>
                <w:sz w:val="18"/>
                <w:szCs w:val="18"/>
              </w:rPr>
              <w:t xml:space="preserve">PRIVACY</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NFR-007</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No PII storage</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No patient-identifiable information shall be stored in any tool database, cache, or log. Referral note text is processed in-session only.</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NFR-008</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NHI detection</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If NHI numbers are detected in input, they shall be auto-redacted before any API call or storage. Both legacy (modulus 11) and new (modulus 23) NHI formats shall be supported.</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NFR-009</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Data residency</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For production deployment, AI API calls should use an HNZ-approved endpoint with appropriate data residency (Azure OpenAI, Australia East is approved as an alternative).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r>
        <w:tc>
          <w:tcPr>
            <w:tcW w:type="dxa" w:w="9026"/>
            <w:gridSpan w:val="5"/>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color w:val="003B5C"/>
                <w:sz w:val="18"/>
                <w:szCs w:val="18"/>
              </w:rPr>
              <w:t xml:space="preserve">ACCESSIBILITY</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NFR-010</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Browser compatibility</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Criteria Viewer shall function in all modern browsers. The Triage Advisor requires a modern browser with fetch API support.</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NFR-011</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Responsive design</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tools shall be usable on desktop (primary) and tablet devices.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Should have</w:t>
            </w:r>
          </w:p>
        </w:tc>
      </w:tr>
      <w:tr>
        <w:tc>
          <w:tcPr>
            <w:tcW w:type="dxa" w:w="9026"/>
            <w:gridSpan w:val="5"/>
            <w:tcBorders>
              <w:top w:val="single" w:color="CCCCCC" w:sz="4"/>
              <w:left w:val="single" w:color="CCCCCC" w:sz="4"/>
              <w:bottom w:val="single" w:color="CCCCCC" w:sz="4"/>
              <w:right w:val="single" w:color="CCCCCC" w:sz="4"/>
            </w:tcBorders>
            <w:shd w:fill="EAF2F7" w:val="clear"/>
            <w:tcMar>
              <w:top w:type="dxa" w:w="80"/>
              <w:left w:type="dxa" w:w="120"/>
              <w:bottom w:type="dxa" w:w="80"/>
              <w:right w:type="dxa" w:w="120"/>
            </w:tcMar>
          </w:tcPr>
          <w:p>
            <w:pPr>
              <w:spacing w:after="0" w:before="0"/>
            </w:pPr>
            <w:r>
              <w:rPr>
                <w:rFonts w:ascii="Arial" w:cs="Arial" w:eastAsia="Arial" w:hAnsi="Arial"/>
                <w:b/>
                <w:bCs/>
                <w:color w:val="003B5C"/>
                <w:sz w:val="18"/>
                <w:szCs w:val="18"/>
              </w:rPr>
              <w:t xml:space="preserve">MAINTAINABILITY</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NFR-012</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Criteria data independence</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criteria data model shall be independent of the display tools. Changes to criteria content shall not require code changes to the Viewer or Triage Advisor.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Must have</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NFR-013</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b/>
                <w:bCs/>
                <w:sz w:val="18"/>
                <w:szCs w:val="18"/>
              </w:rPr>
              <w:t xml:space="preserve">FHIR compatibility path</w:t>
            </w:r>
          </w:p>
        </w:tc>
        <w:tc>
          <w:tcPr>
            <w:tcW w:type="dxa" w:w="42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The internal data model shall be designed to support future serialisation to FHIR Questionnaire / CQL format without requiring a full data restructure.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8"/>
                <w:szCs w:val="18"/>
              </w:rPr>
              <w:t xml:space="preserve">Nice to have</w:t>
            </w:r>
          </w:p>
        </w:tc>
      </w:tr>
    </w:tbl>
    <w:p>
      <w:pPr>
        <w:spacing w:after="120" w:before="0"/>
      </w:pPr>
      <w:r>
        <w:rPr>
          <w:rFonts w:ascii="Arial" w:cs="Arial" w:eastAsia="Arial" w:hAnsi="Arial"/>
          <w:sz w:val="22"/>
          <w:szCs w:val="22"/>
        </w:rPr>
        <w:t xml:space="preserve"/>
      </w:r>
    </w:p>
    <w:p>
      <w:pPr>
        <w:pStyle w:val="Heading1"/>
        <w:spacing w:after="160" w:before="280"/>
      </w:pPr>
      <w:r>
        <w:rPr>
          <w:rFonts w:ascii="Arial" w:cs="Arial" w:eastAsia="Arial" w:hAnsi="Arial"/>
          <w:sz w:val="22"/>
          <w:szCs w:val="22"/>
        </w:rPr>
        <w:t xml:space="preserve">10. Future Considerations</w:t>
      </w:r>
    </w:p>
    <w:p>
      <w:pPr>
        <w:spacing w:after="120" w:before="0"/>
      </w:pPr>
      <w:r>
        <w:rPr>
          <w:rFonts w:ascii="Arial" w:cs="Arial" w:eastAsia="Arial" w:hAnsi="Arial"/>
          <w:sz w:val="22"/>
          <w:szCs w:val="22"/>
        </w:rPr>
        <w:t xml:space="preserve">The following capabilities are identified for future phases but are not in scope for the current requirements:</w:t>
      </w:r>
    </w:p>
    <w:p>
      <w:pPr>
        <w:pStyle w:val="ListParagraph"/>
        <w:numPr>
          <w:ilvl w:val="0"/>
          <w:numId w:val="2"/>
        </w:numPr>
        <w:spacing w:after="60" w:before="0"/>
      </w:pPr>
      <w:r>
        <w:rPr>
          <w:rFonts w:ascii="Arial" w:cs="Arial" w:eastAsia="Arial" w:hAnsi="Arial"/>
          <w:sz w:val="22"/>
          <w:szCs w:val="22"/>
        </w:rPr>
        <w:t xml:space="preserve">FHIR Questionnaire and CQL serialisation of the criteria data model for standards-based interoperability</w:t>
      </w:r>
    </w:p>
    <w:p>
      <w:pPr>
        <w:pStyle w:val="ListParagraph"/>
        <w:numPr>
          <w:ilvl w:val="0"/>
          <w:numId w:val="2"/>
        </w:numPr>
        <w:spacing w:after="60" w:before="0"/>
      </w:pPr>
      <w:r>
        <w:rPr>
          <w:rFonts w:ascii="Arial" w:cs="Arial" w:eastAsia="Arial" w:hAnsi="Arial"/>
          <w:sz w:val="22"/>
          <w:szCs w:val="22"/>
        </w:rPr>
        <w:t xml:space="preserve">PMS integration for in-workflow delivery of criteria support within GP practice management systems</w:t>
      </w:r>
    </w:p>
    <w:p>
      <w:pPr>
        <w:pStyle w:val="ListParagraph"/>
        <w:numPr>
          <w:ilvl w:val="0"/>
          <w:numId w:val="2"/>
        </w:numPr>
        <w:spacing w:after="60" w:before="0"/>
      </w:pPr>
      <w:r>
        <w:rPr>
          <w:rFonts w:ascii="Arial" w:cs="Arial" w:eastAsia="Arial" w:hAnsi="Arial"/>
          <w:sz w:val="22"/>
          <w:szCs w:val="22"/>
        </w:rPr>
        <w:t xml:space="preserve">Multi-model comparison framework for ongoing LLM evaluation and model selection</w:t>
      </w:r>
    </w:p>
    <w:p>
      <w:pPr>
        <w:pStyle w:val="ListParagraph"/>
        <w:numPr>
          <w:ilvl w:val="0"/>
          <w:numId w:val="2"/>
        </w:numPr>
        <w:spacing w:after="60" w:before="0"/>
      </w:pPr>
      <w:r>
        <w:rPr>
          <w:rFonts w:ascii="Arial" w:cs="Arial" w:eastAsia="Arial" w:hAnsi="Arial"/>
          <w:sz w:val="22"/>
          <w:szCs w:val="22"/>
        </w:rPr>
        <w:t xml:space="preserve">Automated criteria extraction from updated PDF publications</w:t>
      </w:r>
    </w:p>
    <w:p>
      <w:pPr>
        <w:pStyle w:val="ListParagraph"/>
        <w:numPr>
          <w:ilvl w:val="0"/>
          <w:numId w:val="2"/>
        </w:numPr>
        <w:spacing w:after="60" w:before="0"/>
      </w:pPr>
      <w:r>
        <w:rPr>
          <w:rFonts w:ascii="Arial" w:cs="Arial" w:eastAsia="Arial" w:hAnsi="Arial"/>
          <w:sz w:val="22"/>
          <w:szCs w:val="22"/>
        </w:rPr>
        <w:t xml:space="preserve">Deep referral platform integration with bidirectional data exchange (demographics, lab values, completed output)</w:t>
      </w:r>
    </w:p>
    <w:p>
      <w:pPr>
        <w:pStyle w:val="ListParagraph"/>
        <w:numPr>
          <w:ilvl w:val="0"/>
          <w:numId w:val="2"/>
        </w:numPr>
        <w:spacing w:after="60" w:before="0"/>
      </w:pPr>
      <w:r>
        <w:rPr>
          <w:rFonts w:ascii="Arial" w:cs="Arial" w:eastAsia="Arial" w:hAnsi="Arial"/>
          <w:sz w:val="22"/>
          <w:szCs w:val="22"/>
        </w:rPr>
        <w:t xml:space="preserve">Clinical audit reporting from aggregated usage and QA data</w:t>
      </w:r>
    </w:p>
    <w:p>
      <w:pPr>
        <w:spacing w:after="120" w:before="0"/>
      </w:pPr>
      <w:r>
        <w:rPr>
          <w:rFonts w:ascii="Arial" w:cs="Arial" w:eastAsia="Arial" w:hAnsi="Arial"/>
          <w:sz w:val="22"/>
          <w:szCs w:val="22"/>
        </w:rPr>
        <w:t xml:space="preserve"/>
      </w:r>
    </w:p>
    <w:p>
      <w:pPr>
        <w:pStyle w:val="Heading1"/>
        <w:spacing w:after="160" w:before="280"/>
      </w:pPr>
      <w:r>
        <w:rPr>
          <w:rFonts w:ascii="Arial" w:cs="Arial" w:eastAsia="Arial" w:hAnsi="Arial"/>
          <w:sz w:val="22"/>
          <w:szCs w:val="22"/>
        </w:rPr>
        <w:t xml:space="preserve">11. Review and Approval</w:t>
      </w:r>
    </w:p>
    <w:p>
      <w:pPr>
        <w:spacing w:after="120" w:before="0"/>
      </w:pPr>
      <w:r>
        <w:rPr>
          <w:rFonts w:ascii="Arial" w:cs="Arial" w:eastAsia="Arial" w:hAnsi="Arial"/>
          <w:sz w:val="22"/>
          <w:szCs w:val="22"/>
        </w:rPr>
        <w:t xml:space="preserve">This document has been reviewed and approved by the following:</w:t>
      </w:r>
    </w:p>
    <w:p>
      <w:pPr>
        <w:spacing w:after="120" w:before="0"/>
      </w:pPr>
      <w:r>
        <w:rPr>
          <w:rFonts w:ascii="Arial" w:cs="Arial" w:eastAsia="Arial" w:hAnsi="Arial"/>
          <w:sz w:val="22"/>
          <w:szCs w:val="22"/>
        </w:rPr>
        <w:t xml:space="preserve"/>
      </w:r>
    </w:p>
    <w:p>
      <w:pPr>
        <w:pStyle w:val="Heading2"/>
        <w:spacing w:after="120" w:before="220"/>
      </w:pPr>
      <w:r>
        <w:rPr>
          <w:rFonts w:ascii="Arial" w:cs="Arial" w:eastAsia="Arial" w:hAnsi="Arial"/>
          <w:sz w:val="22"/>
          <w:szCs w:val="22"/>
        </w:rPr>
        <w:t xml:space="preserve">Author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1500"/>
        <w:gridCol w:w="1500"/>
      </w:tblGrid>
      <w:tr>
        <w:trPr>
          <w:tblHeader/>
        </w:trPr>
        <w:tc>
          <w:tcPr>
            <w:tcW w:type="dxa" w:w="25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Name</w:t>
            </w:r>
          </w:p>
        </w:tc>
        <w:tc>
          <w:tcPr>
            <w:tcW w:type="dxa" w:w="3526"/>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w:t>
            </w:r>
          </w:p>
        </w:tc>
        <w:tc>
          <w:tcPr>
            <w:tcW w:type="dxa" w:w="15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c>
          <w:tcPr>
            <w:tcW w:type="dxa" w:w="15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Date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Gary Ireland</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CRR Digital Delivery Lead</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Draft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22/05/26</w:t>
            </w:r>
          </w:p>
        </w:tc>
      </w:tr>
    </w:tbl>
    <w:p>
      <w:pPr>
        <w:spacing w:after="120" w:before="0"/>
      </w:pPr>
      <w:r>
        <w:rPr>
          <w:rFonts w:ascii="Arial" w:cs="Arial" w:eastAsia="Arial" w:hAnsi="Arial"/>
          <w:sz w:val="22"/>
          <w:szCs w:val="22"/>
        </w:rPr>
        <w:t xml:space="preserve"/>
      </w:r>
    </w:p>
    <w:p>
      <w:pPr>
        <w:pStyle w:val="Heading2"/>
        <w:spacing w:after="120" w:before="220"/>
      </w:pPr>
      <w:r>
        <w:rPr>
          <w:rFonts w:ascii="Arial" w:cs="Arial" w:eastAsia="Arial" w:hAnsi="Arial"/>
          <w:sz w:val="22"/>
          <w:szCs w:val="22"/>
        </w:rPr>
        <w:t xml:space="preserve">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1500"/>
        <w:gridCol w:w="1500"/>
      </w:tblGrid>
      <w:tr>
        <w:trPr>
          <w:tblHeader/>
        </w:trPr>
        <w:tc>
          <w:tcPr>
            <w:tcW w:type="dxa" w:w="25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Name</w:t>
            </w:r>
          </w:p>
        </w:tc>
        <w:tc>
          <w:tcPr>
            <w:tcW w:type="dxa" w:w="3526"/>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w:t>
            </w:r>
          </w:p>
        </w:tc>
        <w:tc>
          <w:tcPr>
            <w:tcW w:type="dxa" w:w="15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c>
          <w:tcPr>
            <w:tcW w:type="dxa" w:w="15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Date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Craig Milligan</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CRR Digital Programme Manager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Draft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Stuart Barnard</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Radiology Digital Lead</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Draft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James Entwisle</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CRR Clinical Advisor &amp; Radiologist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Draft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Tim Wood</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CRR Programme SRO</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Draft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Louise Poynton</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Clinical Director, Tū Ora</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Draft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Rhys Parry</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GP and GPRL, Central</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Draft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Matt Hitti</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Enterprise Architect, Radiology Programme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Draft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Murray Hughes</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Solution Architect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Draft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
            </w:r>
          </w:p>
        </w:tc>
      </w:tr>
    </w:tbl>
    <w:p>
      <w:pPr>
        <w:spacing w:after="120" w:before="0"/>
      </w:pPr>
      <w:r>
        <w:rPr>
          <w:rFonts w:ascii="Arial" w:cs="Arial" w:eastAsia="Arial" w:hAnsi="Arial"/>
          <w:sz w:val="22"/>
          <w:szCs w:val="22"/>
        </w:rPr>
        <w:t xml:space="preserve"/>
      </w:r>
    </w:p>
    <w:p>
      <w:pPr>
        <w:pStyle w:val="Heading2"/>
        <w:spacing w:after="120" w:before="220"/>
      </w:pPr>
      <w:r>
        <w:rPr>
          <w:rFonts w:ascii="Arial" w:cs="Arial" w:eastAsia="Arial" w:hAnsi="Arial"/>
          <w:sz w:val="22"/>
          <w:szCs w:val="22"/>
        </w:rPr>
        <w:t xml:space="preserve">Approve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1500"/>
        <w:gridCol w:w="1500"/>
      </w:tblGrid>
      <w:tr>
        <w:trPr>
          <w:tblHeader/>
        </w:trPr>
        <w:tc>
          <w:tcPr>
            <w:tcW w:type="dxa" w:w="25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Name</w:t>
            </w:r>
          </w:p>
        </w:tc>
        <w:tc>
          <w:tcPr>
            <w:tcW w:type="dxa" w:w="3526"/>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w:t>
            </w:r>
          </w:p>
        </w:tc>
        <w:tc>
          <w:tcPr>
            <w:tcW w:type="dxa" w:w="15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c>
          <w:tcPr>
            <w:tcW w:type="dxa" w:w="1500"/>
            <w:tcBorders>
              <w:top w:val="single" w:color="003B5C" w:sz="4"/>
              <w:left w:val="single" w:color="003B5C" w:sz="4"/>
              <w:bottom w:val="single" w:color="003B5C" w:sz="4"/>
              <w:right w:val="single" w:color="003B5C" w:sz="4"/>
            </w:tcBorders>
            <w:shd w:fill="003B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Date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Alex Viner</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CRR Programme Director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Draft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Janine Croft</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National Radiology Digital Programme Director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Draft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James Entwisle</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CRR Clinical Advisor &amp; Radiologist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Draft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20"/>
                <w:szCs w:val="20"/>
              </w:rPr>
              <w:t xml:space="preserve"/>
            </w:r>
          </w:p>
        </w:tc>
      </w:tr>
    </w:tbl>
    <w:sectPr>
      <w:headerReference w:type="default" r:id="rId10"/>
      <w:footerReference w:type="default" r:id="rId11"/>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CE4" w:sz="4" w:space="4"/>
      </w:pBdr>
      <w:tabs>
        <w:tab w:val="right" w:pos="9026"/>
      </w:tabs>
      <w:spacing w:after="0" w:before="0"/>
    </w:pPr>
    <w:r>
      <w:rPr>
        <w:rFonts w:ascii="Arial" w:cs="Arial" w:eastAsia="Arial" w:hAnsi="Arial"/>
        <w:color w:val="5A7A8A"/>
        <w:sz w:val="16"/>
        <w:szCs w:val="16"/>
      </w:rPr>
      <w:t xml:space="preserve">Health New Zealand | Te Whatu Ora  —  CRR Programme</w:t>
    </w:r>
    <w:r>
      <w:rPr>
        <w:rFonts w:ascii="Arial" w:cs="Arial" w:eastAsia="Arial" w:hAnsi="Arial"/>
        <w:sz w:val="22"/>
        <w:szCs w:val="22"/>
      </w:rPr>
      <w:t xml:space="preserve">	</w:t>
    </w:r>
    <w:r>
      <w:rPr>
        <w:rFonts w:ascii="Arial" w:cs="Arial" w:eastAsia="Arial" w:hAnsi="Arial"/>
        <w:color w:val="5A7A8A"/>
        <w:sz w:val="16"/>
        <w:szCs w:val="16"/>
      </w:rPr>
      <w:t xml:space="preserve">Page </w:t>
    </w:r>
    <w:r>
      <w:rPr>
        <w:rFonts w:ascii="Arial" w:cs="Arial" w:eastAsia="Arial" w:hAnsi="Arial"/>
        <w:color w:val="5A7A8A"/>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CE4" w:sz="4" w:space="4"/>
      </w:pBdr>
      <w:tabs>
        <w:tab w:val="right" w:pos="9026"/>
      </w:tabs>
      <w:spacing w:after="0" w:before="0"/>
    </w:pPr>
    <w:r>
      <w:rPr>
        <w:rFonts w:ascii="Arial" w:cs="Arial" w:eastAsia="Arial" w:hAnsi="Arial"/>
        <w:color w:val="5A7A8A"/>
        <w:sz w:val="16"/>
        <w:szCs w:val="16"/>
      </w:rPr>
      <w:t xml:space="preserve">Health New Zealand | Te Whatu Ora  —  CRR Programme</w:t>
    </w:r>
    <w:r>
      <w:rPr>
        <w:rFonts w:ascii="Arial" w:cs="Arial" w:eastAsia="Arial" w:hAnsi="Arial"/>
        <w:sz w:val="22"/>
        <w:szCs w:val="22"/>
      </w:rPr>
      <w:t xml:space="preserve">	</w:t>
    </w:r>
    <w:r>
      <w:rPr>
        <w:rFonts w:ascii="Arial" w:cs="Arial" w:eastAsia="Arial" w:hAnsi="Arial"/>
        <w:color w:val="5A7A8A"/>
        <w:sz w:val="16"/>
        <w:szCs w:val="16"/>
      </w:rPr>
      <w:t xml:space="preserve">Page </w:t>
    </w:r>
    <w:r>
      <w:rPr>
        <w:rFonts w:ascii="Arial" w:cs="Arial" w:eastAsia="Arial" w:hAnsi="Arial"/>
        <w:color w:val="5A7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pPr>
    <w:r>
      <w:drawing>
        <wp:inline distT="0" distB="0" distL="0" distR="0">
          <wp:extent cx="6286500" cy="552450"/>
          <wp:effectExtent t="0" r="0" b="0" l="0"/>
          <wp:docPr id="1" name="header-banner-default" descr="Health New Zealand Te Whatu Ora branded header" title="Health NZ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86500" cy="55245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pPr>
    <w:r>
      <w:drawing>
        <wp:inline distT="0" distB="0" distL="0" distR="0">
          <wp:extent cx="6286500" cy="781050"/>
          <wp:effectExtent t="0" r="0" b="0" l="0"/>
          <wp:docPr id="1" name="header-banner" descr="Health New Zealand Te Whatu Ora branded header" title="Health NZ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86500" cy="78105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pPr>
    <w:r>
      <w:drawing>
        <wp:inline distT="0" distB="0" distL="0" distR="0">
          <wp:extent cx="6286500" cy="552450"/>
          <wp:effectExtent t="0" r="0" b="0" l="0"/>
          <wp:docPr id="1" name="header-banner-default" descr="Health New Zealand Te Whatu Ora branded header" title="Health NZ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86500" cy="5524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003B5C"/>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003B5C"/>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08B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79f9ac223bfebcbd8ae0907ab8b9fdbf0c8ebb1.png"/></Relationships>
</file>

<file path=word/_rels/header2.xml.rels><?xml version="1.0" encoding="UTF-8"?><Relationships xmlns="http://schemas.openxmlformats.org/package/2006/relationships"><Relationship Id="rId0" Type="http://schemas.openxmlformats.org/officeDocument/2006/relationships/image" Target="media/541c3e9333069380f84dcce5ff8adaf852feb3de.png"/></Relationships>
</file>

<file path=word/_rels/header3.xml.rels><?xml version="1.0" encoding="UTF-8"?><Relationships xmlns="http://schemas.openxmlformats.org/package/2006/relationships"><Relationship Id="rId0" Type="http://schemas.openxmlformats.org/officeDocument/2006/relationships/image" Target="media/279f9ac223bfebcbd8ae0907ab8b9fdbf0c8ebb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2026-05-21T18:23:55.246Z</dcterms:created>
  <dcterms:modified xsi:type="dcterms:W3CDTF">2026-05-21T18:23:55.272Z</dcterms:modified>
</cp:coreProperties>
</file>

<file path=docProps/custom.xml><?xml version="1.0" encoding="utf-8"?>
<Properties xmlns="http://schemas.openxmlformats.org/officeDocument/2006/custom-properties" xmlns:vt="http://schemas.openxmlformats.org/officeDocument/2006/docPropsVTypes"/>
</file>