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240" w:lineRule="auto"/>
        <w:jc w:val="center"/>
        <w:rPr>
          <w:rFonts w:hint="default"/>
          <w:b/>
          <w:sz w:val="28"/>
          <w:lang w:val="en-US" w:eastAsia="zh-CN"/>
        </w:rPr>
      </w:pPr>
      <w:r>
        <w:rPr>
          <w:rFonts w:hint="eastAsia"/>
          <w:b/>
          <w:sz w:val="28"/>
          <w:lang w:eastAsia="zh-CN"/>
        </w:rPr>
        <w:t>2广西</w:t>
      </w:r>
      <w:r>
        <w:rPr>
          <w:b/>
          <w:sz w:val="28"/>
          <w:lang w:eastAsia="zh-CN"/>
        </w:rPr>
        <w:t xml:space="preserve">机顶盒软探针指标分析报告 - </w:t>
      </w:r>
      <w:r>
        <w:rPr>
          <w:rFonts w:hint="eastAsia"/>
          <w:b/>
          <w:sz w:val="28"/>
          <w:lang w:eastAsia="zh-CN"/>
        </w:rPr>
        <w:t>20210</w:t>
      </w:r>
      <w:r>
        <w:rPr>
          <w:b/>
          <w:sz w:val="28"/>
          <w:lang w:eastAsia="zh-CN"/>
        </w:rPr>
        <w:t>4</w:t>
      </w:r>
      <w:r>
        <w:rPr>
          <w:rFonts w:hint="eastAsia"/>
          <w:b/>
          <w:sz w:val="28"/>
          <w:lang w:val="en-US" w:eastAsia="zh-CN"/>
        </w:rPr>
        <w:t>23</w:t>
      </w:r>
    </w:p>
    <w:p>
      <w:pPr>
        <w:spacing w:before="120" w:after="120" w:line="240" w:lineRule="auto"/>
        <w:ind w:left="74" w:firstLine="300" w:firstLineChars="200"/>
        <w:rPr>
          <w:lang w:eastAsia="zh-CN"/>
        </w:rPr>
      </w:pPr>
      <w:r>
        <w:rPr>
          <w:sz w:val="15"/>
          <w:lang w:eastAsia="zh-CN"/>
        </w:rPr>
        <w:t>互联网电视用户数</w:t>
      </w:r>
      <w:r>
        <w:rPr>
          <w:rFonts w:hint="eastAsia" w:cs="宋体"/>
          <w:color w:val="000000"/>
          <w:sz w:val="15"/>
          <w:szCs w:val="15"/>
          <w:lang w:eastAsia="zh-CN"/>
        </w:rPr>
        <w:t>3661853</w:t>
      </w:r>
      <w:r>
        <w:rPr>
          <w:rFonts w:hint="eastAsia"/>
          <w:sz w:val="15"/>
          <w:lang w:eastAsia="zh-CN"/>
        </w:rPr>
        <w:t>万</w:t>
      </w:r>
      <w:r>
        <w:rPr>
          <w:sz w:val="15"/>
          <w:lang w:eastAsia="zh-CN"/>
        </w:rPr>
        <w:t>，其中已部署机顶盒软探针用户数</w:t>
      </w:r>
      <w:r>
        <w:rPr>
          <w:rFonts w:hint="eastAsia" w:cs="宋体"/>
          <w:color w:val="000000"/>
          <w:sz w:val="15"/>
          <w:szCs w:val="15"/>
          <w:lang w:eastAsia="zh-CN"/>
        </w:rPr>
        <w:t>3661853</w:t>
      </w:r>
      <w:r>
        <w:rPr>
          <w:rFonts w:hint="eastAsia"/>
          <w:sz w:val="15"/>
          <w:lang w:eastAsia="zh-CN"/>
        </w:rPr>
        <w:t>万</w:t>
      </w:r>
      <w:r>
        <w:rPr>
          <w:sz w:val="15"/>
          <w:lang w:eastAsia="zh-CN"/>
        </w:rPr>
        <w:t>，部署比例</w:t>
      </w:r>
      <w:r>
        <w:rPr>
          <w:rFonts w:hint="eastAsia"/>
          <w:sz w:val="15"/>
          <w:lang w:eastAsia="zh-CN"/>
        </w:rPr>
        <w:t>100</w:t>
      </w:r>
      <w:r>
        <w:rPr>
          <w:sz w:val="15"/>
          <w:lang w:eastAsia="zh-CN"/>
        </w:rPr>
        <w:t>%；软探针日收视用户数</w:t>
      </w:r>
      <w:r>
        <w:rPr>
          <w:rFonts w:hint="eastAsia" w:cs="宋体"/>
          <w:color w:val="000000"/>
          <w:sz w:val="15"/>
          <w:szCs w:val="15"/>
          <w:lang w:val="en-US" w:eastAsia="zh-CN"/>
        </w:rPr>
        <w:t>1443670</w:t>
      </w:r>
      <w:r>
        <w:rPr>
          <w:sz w:val="15"/>
          <w:lang w:eastAsia="zh-CN"/>
        </w:rPr>
        <w:t>万，活跃率</w:t>
      </w:r>
      <w:r>
        <w:rPr>
          <w:rFonts w:hint="eastAsia" w:cs="宋体"/>
          <w:color w:val="000000"/>
          <w:sz w:val="15"/>
          <w:szCs w:val="15"/>
          <w:lang w:val="en-US" w:eastAsia="zh-CN"/>
        </w:rPr>
        <w:t>39.42%</w:t>
      </w:r>
      <w:r>
        <w:rPr>
          <w:rFonts w:hint="eastAsia" w:cs="宋体"/>
          <w:color w:val="000000"/>
          <w:sz w:val="15"/>
          <w:szCs w:val="15"/>
          <w:lang w:eastAsia="zh-CN"/>
        </w:rPr>
        <w:t>。</w:t>
      </w:r>
    </w:p>
    <w:p>
      <w:pPr>
        <w:pStyle w:val="4"/>
        <w:spacing w:before="120" w:after="120" w:line="240" w:lineRule="auto"/>
        <w:rPr>
          <w:lang w:eastAsia="zh-CN"/>
        </w:rPr>
      </w:pPr>
      <w:r>
        <w:rPr>
          <w:rFonts w:ascii="微软雅黑" w:hAnsi="微软雅黑" w:eastAsia="微软雅黑"/>
          <w:color w:val="000000"/>
          <w:sz w:val="15"/>
          <w:lang w:eastAsia="zh-CN"/>
        </w:rPr>
        <w:t>1. 各</w:t>
      </w:r>
      <w:r>
        <w:rPr>
          <w:rFonts w:hint="eastAsia" w:ascii="微软雅黑" w:hAnsi="微软雅黑" w:eastAsia="微软雅黑"/>
          <w:color w:val="000000"/>
          <w:sz w:val="15"/>
          <w:lang w:eastAsia="zh-CN"/>
        </w:rPr>
        <w:t>地市</w:t>
      </w:r>
      <w:r>
        <w:rPr>
          <w:rFonts w:ascii="微软雅黑" w:hAnsi="微软雅黑" w:eastAsia="微软雅黑"/>
          <w:color w:val="000000"/>
          <w:sz w:val="15"/>
          <w:lang w:eastAsia="zh-CN"/>
        </w:rPr>
        <w:t>日收视用户</w:t>
      </w:r>
      <w:r>
        <w:rPr>
          <w:rFonts w:hint="eastAsia" w:ascii="微软雅黑" w:hAnsi="微软雅黑" w:eastAsia="微软雅黑"/>
          <w:color w:val="000000"/>
          <w:sz w:val="15"/>
          <w:lang w:eastAsia="zh-CN"/>
        </w:rPr>
        <w:t>情况</w:t>
      </w:r>
    </w:p>
    <w:tbl>
      <w:tblPr>
        <w:tblStyle w:val="33"/>
        <w:tblW w:w="7360" w:type="dxa"/>
        <w:tblInd w:w="13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1205"/>
        <w:gridCol w:w="1300"/>
        <w:gridCol w:w="1300"/>
        <w:gridCol w:w="1300"/>
        <w:gridCol w:w="1300"/>
      </w:tblGrid>
      <w:tr>
        <w:trPr>
          <w:trHeight w:val="270" w:hRule="atLeast"/>
        </w:trPr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地市</w:t>
            </w:r>
          </w:p>
        </w:tc>
        <w:tc>
          <w:tcPr>
            <w:tcW w:w="1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日期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上月用户数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日开机用户数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日收视用户数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日收视活跃率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南宁</w:t>
            </w:r>
          </w:p>
        </w:tc>
        <w:tc>
          <w:tcPr>
            <w:tcW w:w="1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2021-04-23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567055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275251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222756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39.28%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桂林</w:t>
            </w:r>
          </w:p>
        </w:tc>
        <w:tc>
          <w:tcPr>
            <w:tcW w:w="1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2021-04-23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409624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219879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174505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42.60%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柳州</w:t>
            </w:r>
          </w:p>
        </w:tc>
        <w:tc>
          <w:tcPr>
            <w:tcW w:w="1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2021-04-23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347780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174971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140728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40.46%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玉林</w:t>
            </w:r>
          </w:p>
        </w:tc>
        <w:tc>
          <w:tcPr>
            <w:tcW w:w="1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2021-04-23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351023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163033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130207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37.09%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百色</w:t>
            </w:r>
          </w:p>
        </w:tc>
        <w:tc>
          <w:tcPr>
            <w:tcW w:w="1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2021-04-23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251514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119848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94090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37.41%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河池</w:t>
            </w:r>
          </w:p>
        </w:tc>
        <w:tc>
          <w:tcPr>
            <w:tcW w:w="1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2021-04-23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286213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133199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102825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35.93%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贵港</w:t>
            </w:r>
          </w:p>
        </w:tc>
        <w:tc>
          <w:tcPr>
            <w:tcW w:w="1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2021-04-23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249070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127915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102665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41.22%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钦州</w:t>
            </w:r>
          </w:p>
        </w:tc>
        <w:tc>
          <w:tcPr>
            <w:tcW w:w="1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2021-04-23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225566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109567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88453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39.21%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梧州</w:t>
            </w:r>
          </w:p>
        </w:tc>
        <w:tc>
          <w:tcPr>
            <w:tcW w:w="1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2021-04-23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184694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92064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73432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39.76%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北海</w:t>
            </w:r>
          </w:p>
        </w:tc>
        <w:tc>
          <w:tcPr>
            <w:tcW w:w="1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2021-04-23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221273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106340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83890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37.91%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崇左</w:t>
            </w:r>
          </w:p>
        </w:tc>
        <w:tc>
          <w:tcPr>
            <w:tcW w:w="1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2021-04-23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159944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84701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70193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43.89%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来宾</w:t>
            </w:r>
          </w:p>
        </w:tc>
        <w:tc>
          <w:tcPr>
            <w:tcW w:w="1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2021-04-23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176298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85496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68972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39.12%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贺州</w:t>
            </w:r>
          </w:p>
        </w:tc>
        <w:tc>
          <w:tcPr>
            <w:tcW w:w="1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2021-04-23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140323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72498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56786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40.47%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防城港</w:t>
            </w:r>
          </w:p>
        </w:tc>
        <w:tc>
          <w:tcPr>
            <w:tcW w:w="1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2021-04-23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87258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44043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33958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38.92%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广西</w:t>
            </w:r>
          </w:p>
        </w:tc>
        <w:tc>
          <w:tcPr>
            <w:tcW w:w="1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2021-04-23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3661853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1809106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1443670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39.42%</w:t>
            </w:r>
          </w:p>
        </w:tc>
      </w:tr>
    </w:tbl>
    <w:tbl>
      <w:tblPr>
        <w:tblStyle w:val="33"/>
        <w:tblpPr w:leftFromText="180" w:rightFromText="180" w:vertAnchor="text" w:horzAnchor="page" w:tblpX="842" w:tblpY="571"/>
        <w:tblOverlap w:val="never"/>
        <w:tblW w:w="1091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073"/>
        <w:gridCol w:w="1300"/>
        <w:gridCol w:w="1266"/>
        <w:gridCol w:w="1279"/>
        <w:gridCol w:w="1388"/>
        <w:gridCol w:w="1325"/>
        <w:gridCol w:w="1250"/>
        <w:gridCol w:w="121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817" w:type="dxa"/>
            <w:vAlign w:val="center"/>
          </w:tcPr>
          <w:p>
            <w:pPr>
              <w:spacing w:after="0" w:line="240" w:lineRule="auto"/>
              <w:jc w:val="center"/>
              <w:rPr>
                <w:rFonts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地市</w:t>
            </w:r>
          </w:p>
        </w:tc>
        <w:tc>
          <w:tcPr>
            <w:tcW w:w="1073" w:type="dxa"/>
            <w:tcBorders>
              <w:bottom w:val="single" w:color="auto" w:sz="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有线接入率</w:t>
            </w:r>
          </w:p>
        </w:tc>
        <w:tc>
          <w:tcPr>
            <w:tcW w:w="1300" w:type="dxa"/>
            <w:vAlign w:val="center"/>
          </w:tcPr>
          <w:p>
            <w:pPr>
              <w:spacing w:after="0" w:line="240" w:lineRule="auto"/>
              <w:jc w:val="center"/>
              <w:rPr>
                <w:rFonts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EPG响应时延（ms）</w:t>
            </w:r>
          </w:p>
        </w:tc>
        <w:tc>
          <w:tcPr>
            <w:tcW w:w="1266" w:type="dxa"/>
            <w:vAlign w:val="center"/>
          </w:tcPr>
          <w:p>
            <w:pPr>
              <w:spacing w:after="0" w:line="240" w:lineRule="auto"/>
              <w:jc w:val="center"/>
              <w:rPr>
                <w:rFonts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EPG响应成功率</w:t>
            </w:r>
          </w:p>
        </w:tc>
        <w:tc>
          <w:tcPr>
            <w:tcW w:w="1279" w:type="dxa"/>
            <w:tcBorders>
              <w:bottom w:val="single" w:color="auto" w:sz="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播放成功率</w:t>
            </w:r>
          </w:p>
        </w:tc>
        <w:tc>
          <w:tcPr>
            <w:tcW w:w="1388" w:type="dxa"/>
            <w:vAlign w:val="center"/>
          </w:tcPr>
          <w:p>
            <w:pPr>
              <w:spacing w:after="0" w:line="240" w:lineRule="auto"/>
              <w:jc w:val="center"/>
              <w:rPr>
                <w:rFonts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首次加载时长（ms）</w:t>
            </w:r>
          </w:p>
        </w:tc>
        <w:tc>
          <w:tcPr>
            <w:tcW w:w="1325" w:type="dxa"/>
            <w:tcBorders>
              <w:bottom w:val="single" w:color="auto" w:sz="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卡顿时长占比</w:t>
            </w:r>
          </w:p>
        </w:tc>
        <w:tc>
          <w:tcPr>
            <w:tcW w:w="1250" w:type="dxa"/>
            <w:vAlign w:val="center"/>
          </w:tcPr>
          <w:p>
            <w:pPr>
              <w:spacing w:after="0" w:line="240" w:lineRule="auto"/>
              <w:jc w:val="center"/>
              <w:rPr>
                <w:rFonts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卡顿用户占比</w:t>
            </w:r>
          </w:p>
        </w:tc>
        <w:tc>
          <w:tcPr>
            <w:tcW w:w="1217" w:type="dxa"/>
          </w:tcPr>
          <w:p>
            <w:pPr>
              <w:spacing w:after="0" w:line="240" w:lineRule="auto"/>
              <w:jc w:val="center"/>
              <w:rPr>
                <w:rFonts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视频播放优良率d-OA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817" w:type="dxa"/>
            <w:tcBorders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南宁</w:t>
            </w:r>
          </w:p>
        </w:tc>
        <w:tc>
          <w:tcPr>
            <w:tcW w:w="107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95.12%</w:t>
            </w:r>
          </w:p>
        </w:tc>
        <w:tc>
          <w:tcPr>
            <w:tcW w:w="1300" w:type="dxa"/>
            <w:tcBorders>
              <w:lef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8.267</w:t>
            </w:r>
          </w:p>
        </w:tc>
        <w:tc>
          <w:tcPr>
            <w:tcW w:w="1266" w:type="dxa"/>
            <w:tcBorders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99.82%</w:t>
            </w:r>
          </w:p>
        </w:tc>
        <w:tc>
          <w:tcPr>
            <w:tcW w:w="12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99.64%</w:t>
            </w:r>
          </w:p>
        </w:tc>
        <w:tc>
          <w:tcPr>
            <w:tcW w:w="1388" w:type="dxa"/>
            <w:tcBorders>
              <w:left w:val="single" w:color="auto" w:sz="2" w:space="0"/>
              <w:bottom w:val="single" w:color="auto" w:sz="2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 xml:space="preserve">517.36 </w:t>
            </w:r>
          </w:p>
        </w:tc>
        <w:tc>
          <w:tcPr>
            <w:tcW w:w="1325" w:type="dxa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0.0631%</w:t>
            </w:r>
          </w:p>
        </w:tc>
        <w:tc>
          <w:tcPr>
            <w:tcW w:w="1250" w:type="dxa"/>
            <w:tcBorders>
              <w:lef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0.44%</w:t>
            </w:r>
          </w:p>
        </w:tc>
        <w:tc>
          <w:tcPr>
            <w:tcW w:w="1217" w:type="dxa"/>
            <w:tcBorders>
              <w:lef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default" w:cs="宋体"/>
                <w:color w:val="000000"/>
                <w:sz w:val="15"/>
                <w:szCs w:val="15"/>
                <w:lang w:val="en-US" w:eastAsia="zh-CN"/>
              </w:rPr>
              <w:t>97.46%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17" w:type="dxa"/>
            <w:tcBorders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桂林</w:t>
            </w:r>
          </w:p>
        </w:tc>
        <w:tc>
          <w:tcPr>
            <w:tcW w:w="107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95.48%</w:t>
            </w:r>
          </w:p>
        </w:tc>
        <w:tc>
          <w:tcPr>
            <w:tcW w:w="1300" w:type="dxa"/>
            <w:tcBorders>
              <w:lef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17.2304</w:t>
            </w:r>
          </w:p>
        </w:tc>
        <w:tc>
          <w:tcPr>
            <w:tcW w:w="1266" w:type="dxa"/>
            <w:tcBorders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99.81%</w:t>
            </w:r>
          </w:p>
        </w:tc>
        <w:tc>
          <w:tcPr>
            <w:tcW w:w="12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99.56%</w:t>
            </w:r>
          </w:p>
        </w:tc>
        <w:tc>
          <w:tcPr>
            <w:tcW w:w="138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 xml:space="preserve">596.70 </w:t>
            </w:r>
          </w:p>
        </w:tc>
        <w:tc>
          <w:tcPr>
            <w:tcW w:w="132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0.0633%</w:t>
            </w:r>
          </w:p>
        </w:tc>
        <w:tc>
          <w:tcPr>
            <w:tcW w:w="1250" w:type="dxa"/>
            <w:tcBorders>
              <w:lef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0.46%</w:t>
            </w:r>
          </w:p>
        </w:tc>
        <w:tc>
          <w:tcPr>
            <w:tcW w:w="1217" w:type="dxa"/>
            <w:tcBorders>
              <w:lef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default" w:cs="宋体"/>
                <w:color w:val="000000"/>
                <w:sz w:val="15"/>
                <w:szCs w:val="15"/>
                <w:lang w:val="en-US" w:eastAsia="zh-CN"/>
              </w:rPr>
              <w:t>97.33%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7" w:type="dxa"/>
            <w:tcBorders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柳州</w:t>
            </w:r>
          </w:p>
        </w:tc>
        <w:tc>
          <w:tcPr>
            <w:tcW w:w="107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94.94%</w:t>
            </w:r>
          </w:p>
        </w:tc>
        <w:tc>
          <w:tcPr>
            <w:tcW w:w="1300" w:type="dxa"/>
            <w:tcBorders>
              <w:lef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13.1599</w:t>
            </w:r>
          </w:p>
        </w:tc>
        <w:tc>
          <w:tcPr>
            <w:tcW w:w="1266" w:type="dxa"/>
            <w:tcBorders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99.77%</w:t>
            </w:r>
          </w:p>
        </w:tc>
        <w:tc>
          <w:tcPr>
            <w:tcW w:w="12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99.30%</w:t>
            </w:r>
          </w:p>
        </w:tc>
        <w:tc>
          <w:tcPr>
            <w:tcW w:w="138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 xml:space="preserve">614.06 </w:t>
            </w:r>
          </w:p>
        </w:tc>
        <w:tc>
          <w:tcPr>
            <w:tcW w:w="1325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0.0639%</w:t>
            </w:r>
          </w:p>
        </w:tc>
        <w:tc>
          <w:tcPr>
            <w:tcW w:w="1250" w:type="dxa"/>
            <w:tcBorders>
              <w:left w:val="single" w:color="auto" w:sz="2" w:space="0"/>
              <w:bottom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0.46%</w:t>
            </w:r>
          </w:p>
        </w:tc>
        <w:tc>
          <w:tcPr>
            <w:tcW w:w="1217" w:type="dxa"/>
            <w:tcBorders>
              <w:left w:val="single" w:color="auto" w:sz="2" w:space="0"/>
              <w:bottom w:val="single" w:color="auto" w:sz="2" w:space="0"/>
            </w:tcBorders>
            <w:shd w:val="clear" w:color="auto" w:fill="FF00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default" w:cs="宋体"/>
                <w:color w:val="000000"/>
                <w:sz w:val="15"/>
                <w:szCs w:val="15"/>
                <w:lang w:val="en-US" w:eastAsia="zh-CN"/>
              </w:rPr>
              <w:t>96.82%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17" w:type="dxa"/>
            <w:tcBorders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玉林</w:t>
            </w:r>
          </w:p>
        </w:tc>
        <w:tc>
          <w:tcPr>
            <w:tcW w:w="107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95.65%</w:t>
            </w:r>
          </w:p>
        </w:tc>
        <w:tc>
          <w:tcPr>
            <w:tcW w:w="1300" w:type="dxa"/>
            <w:tcBorders>
              <w:lef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11.4984</w:t>
            </w:r>
          </w:p>
        </w:tc>
        <w:tc>
          <w:tcPr>
            <w:tcW w:w="1266" w:type="dxa"/>
            <w:tcBorders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99.83%</w:t>
            </w:r>
          </w:p>
        </w:tc>
        <w:tc>
          <w:tcPr>
            <w:tcW w:w="12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99.31%</w:t>
            </w:r>
          </w:p>
        </w:tc>
        <w:tc>
          <w:tcPr>
            <w:tcW w:w="138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 xml:space="preserve">585.11 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0.0581%</w:t>
            </w:r>
          </w:p>
        </w:tc>
        <w:tc>
          <w:tcPr>
            <w:tcW w:w="1250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0.39%</w:t>
            </w:r>
          </w:p>
        </w:tc>
        <w:tc>
          <w:tcPr>
            <w:tcW w:w="121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default" w:cs="宋体"/>
                <w:color w:val="000000"/>
                <w:sz w:val="15"/>
                <w:szCs w:val="15"/>
                <w:lang w:val="en-US" w:eastAsia="zh-CN"/>
              </w:rPr>
              <w:t>97.57%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817" w:type="dxa"/>
            <w:tcBorders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百色</w:t>
            </w:r>
          </w:p>
        </w:tc>
        <w:tc>
          <w:tcPr>
            <w:tcW w:w="107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96.21%</w:t>
            </w:r>
          </w:p>
        </w:tc>
        <w:tc>
          <w:tcPr>
            <w:tcW w:w="1300" w:type="dxa"/>
            <w:tcBorders>
              <w:lef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12.6851</w:t>
            </w:r>
          </w:p>
        </w:tc>
        <w:tc>
          <w:tcPr>
            <w:tcW w:w="1266" w:type="dxa"/>
            <w:tcBorders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99.82%</w:t>
            </w:r>
          </w:p>
        </w:tc>
        <w:tc>
          <w:tcPr>
            <w:tcW w:w="1279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99.50%</w:t>
            </w:r>
          </w:p>
        </w:tc>
        <w:tc>
          <w:tcPr>
            <w:tcW w:w="138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 xml:space="preserve">589.98 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00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0.0738%</w:t>
            </w:r>
          </w:p>
        </w:tc>
        <w:tc>
          <w:tcPr>
            <w:tcW w:w="1250" w:type="dxa"/>
            <w:tcBorders>
              <w:top w:val="single" w:color="auto" w:sz="2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0.57%</w:t>
            </w:r>
          </w:p>
        </w:tc>
        <w:tc>
          <w:tcPr>
            <w:tcW w:w="1217" w:type="dxa"/>
            <w:tcBorders>
              <w:top w:val="single" w:color="auto" w:sz="2" w:space="0"/>
              <w:left w:val="single" w:color="auto" w:sz="4" w:space="0"/>
            </w:tcBorders>
            <w:shd w:val="clear" w:color="auto" w:fill="FF00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default" w:cs="宋体"/>
                <w:color w:val="000000"/>
                <w:sz w:val="15"/>
                <w:szCs w:val="15"/>
                <w:lang w:val="en-US" w:eastAsia="zh-CN"/>
              </w:rPr>
              <w:t>96.58%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17" w:type="dxa"/>
            <w:tcBorders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河池</w:t>
            </w:r>
          </w:p>
        </w:tc>
        <w:tc>
          <w:tcPr>
            <w:tcW w:w="107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96.98%</w:t>
            </w:r>
          </w:p>
        </w:tc>
        <w:tc>
          <w:tcPr>
            <w:tcW w:w="1300" w:type="dxa"/>
            <w:tcBorders>
              <w:lef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14.6258</w:t>
            </w:r>
          </w:p>
        </w:tc>
        <w:tc>
          <w:tcPr>
            <w:tcW w:w="1266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highlight w:val="none"/>
                <w:lang w:val="en-US" w:eastAsia="zh-CN"/>
              </w:rPr>
              <w:t>99.77%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00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98.36%</w:t>
            </w:r>
          </w:p>
        </w:tc>
        <w:tc>
          <w:tcPr>
            <w:tcW w:w="138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 xml:space="preserve">781.56 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00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0.0964%</w:t>
            </w:r>
          </w:p>
        </w:tc>
        <w:tc>
          <w:tcPr>
            <w:tcW w:w="1250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0.85%</w:t>
            </w:r>
          </w:p>
        </w:tc>
        <w:tc>
          <w:tcPr>
            <w:tcW w:w="1217" w:type="dxa"/>
            <w:tcBorders>
              <w:left w:val="single" w:color="auto" w:sz="2" w:space="0"/>
            </w:tcBorders>
            <w:shd w:val="clear" w:color="auto" w:fill="FF00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default" w:cs="宋体"/>
                <w:color w:val="000000"/>
                <w:sz w:val="15"/>
                <w:szCs w:val="15"/>
                <w:lang w:val="en-US" w:eastAsia="zh-CN"/>
              </w:rPr>
              <w:t>96.19%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exact"/>
        </w:trPr>
        <w:tc>
          <w:tcPr>
            <w:tcW w:w="817" w:type="dxa"/>
            <w:tcBorders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贵港</w:t>
            </w:r>
          </w:p>
        </w:tc>
        <w:tc>
          <w:tcPr>
            <w:tcW w:w="107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96.33%</w:t>
            </w:r>
          </w:p>
        </w:tc>
        <w:tc>
          <w:tcPr>
            <w:tcW w:w="1300" w:type="dxa"/>
            <w:tcBorders>
              <w:lef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13.0169</w:t>
            </w:r>
          </w:p>
        </w:tc>
        <w:tc>
          <w:tcPr>
            <w:tcW w:w="1266" w:type="dxa"/>
            <w:tcBorders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99.83%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99.49%</w:t>
            </w:r>
          </w:p>
        </w:tc>
        <w:tc>
          <w:tcPr>
            <w:tcW w:w="138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 xml:space="preserve">582.11 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00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0.0754%</w:t>
            </w:r>
          </w:p>
        </w:tc>
        <w:tc>
          <w:tcPr>
            <w:tcW w:w="1250" w:type="dxa"/>
            <w:tcBorders>
              <w:lef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0.50%</w:t>
            </w:r>
          </w:p>
        </w:tc>
        <w:tc>
          <w:tcPr>
            <w:tcW w:w="1217" w:type="dxa"/>
            <w:tcBorders>
              <w:lef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default" w:cs="宋体"/>
                <w:color w:val="000000"/>
                <w:sz w:val="15"/>
                <w:szCs w:val="15"/>
                <w:lang w:val="en-US" w:eastAsia="zh-CN"/>
              </w:rPr>
              <w:t>97.64%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817" w:type="dxa"/>
            <w:tcBorders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钦州</w:t>
            </w:r>
          </w:p>
        </w:tc>
        <w:tc>
          <w:tcPr>
            <w:tcW w:w="107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96.53%</w:t>
            </w:r>
          </w:p>
        </w:tc>
        <w:tc>
          <w:tcPr>
            <w:tcW w:w="1300" w:type="dxa"/>
            <w:tcBorders>
              <w:lef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12.7201</w:t>
            </w:r>
          </w:p>
        </w:tc>
        <w:tc>
          <w:tcPr>
            <w:tcW w:w="1266" w:type="dxa"/>
            <w:tcBorders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99.82%</w:t>
            </w:r>
          </w:p>
        </w:tc>
        <w:tc>
          <w:tcPr>
            <w:tcW w:w="12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99.50%</w:t>
            </w:r>
          </w:p>
        </w:tc>
        <w:tc>
          <w:tcPr>
            <w:tcW w:w="138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 xml:space="preserve">590.04 </w:t>
            </w:r>
          </w:p>
        </w:tc>
        <w:tc>
          <w:tcPr>
            <w:tcW w:w="132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0.0522%</w:t>
            </w:r>
          </w:p>
        </w:tc>
        <w:tc>
          <w:tcPr>
            <w:tcW w:w="1250" w:type="dxa"/>
            <w:tcBorders>
              <w:lef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0.35%</w:t>
            </w:r>
          </w:p>
        </w:tc>
        <w:tc>
          <w:tcPr>
            <w:tcW w:w="1217" w:type="dxa"/>
            <w:tcBorders>
              <w:lef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default" w:cs="宋体"/>
                <w:color w:val="000000"/>
                <w:sz w:val="15"/>
                <w:szCs w:val="15"/>
                <w:lang w:val="en-US" w:eastAsia="zh-CN"/>
              </w:rPr>
              <w:t>97.78%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exact"/>
        </w:trPr>
        <w:tc>
          <w:tcPr>
            <w:tcW w:w="817" w:type="dxa"/>
            <w:tcBorders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梧州</w:t>
            </w:r>
          </w:p>
        </w:tc>
        <w:tc>
          <w:tcPr>
            <w:tcW w:w="107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94.76%</w:t>
            </w:r>
          </w:p>
        </w:tc>
        <w:tc>
          <w:tcPr>
            <w:tcW w:w="1300" w:type="dxa"/>
            <w:tcBorders>
              <w:lef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14.7487</w:t>
            </w:r>
          </w:p>
        </w:tc>
        <w:tc>
          <w:tcPr>
            <w:tcW w:w="1266" w:type="dxa"/>
            <w:tcBorders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99.82%</w:t>
            </w:r>
          </w:p>
        </w:tc>
        <w:tc>
          <w:tcPr>
            <w:tcW w:w="12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99.44%</w:t>
            </w:r>
          </w:p>
        </w:tc>
        <w:tc>
          <w:tcPr>
            <w:tcW w:w="138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 xml:space="preserve">614.82 </w:t>
            </w:r>
          </w:p>
        </w:tc>
        <w:tc>
          <w:tcPr>
            <w:tcW w:w="132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0.0644%</w:t>
            </w:r>
          </w:p>
        </w:tc>
        <w:tc>
          <w:tcPr>
            <w:tcW w:w="1250" w:type="dxa"/>
            <w:tcBorders>
              <w:lef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0.40%</w:t>
            </w:r>
          </w:p>
        </w:tc>
        <w:tc>
          <w:tcPr>
            <w:tcW w:w="1217" w:type="dxa"/>
            <w:tcBorders>
              <w:lef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default" w:cs="宋体"/>
                <w:color w:val="000000"/>
                <w:sz w:val="15"/>
                <w:szCs w:val="15"/>
                <w:lang w:val="en-US" w:eastAsia="zh-CN"/>
              </w:rPr>
              <w:t>97.47%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17" w:type="dxa"/>
            <w:tcBorders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北海</w:t>
            </w:r>
          </w:p>
        </w:tc>
        <w:tc>
          <w:tcPr>
            <w:tcW w:w="107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97.30%</w:t>
            </w:r>
          </w:p>
        </w:tc>
        <w:tc>
          <w:tcPr>
            <w:tcW w:w="1300" w:type="dxa"/>
            <w:tcBorders>
              <w:lef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11.976</w:t>
            </w:r>
          </w:p>
        </w:tc>
        <w:tc>
          <w:tcPr>
            <w:tcW w:w="1266" w:type="dxa"/>
            <w:tcBorders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99.82%</w:t>
            </w:r>
          </w:p>
        </w:tc>
        <w:tc>
          <w:tcPr>
            <w:tcW w:w="12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99.40%</w:t>
            </w:r>
          </w:p>
        </w:tc>
        <w:tc>
          <w:tcPr>
            <w:tcW w:w="138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 xml:space="preserve">624.29 </w:t>
            </w:r>
          </w:p>
        </w:tc>
        <w:tc>
          <w:tcPr>
            <w:tcW w:w="132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0.0427%</w:t>
            </w:r>
          </w:p>
        </w:tc>
        <w:tc>
          <w:tcPr>
            <w:tcW w:w="1250" w:type="dxa"/>
            <w:tcBorders>
              <w:lef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0.30%</w:t>
            </w:r>
          </w:p>
        </w:tc>
        <w:tc>
          <w:tcPr>
            <w:tcW w:w="1217" w:type="dxa"/>
            <w:tcBorders>
              <w:lef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default" w:cs="宋体"/>
                <w:color w:val="000000"/>
                <w:sz w:val="15"/>
                <w:szCs w:val="15"/>
                <w:lang w:val="en-US" w:eastAsia="zh-CN"/>
              </w:rPr>
              <w:t>97.47%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817" w:type="dxa"/>
            <w:tcBorders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崇左</w:t>
            </w:r>
          </w:p>
        </w:tc>
        <w:tc>
          <w:tcPr>
            <w:tcW w:w="107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96.73%</w:t>
            </w:r>
          </w:p>
        </w:tc>
        <w:tc>
          <w:tcPr>
            <w:tcW w:w="1300" w:type="dxa"/>
            <w:tcBorders>
              <w:lef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12.059</w:t>
            </w:r>
          </w:p>
        </w:tc>
        <w:tc>
          <w:tcPr>
            <w:tcW w:w="1266" w:type="dxa"/>
            <w:tcBorders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99.79%</w:t>
            </w:r>
          </w:p>
        </w:tc>
        <w:tc>
          <w:tcPr>
            <w:tcW w:w="12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99.37%</w:t>
            </w:r>
          </w:p>
        </w:tc>
        <w:tc>
          <w:tcPr>
            <w:tcW w:w="138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 xml:space="preserve">593.87 </w:t>
            </w:r>
          </w:p>
        </w:tc>
        <w:tc>
          <w:tcPr>
            <w:tcW w:w="1325" w:type="dxa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0.0472%</w:t>
            </w:r>
          </w:p>
        </w:tc>
        <w:tc>
          <w:tcPr>
            <w:tcW w:w="1250" w:type="dxa"/>
            <w:tcBorders>
              <w:lef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0.31%</w:t>
            </w:r>
          </w:p>
        </w:tc>
        <w:tc>
          <w:tcPr>
            <w:tcW w:w="1217" w:type="dxa"/>
            <w:tcBorders>
              <w:lef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cs="宋体"/>
                <w:color w:val="000000"/>
                <w:sz w:val="15"/>
                <w:szCs w:val="15"/>
                <w:lang w:val="en-US" w:eastAsia="zh-CN"/>
              </w:rPr>
              <w:t>97.61%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817" w:type="dxa"/>
            <w:tcBorders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来宾</w:t>
            </w:r>
          </w:p>
        </w:tc>
        <w:tc>
          <w:tcPr>
            <w:tcW w:w="107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96.54%</w:t>
            </w:r>
          </w:p>
        </w:tc>
        <w:tc>
          <w:tcPr>
            <w:tcW w:w="1300" w:type="dxa"/>
            <w:tcBorders>
              <w:lef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13.354</w:t>
            </w:r>
          </w:p>
        </w:tc>
        <w:tc>
          <w:tcPr>
            <w:tcW w:w="1266" w:type="dxa"/>
            <w:tcBorders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99.73%</w:t>
            </w:r>
          </w:p>
        </w:tc>
        <w:tc>
          <w:tcPr>
            <w:tcW w:w="12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99.57%</w:t>
            </w:r>
          </w:p>
        </w:tc>
        <w:tc>
          <w:tcPr>
            <w:tcW w:w="138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 xml:space="preserve">587.57 </w:t>
            </w:r>
          </w:p>
        </w:tc>
        <w:tc>
          <w:tcPr>
            <w:tcW w:w="1325" w:type="dxa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0.0399%</w:t>
            </w:r>
          </w:p>
        </w:tc>
        <w:tc>
          <w:tcPr>
            <w:tcW w:w="1250" w:type="dxa"/>
            <w:tcBorders>
              <w:left w:val="single" w:color="auto" w:sz="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0.28%</w:t>
            </w:r>
          </w:p>
        </w:tc>
        <w:tc>
          <w:tcPr>
            <w:tcW w:w="1217" w:type="dxa"/>
            <w:tcBorders>
              <w:left w:val="single" w:color="auto" w:sz="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cs="宋体"/>
                <w:color w:val="000000"/>
                <w:sz w:val="15"/>
                <w:szCs w:val="15"/>
                <w:lang w:val="en-US" w:eastAsia="zh-CN"/>
              </w:rPr>
              <w:t>97.87%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817" w:type="dxa"/>
            <w:tcBorders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贺州</w:t>
            </w:r>
          </w:p>
        </w:tc>
        <w:tc>
          <w:tcPr>
            <w:tcW w:w="107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96.09%</w:t>
            </w:r>
          </w:p>
        </w:tc>
        <w:tc>
          <w:tcPr>
            <w:tcW w:w="1300" w:type="dxa"/>
            <w:tcBorders>
              <w:lef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17.7998</w:t>
            </w:r>
          </w:p>
        </w:tc>
        <w:tc>
          <w:tcPr>
            <w:tcW w:w="1266" w:type="dxa"/>
            <w:tcBorders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99.85%</w:t>
            </w:r>
          </w:p>
        </w:tc>
        <w:tc>
          <w:tcPr>
            <w:tcW w:w="12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99.63%</w:t>
            </w:r>
          </w:p>
        </w:tc>
        <w:tc>
          <w:tcPr>
            <w:tcW w:w="138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 xml:space="preserve">587.09 </w:t>
            </w:r>
          </w:p>
        </w:tc>
        <w:tc>
          <w:tcPr>
            <w:tcW w:w="1325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0.0492%</w:t>
            </w: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0.34%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cs="宋体"/>
                <w:color w:val="000000"/>
                <w:sz w:val="15"/>
                <w:szCs w:val="15"/>
                <w:lang w:val="en-US" w:eastAsia="zh-CN"/>
              </w:rPr>
              <w:t>97.78%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17" w:type="dxa"/>
            <w:tcBorders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防城港</w:t>
            </w:r>
          </w:p>
        </w:tc>
        <w:tc>
          <w:tcPr>
            <w:tcW w:w="107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97.26%</w:t>
            </w:r>
          </w:p>
        </w:tc>
        <w:tc>
          <w:tcPr>
            <w:tcW w:w="1300" w:type="dxa"/>
            <w:tcBorders>
              <w:lef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11.685</w:t>
            </w:r>
          </w:p>
        </w:tc>
        <w:tc>
          <w:tcPr>
            <w:tcW w:w="1266" w:type="dxa"/>
            <w:tcBorders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99.84%</w:t>
            </w:r>
          </w:p>
        </w:tc>
        <w:tc>
          <w:tcPr>
            <w:tcW w:w="12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99.51%</w:t>
            </w:r>
          </w:p>
        </w:tc>
        <w:tc>
          <w:tcPr>
            <w:tcW w:w="138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 xml:space="preserve">572.77 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0.0549%</w:t>
            </w:r>
          </w:p>
        </w:tc>
        <w:tc>
          <w:tcPr>
            <w:tcW w:w="1250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0.39%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cs="宋体"/>
                <w:color w:val="000000"/>
                <w:sz w:val="15"/>
                <w:szCs w:val="15"/>
                <w:lang w:val="en-US" w:eastAsia="zh-CN"/>
              </w:rPr>
              <w:t>97.39%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17" w:type="dxa"/>
            <w:tcBorders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eastAsia="zh-CN"/>
              </w:rPr>
              <w:t>广西</w:t>
            </w:r>
          </w:p>
        </w:tc>
        <w:tc>
          <w:tcPr>
            <w:tcW w:w="107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95.92%</w:t>
            </w:r>
          </w:p>
        </w:tc>
        <w:tc>
          <w:tcPr>
            <w:tcW w:w="1300" w:type="dxa"/>
            <w:tcBorders>
              <w:lef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12.8557</w:t>
            </w:r>
          </w:p>
        </w:tc>
        <w:tc>
          <w:tcPr>
            <w:tcW w:w="1266" w:type="dxa"/>
            <w:tcBorders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99.81%</w:t>
            </w:r>
          </w:p>
        </w:tc>
        <w:tc>
          <w:tcPr>
            <w:tcW w:w="12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99.41%</w:t>
            </w:r>
          </w:p>
        </w:tc>
        <w:tc>
          <w:tcPr>
            <w:tcW w:w="138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 xml:space="preserve">596.43 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00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0.0623%</w:t>
            </w:r>
          </w:p>
        </w:tc>
        <w:tc>
          <w:tcPr>
            <w:tcW w:w="1250" w:type="dxa"/>
            <w:tcBorders>
              <w:lef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  <w:t>0.45%</w:t>
            </w:r>
          </w:p>
        </w:tc>
        <w:tc>
          <w:tcPr>
            <w:tcW w:w="1217" w:type="dxa"/>
            <w:tcBorders>
              <w:lef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cs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cs="宋体"/>
                <w:color w:val="000000"/>
                <w:sz w:val="15"/>
                <w:szCs w:val="15"/>
                <w:lang w:val="en-US" w:eastAsia="zh-CN"/>
              </w:rPr>
              <w:t>97.31%</w:t>
            </w:r>
          </w:p>
        </w:tc>
      </w:tr>
    </w:tbl>
    <w:p>
      <w:pPr>
        <w:spacing w:after="0" w:line="240" w:lineRule="auto"/>
        <w:ind w:firstLine="720" w:firstLineChars="0"/>
        <w:jc w:val="center"/>
        <w:rPr>
          <w:sz w:val="13"/>
          <w:lang w:eastAsia="zh-CN"/>
        </w:rPr>
      </w:pPr>
      <w:bookmarkStart w:id="2" w:name="_GoBack"/>
      <w:r>
        <w:rPr>
          <w:rFonts w:hint="eastAsia" w:cs="宋体"/>
          <w:color w:val="000000"/>
          <w:sz w:val="15"/>
          <w:szCs w:val="15"/>
          <w:lang w:eastAsia="zh-CN"/>
        </w:rPr>
        <w:t>注1：日收视活跃率=日收视用户数/上月用户数*100%。</w:t>
      </w:r>
    </w:p>
    <w:bookmarkEnd w:id="2"/>
    <w:p>
      <w:pPr>
        <w:pStyle w:val="4"/>
        <w:spacing w:before="0" w:after="120" w:line="240" w:lineRule="auto"/>
        <w:jc w:val="both"/>
        <w:rPr>
          <w:rFonts w:hint="default" w:ascii="微软雅黑" w:hAnsi="微软雅黑" w:eastAsia="微软雅黑"/>
          <w:color w:val="000000"/>
          <w:sz w:val="15"/>
          <w:lang w:val="en-US" w:eastAsia="zh-CN"/>
        </w:rPr>
      </w:pPr>
      <w:r>
        <w:rPr>
          <w:rFonts w:ascii="微软雅黑" w:hAnsi="微软雅黑" w:eastAsia="微软雅黑"/>
          <w:color w:val="000000"/>
          <w:sz w:val="15"/>
          <w:lang w:eastAsia="zh-CN"/>
        </w:rPr>
        <w:t>2. 各</w:t>
      </w:r>
      <w:r>
        <w:rPr>
          <w:rFonts w:hint="eastAsia" w:ascii="微软雅黑" w:hAnsi="微软雅黑" w:eastAsia="微软雅黑"/>
          <w:color w:val="000000"/>
          <w:sz w:val="15"/>
          <w:lang w:eastAsia="zh-CN"/>
        </w:rPr>
        <w:t>地市关键指标情况</w:t>
      </w:r>
      <w:r>
        <w:rPr>
          <w:rFonts w:hint="eastAsia" w:ascii="微软雅黑" w:hAnsi="微软雅黑" w:eastAsia="微软雅黑"/>
          <w:color w:val="000000"/>
          <w:sz w:val="15"/>
          <w:lang w:val="en-US" w:eastAsia="zh-CN"/>
        </w:rPr>
        <w:tab/>
      </w:r>
    </w:p>
    <w:p>
      <w:pPr>
        <w:spacing w:after="0" w:line="240" w:lineRule="auto"/>
        <w:jc w:val="both"/>
        <w:rPr>
          <w:color w:val="000000"/>
          <w:sz w:val="15"/>
          <w:lang w:eastAsia="zh-CN"/>
        </w:rPr>
      </w:pPr>
      <w:r>
        <w:rPr>
          <w:rFonts w:hint="eastAsia"/>
          <w:bCs/>
          <w:sz w:val="15"/>
          <w:lang w:eastAsia="zh-CN"/>
        </w:rPr>
        <w:t>2.1 各地市关键指标地市间对比情况：</w:t>
      </w:r>
    </w:p>
    <w:p>
      <w:pPr>
        <w:spacing w:after="0" w:line="240" w:lineRule="auto"/>
        <w:rPr>
          <w:sz w:val="13"/>
          <w:lang w:eastAsia="zh-CN"/>
        </w:rPr>
      </w:pPr>
      <w:r>
        <w:rPr>
          <w:rFonts w:hint="eastAsia"/>
          <w:sz w:val="13"/>
          <w:lang w:eastAsia="zh-CN"/>
        </w:rPr>
        <w:t>注1：表格中标注红色底色的指标是未达到基准值，标注黄色底色的指标是</w:t>
      </w:r>
      <w:bookmarkStart w:id="0" w:name="_Hlk68332914"/>
      <w:r>
        <w:rPr>
          <w:rFonts w:hint="eastAsia"/>
          <w:sz w:val="13"/>
          <w:lang w:eastAsia="zh-CN"/>
        </w:rPr>
        <w:t>已</w:t>
      </w:r>
      <w:bookmarkEnd w:id="0"/>
      <w:r>
        <w:rPr>
          <w:rFonts w:hint="eastAsia"/>
          <w:sz w:val="13"/>
          <w:lang w:eastAsia="zh-CN"/>
        </w:rPr>
        <w:t>达到基准值未达到挑战值，无颜色标注的指标是已达到挑战值。</w:t>
      </w:r>
    </w:p>
    <w:p>
      <w:pPr>
        <w:pStyle w:val="4"/>
        <w:spacing w:before="120" w:after="120" w:line="240" w:lineRule="auto"/>
        <w:rPr>
          <w:rFonts w:ascii="微软雅黑" w:hAnsi="微软雅黑" w:eastAsia="微软雅黑"/>
          <w:color w:val="000000"/>
          <w:sz w:val="15"/>
          <w:lang w:eastAsia="zh-CN"/>
        </w:rPr>
      </w:pPr>
      <w:r>
        <w:rPr>
          <w:rFonts w:ascii="微软雅黑" w:hAnsi="微软雅黑" w:eastAsia="微软雅黑"/>
          <w:color w:val="000000"/>
          <w:sz w:val="15"/>
          <w:lang w:eastAsia="zh-CN"/>
        </w:rPr>
        <w:t xml:space="preserve">2.2 </w:t>
      </w:r>
      <w:r>
        <w:rPr>
          <w:rFonts w:hint="eastAsia" w:ascii="微软雅黑" w:hAnsi="微软雅黑" w:eastAsia="微软雅黑"/>
          <w:color w:val="000000"/>
          <w:sz w:val="15"/>
          <w:lang w:eastAsia="zh-CN"/>
        </w:rPr>
        <w:t>各地市关键</w:t>
      </w:r>
      <w:r>
        <w:rPr>
          <w:rFonts w:ascii="微软雅黑" w:hAnsi="微软雅黑" w:eastAsia="微软雅黑"/>
          <w:color w:val="000000"/>
          <w:sz w:val="15"/>
          <w:lang w:eastAsia="zh-CN"/>
        </w:rPr>
        <w:t>指标异常情况：</w:t>
      </w:r>
    </w:p>
    <w:p>
      <w:pPr>
        <w:spacing w:before="120" w:after="120" w:line="240" w:lineRule="auto"/>
        <w:rPr>
          <w:rFonts w:cstheme="majorBidi"/>
          <w:b/>
          <w:bCs/>
          <w:color w:val="000000"/>
          <w:sz w:val="15"/>
          <w:szCs w:val="26"/>
          <w:lang w:eastAsia="zh-CN"/>
        </w:rPr>
      </w:pPr>
      <w:r>
        <w:rPr>
          <w:rFonts w:hint="eastAsia" w:cstheme="majorBidi"/>
          <w:b/>
          <w:bCs/>
          <w:color w:val="000000"/>
          <w:sz w:val="15"/>
          <w:szCs w:val="26"/>
          <w:lang w:eastAsia="zh-CN"/>
        </w:rPr>
        <w:t>2.2.1 各地市有线接入率未达标情况</w:t>
      </w:r>
    </w:p>
    <w:p>
      <w:pPr>
        <w:spacing w:before="120" w:after="120" w:line="240" w:lineRule="auto"/>
        <w:rPr>
          <w:lang w:eastAsia="zh-CN"/>
        </w:rPr>
      </w:pPr>
      <w:r>
        <w:rPr>
          <w:sz w:val="15"/>
          <w:lang w:eastAsia="zh-CN"/>
        </w:rPr>
        <w:t>（</w:t>
      </w:r>
      <w:r>
        <w:rPr>
          <w:rFonts w:hint="eastAsia"/>
          <w:sz w:val="15"/>
          <w:lang w:eastAsia="zh-CN"/>
        </w:rPr>
        <w:t>有线接入率</w:t>
      </w:r>
      <w:r>
        <w:rPr>
          <w:sz w:val="15"/>
          <w:lang w:eastAsia="zh-CN"/>
        </w:rPr>
        <w:t>——</w:t>
      </w:r>
      <w:r>
        <w:rPr>
          <w:rFonts w:hint="eastAsia"/>
          <w:sz w:val="15"/>
          <w:lang w:eastAsia="zh-CN"/>
        </w:rPr>
        <w:t>基准值</w:t>
      </w:r>
      <w:r>
        <w:rPr>
          <w:sz w:val="15"/>
          <w:lang w:eastAsia="zh-CN"/>
        </w:rPr>
        <w:t>：</w:t>
      </w:r>
      <w:r>
        <w:rPr>
          <w:rFonts w:hint="eastAsia"/>
          <w:sz w:val="15"/>
          <w:lang w:eastAsia="zh-CN"/>
        </w:rPr>
        <w:t>92%</w:t>
      </w:r>
      <w:r>
        <w:rPr>
          <w:sz w:val="15"/>
          <w:lang w:eastAsia="zh-CN"/>
        </w:rPr>
        <w:t>，</w:t>
      </w:r>
      <w:r>
        <w:rPr>
          <w:rFonts w:hint="eastAsia"/>
          <w:sz w:val="15"/>
          <w:lang w:eastAsia="zh-CN"/>
        </w:rPr>
        <w:t>挑战值</w:t>
      </w:r>
      <w:r>
        <w:rPr>
          <w:sz w:val="15"/>
          <w:lang w:eastAsia="zh-CN"/>
        </w:rPr>
        <w:t>：</w:t>
      </w:r>
      <w:r>
        <w:rPr>
          <w:rFonts w:hint="eastAsia"/>
          <w:sz w:val="15"/>
          <w:lang w:eastAsia="zh-CN"/>
        </w:rPr>
        <w:t>96%</w:t>
      </w:r>
      <w:r>
        <w:rPr>
          <w:sz w:val="15"/>
          <w:lang w:eastAsia="zh-CN"/>
        </w:rPr>
        <w:t>）</w:t>
      </w:r>
    </w:p>
    <w:p>
      <w:pPr>
        <w:spacing w:after="0"/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南宁、桂林、柳州、玉林、梧州市公司达到基准值未达到挑战值。</w:t>
      </w:r>
    </w:p>
    <w:p>
      <w:pPr>
        <w:spacing w:before="120" w:after="120" w:line="240" w:lineRule="auto"/>
        <w:rPr>
          <w:rFonts w:cstheme="majorBidi"/>
          <w:b/>
          <w:bCs/>
          <w:color w:val="000000"/>
          <w:sz w:val="15"/>
          <w:szCs w:val="26"/>
          <w:lang w:eastAsia="zh-CN"/>
        </w:rPr>
      </w:pPr>
      <w:r>
        <w:rPr>
          <w:rFonts w:hint="eastAsia" w:cstheme="majorBidi"/>
          <w:b/>
          <w:bCs/>
          <w:color w:val="000000"/>
          <w:sz w:val="15"/>
          <w:szCs w:val="26"/>
          <w:lang w:eastAsia="zh-CN"/>
        </w:rPr>
        <w:t>2.2.1 各地市EPG响应时延（ms）未达标情况</w:t>
      </w:r>
    </w:p>
    <w:p>
      <w:pPr>
        <w:spacing w:before="120" w:after="120" w:line="240" w:lineRule="auto"/>
        <w:rPr>
          <w:sz w:val="15"/>
          <w:lang w:eastAsia="zh-CN"/>
        </w:rPr>
      </w:pPr>
      <w:r>
        <w:rPr>
          <w:sz w:val="15"/>
          <w:lang w:eastAsia="zh-CN"/>
        </w:rPr>
        <w:t>（EPG响应时延（ms）——</w:t>
      </w:r>
      <w:r>
        <w:rPr>
          <w:rFonts w:hint="eastAsia"/>
          <w:sz w:val="15"/>
          <w:lang w:eastAsia="zh-CN"/>
        </w:rPr>
        <w:t>基准值</w:t>
      </w:r>
      <w:r>
        <w:rPr>
          <w:sz w:val="15"/>
          <w:lang w:eastAsia="zh-CN"/>
        </w:rPr>
        <w:t>：500ms，</w:t>
      </w:r>
      <w:r>
        <w:rPr>
          <w:rFonts w:hint="eastAsia"/>
          <w:sz w:val="15"/>
          <w:lang w:eastAsia="zh-CN"/>
        </w:rPr>
        <w:t>挑战值</w:t>
      </w:r>
      <w:r>
        <w:rPr>
          <w:sz w:val="15"/>
          <w:lang w:eastAsia="zh-CN"/>
        </w:rPr>
        <w:t>：200ms）</w:t>
      </w:r>
    </w:p>
    <w:p>
      <w:pPr>
        <w:spacing w:before="120" w:after="120" w:line="240" w:lineRule="auto"/>
        <w:rPr>
          <w:sz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暂无。</w:t>
      </w:r>
      <w:r>
        <w:rPr>
          <w:rFonts w:hint="eastAsia"/>
          <w:sz w:val="15"/>
          <w:lang w:eastAsia="zh-CN"/>
        </w:rPr>
        <w:tab/>
      </w:r>
    </w:p>
    <w:p>
      <w:pPr>
        <w:spacing w:before="120" w:after="120" w:line="240" w:lineRule="auto"/>
        <w:rPr>
          <w:b/>
          <w:bCs/>
          <w:lang w:eastAsia="zh-CN"/>
        </w:rPr>
      </w:pPr>
      <w:r>
        <w:rPr>
          <w:b/>
          <w:bCs/>
          <w:color w:val="000000"/>
          <w:sz w:val="15"/>
          <w:lang w:eastAsia="zh-CN"/>
        </w:rPr>
        <w:t>2.2.2 各</w:t>
      </w:r>
      <w:r>
        <w:rPr>
          <w:rFonts w:hint="eastAsia"/>
          <w:b/>
          <w:bCs/>
          <w:color w:val="000000"/>
          <w:sz w:val="15"/>
          <w:lang w:eastAsia="zh-CN"/>
        </w:rPr>
        <w:t>地市</w:t>
      </w:r>
      <w:r>
        <w:rPr>
          <w:b/>
          <w:bCs/>
          <w:color w:val="000000"/>
          <w:sz w:val="15"/>
          <w:lang w:eastAsia="zh-CN"/>
        </w:rPr>
        <w:t>EPG响应成功率（%）指标未达标情况：</w:t>
      </w:r>
    </w:p>
    <w:p>
      <w:pPr>
        <w:spacing w:before="120" w:after="120" w:line="240" w:lineRule="auto"/>
        <w:rPr>
          <w:sz w:val="15"/>
          <w:lang w:eastAsia="zh-CN"/>
        </w:rPr>
      </w:pPr>
      <w:r>
        <w:rPr>
          <w:sz w:val="15"/>
          <w:lang w:eastAsia="zh-CN"/>
        </w:rPr>
        <w:t>（EPG响应成功率（%）——</w:t>
      </w:r>
      <w:r>
        <w:rPr>
          <w:rFonts w:hint="eastAsia"/>
          <w:sz w:val="15"/>
          <w:lang w:eastAsia="zh-CN"/>
        </w:rPr>
        <w:t>基准值</w:t>
      </w:r>
      <w:r>
        <w:rPr>
          <w:sz w:val="15"/>
          <w:lang w:eastAsia="zh-CN"/>
        </w:rPr>
        <w:t>：97%，</w:t>
      </w:r>
      <w:r>
        <w:rPr>
          <w:rFonts w:hint="eastAsia"/>
          <w:sz w:val="15"/>
          <w:lang w:eastAsia="zh-CN"/>
        </w:rPr>
        <w:t>挑战值</w:t>
      </w:r>
      <w:r>
        <w:rPr>
          <w:sz w:val="15"/>
          <w:lang w:eastAsia="zh-CN"/>
        </w:rPr>
        <w:t>：99%）</w:t>
      </w:r>
    </w:p>
    <w:p>
      <w:pPr>
        <w:spacing w:before="120" w:after="120" w:line="240" w:lineRule="auto"/>
        <w:rPr>
          <w:sz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暂无。</w:t>
      </w:r>
    </w:p>
    <w:p>
      <w:pPr>
        <w:pStyle w:val="4"/>
        <w:spacing w:before="120" w:after="120" w:line="240" w:lineRule="auto"/>
        <w:rPr>
          <w:lang w:eastAsia="zh-CN"/>
        </w:rPr>
      </w:pPr>
      <w:r>
        <w:rPr>
          <w:rFonts w:ascii="微软雅黑" w:hAnsi="微软雅黑" w:eastAsia="微软雅黑"/>
          <w:color w:val="000000"/>
          <w:sz w:val="15"/>
          <w:lang w:eastAsia="zh-CN"/>
        </w:rPr>
        <w:t>2.2.3 各</w:t>
      </w:r>
      <w:r>
        <w:rPr>
          <w:rFonts w:hint="eastAsia" w:ascii="微软雅黑" w:hAnsi="微软雅黑" w:eastAsia="微软雅黑"/>
          <w:color w:val="000000"/>
          <w:sz w:val="15"/>
          <w:lang w:eastAsia="zh-CN"/>
        </w:rPr>
        <w:t>地市</w:t>
      </w:r>
      <w:r>
        <w:rPr>
          <w:rFonts w:ascii="微软雅黑" w:hAnsi="微软雅黑" w:eastAsia="微软雅黑"/>
          <w:color w:val="000000"/>
          <w:sz w:val="15"/>
          <w:lang w:eastAsia="zh-CN"/>
        </w:rPr>
        <w:t>播放成功率（%）指标未达标情况：</w:t>
      </w:r>
    </w:p>
    <w:p>
      <w:pPr>
        <w:spacing w:before="120" w:after="120" w:line="240" w:lineRule="auto"/>
        <w:rPr>
          <w:sz w:val="15"/>
          <w:lang w:eastAsia="zh-CN"/>
        </w:rPr>
      </w:pPr>
      <w:r>
        <w:rPr>
          <w:sz w:val="15"/>
          <w:lang w:eastAsia="zh-CN"/>
        </w:rPr>
        <w:t>（播放成功率（%）——</w:t>
      </w:r>
      <w:r>
        <w:rPr>
          <w:rFonts w:hint="eastAsia"/>
          <w:sz w:val="15"/>
          <w:lang w:eastAsia="zh-CN"/>
        </w:rPr>
        <w:t>基准值</w:t>
      </w:r>
      <w:r>
        <w:rPr>
          <w:sz w:val="15"/>
          <w:lang w:eastAsia="zh-CN"/>
        </w:rPr>
        <w:t>：99%，</w:t>
      </w:r>
      <w:r>
        <w:rPr>
          <w:rFonts w:hint="eastAsia"/>
          <w:sz w:val="15"/>
          <w:lang w:eastAsia="zh-CN"/>
        </w:rPr>
        <w:t>挑战值</w:t>
      </w:r>
      <w:r>
        <w:rPr>
          <w:sz w:val="15"/>
          <w:lang w:eastAsia="zh-CN"/>
        </w:rPr>
        <w:t>：99.5%）</w:t>
      </w:r>
    </w:p>
    <w:p>
      <w:pPr>
        <w:spacing w:before="120" w:after="120" w:line="240" w:lineRule="auto"/>
        <w:rPr>
          <w:sz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河池市公司未达到基准值；柳州、玉林、百色、贵港、钦州、梧州、北海、崇左市公司</w:t>
      </w:r>
      <w:r>
        <w:rPr>
          <w:rFonts w:hint="eastAsia"/>
          <w:sz w:val="15"/>
          <w:szCs w:val="15"/>
          <w:lang w:eastAsia="zh-CN"/>
        </w:rPr>
        <w:t>达到基准值未达到挑战值。</w:t>
      </w:r>
    </w:p>
    <w:p>
      <w:pPr>
        <w:pStyle w:val="4"/>
        <w:spacing w:before="120" w:after="120" w:line="240" w:lineRule="auto"/>
        <w:rPr>
          <w:lang w:eastAsia="zh-CN"/>
        </w:rPr>
      </w:pPr>
      <w:r>
        <w:rPr>
          <w:rFonts w:ascii="微软雅黑" w:hAnsi="微软雅黑" w:eastAsia="微软雅黑"/>
          <w:color w:val="000000"/>
          <w:sz w:val="15"/>
          <w:lang w:eastAsia="zh-CN"/>
        </w:rPr>
        <w:t>2.2.4 各</w:t>
      </w:r>
      <w:r>
        <w:rPr>
          <w:rFonts w:hint="eastAsia" w:ascii="微软雅黑" w:hAnsi="微软雅黑" w:eastAsia="微软雅黑"/>
          <w:color w:val="000000"/>
          <w:sz w:val="15"/>
          <w:lang w:eastAsia="zh-CN"/>
        </w:rPr>
        <w:t>地市</w:t>
      </w:r>
      <w:r>
        <w:rPr>
          <w:rFonts w:ascii="微软雅黑" w:hAnsi="微软雅黑" w:eastAsia="微软雅黑"/>
          <w:color w:val="000000"/>
          <w:sz w:val="15"/>
          <w:lang w:eastAsia="zh-CN"/>
        </w:rPr>
        <w:t>平均首次加载时长（s）指标未达标情况：</w:t>
      </w:r>
    </w:p>
    <w:p>
      <w:pPr>
        <w:spacing w:before="120" w:after="120" w:line="240" w:lineRule="auto"/>
        <w:rPr>
          <w:lang w:eastAsia="zh-CN"/>
        </w:rPr>
      </w:pPr>
      <w:r>
        <w:rPr>
          <w:sz w:val="15"/>
          <w:lang w:eastAsia="zh-CN"/>
        </w:rPr>
        <w:t>（平均首次加载时长（s）——</w:t>
      </w:r>
      <w:r>
        <w:rPr>
          <w:rFonts w:hint="eastAsia"/>
          <w:sz w:val="15"/>
          <w:lang w:eastAsia="zh-CN"/>
        </w:rPr>
        <w:t>基准值</w:t>
      </w:r>
      <w:r>
        <w:rPr>
          <w:sz w:val="15"/>
          <w:lang w:eastAsia="zh-CN"/>
        </w:rPr>
        <w:t>：2s，</w:t>
      </w:r>
      <w:r>
        <w:rPr>
          <w:rFonts w:hint="eastAsia"/>
          <w:sz w:val="15"/>
          <w:lang w:eastAsia="zh-CN"/>
        </w:rPr>
        <w:t>挑战值</w:t>
      </w:r>
      <w:r>
        <w:rPr>
          <w:sz w:val="15"/>
          <w:lang w:eastAsia="zh-CN"/>
        </w:rPr>
        <w:t>：0.5s）</w:t>
      </w:r>
      <w:r>
        <w:rPr>
          <w:rFonts w:hint="eastAsia"/>
          <w:sz w:val="15"/>
          <w:lang w:eastAsia="zh-CN"/>
        </w:rPr>
        <w:t xml:space="preserve"> </w:t>
      </w:r>
    </w:p>
    <w:p>
      <w:pPr>
        <w:spacing w:before="120" w:after="120" w:line="240" w:lineRule="auto"/>
        <w:rPr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14个市公司均达到基准值未达到挑战值。</w:t>
      </w:r>
    </w:p>
    <w:p>
      <w:pPr>
        <w:pStyle w:val="4"/>
        <w:spacing w:before="120" w:after="120" w:line="240" w:lineRule="auto"/>
        <w:rPr>
          <w:lang w:eastAsia="zh-CN"/>
        </w:rPr>
      </w:pPr>
      <w:r>
        <w:rPr>
          <w:rFonts w:ascii="微软雅黑" w:hAnsi="微软雅黑" w:eastAsia="微软雅黑"/>
          <w:color w:val="000000"/>
          <w:sz w:val="15"/>
          <w:lang w:eastAsia="zh-CN"/>
        </w:rPr>
        <w:t>2.2.5 各</w:t>
      </w:r>
      <w:r>
        <w:rPr>
          <w:rFonts w:hint="eastAsia" w:ascii="微软雅黑" w:hAnsi="微软雅黑" w:eastAsia="微软雅黑"/>
          <w:color w:val="000000"/>
          <w:sz w:val="15"/>
          <w:lang w:eastAsia="zh-CN"/>
        </w:rPr>
        <w:t>地市</w:t>
      </w:r>
      <w:r>
        <w:rPr>
          <w:rFonts w:ascii="微软雅黑" w:hAnsi="微软雅黑" w:eastAsia="微软雅黑"/>
          <w:color w:val="000000"/>
          <w:sz w:val="15"/>
          <w:lang w:eastAsia="zh-CN"/>
        </w:rPr>
        <w:t>卡顿/花屏时长占比（%）指标未达标情况：</w:t>
      </w:r>
    </w:p>
    <w:p>
      <w:pPr>
        <w:spacing w:before="120" w:after="120" w:line="240" w:lineRule="auto"/>
        <w:rPr>
          <w:sz w:val="15"/>
          <w:lang w:eastAsia="zh-CN"/>
        </w:rPr>
      </w:pPr>
      <w:r>
        <w:rPr>
          <w:sz w:val="15"/>
          <w:lang w:eastAsia="zh-CN"/>
        </w:rPr>
        <w:t>（卡顿/花屏时长占比（%）——</w:t>
      </w:r>
      <w:r>
        <w:rPr>
          <w:rFonts w:hint="eastAsia"/>
          <w:sz w:val="15"/>
          <w:lang w:eastAsia="zh-CN"/>
        </w:rPr>
        <w:t>基准值</w:t>
      </w:r>
      <w:r>
        <w:rPr>
          <w:sz w:val="15"/>
          <w:lang w:eastAsia="zh-CN"/>
        </w:rPr>
        <w:t>：0.07%，</w:t>
      </w:r>
      <w:r>
        <w:rPr>
          <w:rFonts w:hint="eastAsia"/>
          <w:sz w:val="15"/>
          <w:lang w:eastAsia="zh-CN"/>
        </w:rPr>
        <w:t>挑战值</w:t>
      </w:r>
      <w:r>
        <w:rPr>
          <w:sz w:val="15"/>
          <w:lang w:eastAsia="zh-CN"/>
        </w:rPr>
        <w:t>：0.05%）</w:t>
      </w:r>
    </w:p>
    <w:p>
      <w:pPr>
        <w:spacing w:before="120" w:after="120" w:line="240" w:lineRule="auto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百色、河池、贵港市公司未达到基准值；南宁、桂林、柳州、玉林、钦州、梧州、贺州、防城港市公司</w:t>
      </w:r>
      <w:r>
        <w:rPr>
          <w:rFonts w:hint="eastAsia"/>
          <w:sz w:val="15"/>
          <w:szCs w:val="15"/>
          <w:lang w:eastAsia="zh-CN"/>
        </w:rPr>
        <w:t>达到基准值未达到挑战值。</w:t>
      </w:r>
    </w:p>
    <w:p>
      <w:pPr>
        <w:pStyle w:val="4"/>
        <w:spacing w:before="120" w:after="120" w:line="240" w:lineRule="auto"/>
        <w:rPr>
          <w:lang w:eastAsia="zh-CN"/>
        </w:rPr>
      </w:pPr>
      <w:r>
        <w:rPr>
          <w:rFonts w:ascii="微软雅黑" w:hAnsi="微软雅黑" w:eastAsia="微软雅黑"/>
          <w:color w:val="000000"/>
          <w:sz w:val="15"/>
          <w:lang w:eastAsia="zh-CN"/>
        </w:rPr>
        <w:t>2.2.6 各</w:t>
      </w:r>
      <w:r>
        <w:rPr>
          <w:rFonts w:hint="eastAsia" w:ascii="微软雅黑" w:hAnsi="微软雅黑" w:eastAsia="微软雅黑"/>
          <w:color w:val="000000"/>
          <w:sz w:val="15"/>
          <w:lang w:eastAsia="zh-CN"/>
        </w:rPr>
        <w:t>地市</w:t>
      </w:r>
      <w:r>
        <w:rPr>
          <w:rFonts w:ascii="微软雅黑" w:hAnsi="微软雅黑" w:eastAsia="微软雅黑"/>
          <w:color w:val="000000"/>
          <w:sz w:val="15"/>
          <w:lang w:eastAsia="zh-CN"/>
        </w:rPr>
        <w:t>卡顿/花屏</w:t>
      </w:r>
      <w:r>
        <w:rPr>
          <w:rFonts w:hint="eastAsia" w:ascii="微软雅黑" w:hAnsi="微软雅黑" w:eastAsia="微软雅黑"/>
          <w:color w:val="000000"/>
          <w:sz w:val="15"/>
          <w:lang w:eastAsia="zh-CN"/>
        </w:rPr>
        <w:t>用户</w:t>
      </w:r>
      <w:r>
        <w:rPr>
          <w:rFonts w:ascii="微软雅黑" w:hAnsi="微软雅黑" w:eastAsia="微软雅黑"/>
          <w:color w:val="000000"/>
          <w:sz w:val="15"/>
          <w:lang w:eastAsia="zh-CN"/>
        </w:rPr>
        <w:t>占比（%）指标未达标情况：</w:t>
      </w:r>
    </w:p>
    <w:p>
      <w:pPr>
        <w:spacing w:before="120" w:after="120" w:line="240" w:lineRule="auto"/>
        <w:rPr>
          <w:sz w:val="15"/>
          <w:lang w:eastAsia="zh-CN"/>
        </w:rPr>
      </w:pPr>
      <w:r>
        <w:rPr>
          <w:sz w:val="15"/>
          <w:lang w:eastAsia="zh-CN"/>
        </w:rPr>
        <w:t>（卡顿/花屏</w:t>
      </w:r>
      <w:r>
        <w:rPr>
          <w:rFonts w:hint="eastAsia"/>
          <w:sz w:val="15"/>
          <w:lang w:eastAsia="zh-CN"/>
        </w:rPr>
        <w:t>用户</w:t>
      </w:r>
      <w:r>
        <w:rPr>
          <w:sz w:val="15"/>
          <w:lang w:eastAsia="zh-CN"/>
        </w:rPr>
        <w:t>占比（%）——</w:t>
      </w:r>
      <w:r>
        <w:rPr>
          <w:rFonts w:hint="eastAsia"/>
          <w:sz w:val="15"/>
          <w:lang w:eastAsia="zh-CN"/>
        </w:rPr>
        <w:t>基准值</w:t>
      </w:r>
      <w:r>
        <w:rPr>
          <w:sz w:val="15"/>
          <w:lang w:eastAsia="zh-CN"/>
        </w:rPr>
        <w:t>：1%）</w:t>
      </w:r>
    </w:p>
    <w:p>
      <w:pPr>
        <w:spacing w:before="120" w:after="120" w:line="240" w:lineRule="auto"/>
        <w:rPr>
          <w:rFonts w:hint="eastAsia"/>
          <w:sz w:val="15"/>
          <w:szCs w:val="15"/>
          <w:lang w:eastAsia="zh-CN"/>
        </w:rPr>
      </w:pPr>
      <w:r>
        <w:rPr>
          <w:rFonts w:hint="eastAsia" w:cs="宋体"/>
          <w:color w:val="000000"/>
          <w:sz w:val="15"/>
          <w:szCs w:val="15"/>
          <w:lang w:eastAsia="zh-CN"/>
        </w:rPr>
        <w:t>暂无。</w:t>
      </w:r>
    </w:p>
    <w:p>
      <w:pPr>
        <w:pStyle w:val="4"/>
        <w:spacing w:before="120" w:after="120" w:line="240" w:lineRule="auto"/>
        <w:rPr>
          <w:lang w:eastAsia="zh-CN"/>
        </w:rPr>
      </w:pPr>
      <w:r>
        <w:rPr>
          <w:rFonts w:ascii="微软雅黑" w:hAnsi="微软雅黑" w:eastAsia="微软雅黑"/>
          <w:color w:val="000000"/>
          <w:sz w:val="15"/>
          <w:lang w:eastAsia="zh-CN"/>
        </w:rPr>
        <w:t>2.2.</w:t>
      </w:r>
      <w:r>
        <w:rPr>
          <w:rFonts w:hint="eastAsia" w:ascii="微软雅黑" w:hAnsi="微软雅黑" w:eastAsia="微软雅黑"/>
          <w:color w:val="000000"/>
          <w:sz w:val="15"/>
          <w:lang w:eastAsia="zh-CN"/>
        </w:rPr>
        <w:t>7</w:t>
      </w:r>
      <w:r>
        <w:rPr>
          <w:rFonts w:ascii="微软雅黑" w:hAnsi="微软雅黑" w:eastAsia="微软雅黑"/>
          <w:color w:val="000000"/>
          <w:sz w:val="15"/>
          <w:lang w:eastAsia="zh-CN"/>
        </w:rPr>
        <w:t xml:space="preserve"> 各</w:t>
      </w:r>
      <w:r>
        <w:rPr>
          <w:rFonts w:hint="eastAsia" w:ascii="微软雅黑" w:hAnsi="微软雅黑" w:eastAsia="微软雅黑"/>
          <w:color w:val="000000"/>
          <w:sz w:val="15"/>
          <w:lang w:eastAsia="zh-CN"/>
        </w:rPr>
        <w:t>地市视频播放优良率</w:t>
      </w:r>
      <w:r>
        <w:rPr>
          <w:rFonts w:ascii="微软雅黑" w:hAnsi="微软雅黑" w:eastAsia="微软雅黑"/>
          <w:color w:val="000000"/>
          <w:sz w:val="15"/>
          <w:lang w:eastAsia="zh-CN"/>
        </w:rPr>
        <w:t>d-OA占比（%）指标未达标情况：</w:t>
      </w:r>
    </w:p>
    <w:p>
      <w:pPr>
        <w:spacing w:before="120" w:after="120" w:line="240" w:lineRule="auto"/>
        <w:rPr>
          <w:sz w:val="15"/>
          <w:lang w:eastAsia="zh-CN"/>
        </w:rPr>
      </w:pPr>
      <w:r>
        <w:rPr>
          <w:sz w:val="15"/>
          <w:lang w:eastAsia="zh-CN"/>
        </w:rPr>
        <w:t>（</w:t>
      </w:r>
      <w:r>
        <w:rPr>
          <w:rFonts w:hint="eastAsia"/>
          <w:sz w:val="15"/>
          <w:lang w:eastAsia="zh-CN"/>
        </w:rPr>
        <w:t>视频播放优良率</w:t>
      </w:r>
      <w:r>
        <w:rPr>
          <w:sz w:val="15"/>
          <w:lang w:eastAsia="zh-CN"/>
        </w:rPr>
        <w:t>d-OA占比（%）——</w:t>
      </w:r>
      <w:r>
        <w:rPr>
          <w:rFonts w:hint="eastAsia"/>
          <w:sz w:val="15"/>
          <w:lang w:eastAsia="zh-CN"/>
        </w:rPr>
        <w:t>挑战值</w:t>
      </w:r>
      <w:r>
        <w:rPr>
          <w:sz w:val="15"/>
          <w:lang w:eastAsia="zh-CN"/>
        </w:rPr>
        <w:t>：</w:t>
      </w:r>
      <w:r>
        <w:rPr>
          <w:rFonts w:hint="eastAsia"/>
          <w:sz w:val="15"/>
          <w:lang w:eastAsia="zh-CN"/>
        </w:rPr>
        <w:t>97</w:t>
      </w:r>
      <w:r>
        <w:rPr>
          <w:sz w:val="15"/>
          <w:lang w:eastAsia="zh-CN"/>
        </w:rPr>
        <w:t>%）</w:t>
      </w:r>
    </w:p>
    <w:p>
      <w:pPr>
        <w:spacing w:before="120" w:after="120" w:line="240" w:lineRule="auto"/>
        <w:rPr>
          <w:rFonts w:hint="default" w:cs="宋体"/>
          <w:color w:val="000000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柳州、百色、河池市公司未达到基准值。</w:t>
      </w:r>
    </w:p>
    <w:p>
      <w:pPr>
        <w:spacing w:before="120" w:after="120" w:line="240" w:lineRule="auto"/>
        <w:rPr>
          <w:b/>
          <w:bCs/>
          <w:color w:val="000000"/>
          <w:sz w:val="15"/>
          <w:lang w:eastAsia="zh-CN"/>
        </w:rPr>
      </w:pPr>
      <w:r>
        <w:rPr>
          <w:rFonts w:hint="eastAsia"/>
          <w:b/>
          <w:bCs/>
          <w:color w:val="000000"/>
          <w:sz w:val="15"/>
          <w:lang w:eastAsia="zh-CN"/>
        </w:rPr>
        <w:t>3.魔百和故障记录情况</w:t>
      </w:r>
    </w:p>
    <w:p>
      <w:pPr>
        <w:spacing w:before="120" w:after="120" w:line="240" w:lineRule="auto"/>
        <w:jc w:val="center"/>
        <w:rPr>
          <w:sz w:val="15"/>
          <w:lang w:eastAsia="zh-CN"/>
        </w:rPr>
      </w:pPr>
      <w:bookmarkStart w:id="1" w:name="_MON_1625413197"/>
      <w:bookmarkEnd w:id="1"/>
      <w:r>
        <w:rPr>
          <w:sz w:val="15"/>
          <w:lang w:eastAsia="zh-CN"/>
        </w:rPr>
        <w:object>
          <v:shape id="_x0000_i1025" o:spt="75" type="#_x0000_t75" style="height:65.25pt;width:7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4">
            <o:LockedField>false</o:LockedField>
          </o:OLEObject>
        </w:object>
      </w:r>
    </w:p>
    <w:sectPr>
      <w:pgSz w:w="12240" w:h="15840"/>
      <w:pgMar w:top="1440" w:right="1080" w:bottom="1440" w:left="108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186B"/>
    <w:rsid w:val="00172A27"/>
    <w:rsid w:val="00221BA7"/>
    <w:rsid w:val="00324489"/>
    <w:rsid w:val="003C7C17"/>
    <w:rsid w:val="003D51E7"/>
    <w:rsid w:val="004A4064"/>
    <w:rsid w:val="005301AB"/>
    <w:rsid w:val="00757FA4"/>
    <w:rsid w:val="0076722F"/>
    <w:rsid w:val="007737C0"/>
    <w:rsid w:val="0090334F"/>
    <w:rsid w:val="009F5C6D"/>
    <w:rsid w:val="00AA42E7"/>
    <w:rsid w:val="00F80104"/>
    <w:rsid w:val="01007BB8"/>
    <w:rsid w:val="01053047"/>
    <w:rsid w:val="01175451"/>
    <w:rsid w:val="013470F9"/>
    <w:rsid w:val="014561B9"/>
    <w:rsid w:val="015578E2"/>
    <w:rsid w:val="0174484C"/>
    <w:rsid w:val="017F7C81"/>
    <w:rsid w:val="01935774"/>
    <w:rsid w:val="01B4665F"/>
    <w:rsid w:val="01BB71F2"/>
    <w:rsid w:val="01C131A3"/>
    <w:rsid w:val="01D45125"/>
    <w:rsid w:val="01D76223"/>
    <w:rsid w:val="01E32B4A"/>
    <w:rsid w:val="01E96225"/>
    <w:rsid w:val="0200477B"/>
    <w:rsid w:val="02111E95"/>
    <w:rsid w:val="021650F9"/>
    <w:rsid w:val="024A700B"/>
    <w:rsid w:val="02574704"/>
    <w:rsid w:val="02771010"/>
    <w:rsid w:val="02835BE9"/>
    <w:rsid w:val="028A43EA"/>
    <w:rsid w:val="029E31DF"/>
    <w:rsid w:val="02B565BF"/>
    <w:rsid w:val="02BC0AF6"/>
    <w:rsid w:val="02C53450"/>
    <w:rsid w:val="02CD4B17"/>
    <w:rsid w:val="02D53AE3"/>
    <w:rsid w:val="02E15153"/>
    <w:rsid w:val="031155D3"/>
    <w:rsid w:val="0353169E"/>
    <w:rsid w:val="039D1D08"/>
    <w:rsid w:val="03CF044F"/>
    <w:rsid w:val="03D63331"/>
    <w:rsid w:val="03E23839"/>
    <w:rsid w:val="03EC4942"/>
    <w:rsid w:val="03ED0447"/>
    <w:rsid w:val="03FB51C9"/>
    <w:rsid w:val="0428595E"/>
    <w:rsid w:val="043236C6"/>
    <w:rsid w:val="0435131C"/>
    <w:rsid w:val="045019B1"/>
    <w:rsid w:val="047B1512"/>
    <w:rsid w:val="04A834BE"/>
    <w:rsid w:val="04C90E16"/>
    <w:rsid w:val="04E04DF8"/>
    <w:rsid w:val="04FE732B"/>
    <w:rsid w:val="050D3765"/>
    <w:rsid w:val="050D4FD2"/>
    <w:rsid w:val="05136029"/>
    <w:rsid w:val="05244B77"/>
    <w:rsid w:val="052C07A6"/>
    <w:rsid w:val="053F49E8"/>
    <w:rsid w:val="054C0B90"/>
    <w:rsid w:val="05581A41"/>
    <w:rsid w:val="0558701A"/>
    <w:rsid w:val="05641791"/>
    <w:rsid w:val="058C2A38"/>
    <w:rsid w:val="05AB350D"/>
    <w:rsid w:val="05C256A2"/>
    <w:rsid w:val="05C84AF7"/>
    <w:rsid w:val="05D50CAA"/>
    <w:rsid w:val="05D57FBE"/>
    <w:rsid w:val="05E35369"/>
    <w:rsid w:val="05E359FA"/>
    <w:rsid w:val="05F47E96"/>
    <w:rsid w:val="05FF75E6"/>
    <w:rsid w:val="06350E8F"/>
    <w:rsid w:val="06402F7D"/>
    <w:rsid w:val="065438CF"/>
    <w:rsid w:val="06644ABB"/>
    <w:rsid w:val="069D7364"/>
    <w:rsid w:val="06A66DE6"/>
    <w:rsid w:val="06A976AB"/>
    <w:rsid w:val="06B4104C"/>
    <w:rsid w:val="06C9750A"/>
    <w:rsid w:val="06D60F47"/>
    <w:rsid w:val="06D75567"/>
    <w:rsid w:val="06EB1AC9"/>
    <w:rsid w:val="06EC39AD"/>
    <w:rsid w:val="07011971"/>
    <w:rsid w:val="07091035"/>
    <w:rsid w:val="071D5440"/>
    <w:rsid w:val="072606CB"/>
    <w:rsid w:val="073801BD"/>
    <w:rsid w:val="07400E19"/>
    <w:rsid w:val="074F079A"/>
    <w:rsid w:val="07627C1A"/>
    <w:rsid w:val="076C5654"/>
    <w:rsid w:val="078723B7"/>
    <w:rsid w:val="07885BFB"/>
    <w:rsid w:val="078A400F"/>
    <w:rsid w:val="078C69B3"/>
    <w:rsid w:val="07A51422"/>
    <w:rsid w:val="07C36974"/>
    <w:rsid w:val="07D33258"/>
    <w:rsid w:val="07E16C7D"/>
    <w:rsid w:val="07F82847"/>
    <w:rsid w:val="08022A0E"/>
    <w:rsid w:val="08281391"/>
    <w:rsid w:val="084F09FC"/>
    <w:rsid w:val="08561DE6"/>
    <w:rsid w:val="085A7760"/>
    <w:rsid w:val="08636F86"/>
    <w:rsid w:val="08665881"/>
    <w:rsid w:val="08A27C31"/>
    <w:rsid w:val="08C76CBD"/>
    <w:rsid w:val="08D61AEC"/>
    <w:rsid w:val="08D86D92"/>
    <w:rsid w:val="08E01159"/>
    <w:rsid w:val="090231AF"/>
    <w:rsid w:val="09184F5F"/>
    <w:rsid w:val="093C0E85"/>
    <w:rsid w:val="098E04D2"/>
    <w:rsid w:val="099818B9"/>
    <w:rsid w:val="099C5C6B"/>
    <w:rsid w:val="09CA5B0C"/>
    <w:rsid w:val="09DE5D72"/>
    <w:rsid w:val="09EC78FE"/>
    <w:rsid w:val="09F51F8B"/>
    <w:rsid w:val="0A1D0134"/>
    <w:rsid w:val="0A40177E"/>
    <w:rsid w:val="0A5626CE"/>
    <w:rsid w:val="0A6B7AAA"/>
    <w:rsid w:val="0A933953"/>
    <w:rsid w:val="0ACE3B65"/>
    <w:rsid w:val="0ACF13DE"/>
    <w:rsid w:val="0ADB3CAC"/>
    <w:rsid w:val="0AFD29E4"/>
    <w:rsid w:val="0B2732D6"/>
    <w:rsid w:val="0B396127"/>
    <w:rsid w:val="0B5442A8"/>
    <w:rsid w:val="0B574784"/>
    <w:rsid w:val="0B623462"/>
    <w:rsid w:val="0B8B15FC"/>
    <w:rsid w:val="0BC27E66"/>
    <w:rsid w:val="0BC77DAA"/>
    <w:rsid w:val="0BE95AF4"/>
    <w:rsid w:val="0BF72EA3"/>
    <w:rsid w:val="0C041C48"/>
    <w:rsid w:val="0C146C28"/>
    <w:rsid w:val="0C407149"/>
    <w:rsid w:val="0C6E6DEC"/>
    <w:rsid w:val="0C8A1AC9"/>
    <w:rsid w:val="0C924C7C"/>
    <w:rsid w:val="0C932A7C"/>
    <w:rsid w:val="0C946EB4"/>
    <w:rsid w:val="0C986862"/>
    <w:rsid w:val="0CD85A40"/>
    <w:rsid w:val="0D060C99"/>
    <w:rsid w:val="0D425198"/>
    <w:rsid w:val="0D485105"/>
    <w:rsid w:val="0DD23664"/>
    <w:rsid w:val="0E01388C"/>
    <w:rsid w:val="0E6E09A9"/>
    <w:rsid w:val="0E6E10F5"/>
    <w:rsid w:val="0E890C79"/>
    <w:rsid w:val="0E9A2AB4"/>
    <w:rsid w:val="0E9A36FA"/>
    <w:rsid w:val="0EB42636"/>
    <w:rsid w:val="0F1165BF"/>
    <w:rsid w:val="0F1563F2"/>
    <w:rsid w:val="0F3A3872"/>
    <w:rsid w:val="0F3F6FD4"/>
    <w:rsid w:val="0F772CC2"/>
    <w:rsid w:val="0F846A3A"/>
    <w:rsid w:val="0F935DC6"/>
    <w:rsid w:val="0FC52AB3"/>
    <w:rsid w:val="0FC53A75"/>
    <w:rsid w:val="0FC75EC3"/>
    <w:rsid w:val="0FF07C9D"/>
    <w:rsid w:val="10020E25"/>
    <w:rsid w:val="100E44E1"/>
    <w:rsid w:val="10403E5E"/>
    <w:rsid w:val="105712EB"/>
    <w:rsid w:val="10886090"/>
    <w:rsid w:val="10A51B1F"/>
    <w:rsid w:val="10B30F81"/>
    <w:rsid w:val="10C633C5"/>
    <w:rsid w:val="10D137B0"/>
    <w:rsid w:val="11014974"/>
    <w:rsid w:val="11173C88"/>
    <w:rsid w:val="114A0529"/>
    <w:rsid w:val="116770CF"/>
    <w:rsid w:val="116F5A94"/>
    <w:rsid w:val="11727B59"/>
    <w:rsid w:val="118752C6"/>
    <w:rsid w:val="118E5516"/>
    <w:rsid w:val="118F3ED4"/>
    <w:rsid w:val="11BB3980"/>
    <w:rsid w:val="11BE4F92"/>
    <w:rsid w:val="11C33845"/>
    <w:rsid w:val="11CD40B1"/>
    <w:rsid w:val="11DE47F9"/>
    <w:rsid w:val="120E2D88"/>
    <w:rsid w:val="12214A4E"/>
    <w:rsid w:val="126A32D3"/>
    <w:rsid w:val="126F2A6C"/>
    <w:rsid w:val="12756CC7"/>
    <w:rsid w:val="129E1393"/>
    <w:rsid w:val="12AC1572"/>
    <w:rsid w:val="12BC00DA"/>
    <w:rsid w:val="12CC290C"/>
    <w:rsid w:val="130175FA"/>
    <w:rsid w:val="13023AD1"/>
    <w:rsid w:val="131C6317"/>
    <w:rsid w:val="131F1C4E"/>
    <w:rsid w:val="132E4D12"/>
    <w:rsid w:val="13655A25"/>
    <w:rsid w:val="136D5D3E"/>
    <w:rsid w:val="13701662"/>
    <w:rsid w:val="137F7CD0"/>
    <w:rsid w:val="13813435"/>
    <w:rsid w:val="13AB760D"/>
    <w:rsid w:val="13CE0284"/>
    <w:rsid w:val="140330A9"/>
    <w:rsid w:val="141A0983"/>
    <w:rsid w:val="142E274D"/>
    <w:rsid w:val="143839B9"/>
    <w:rsid w:val="145E4C3A"/>
    <w:rsid w:val="14741020"/>
    <w:rsid w:val="1478276D"/>
    <w:rsid w:val="148B14BD"/>
    <w:rsid w:val="14E2073E"/>
    <w:rsid w:val="14FB2E1E"/>
    <w:rsid w:val="15087A97"/>
    <w:rsid w:val="153F72E9"/>
    <w:rsid w:val="15491B02"/>
    <w:rsid w:val="154E374F"/>
    <w:rsid w:val="1577478E"/>
    <w:rsid w:val="15AD76FF"/>
    <w:rsid w:val="15DC6A56"/>
    <w:rsid w:val="16011A2D"/>
    <w:rsid w:val="16124810"/>
    <w:rsid w:val="16185BF0"/>
    <w:rsid w:val="161A1477"/>
    <w:rsid w:val="16221D1B"/>
    <w:rsid w:val="16232819"/>
    <w:rsid w:val="16283DA1"/>
    <w:rsid w:val="163018B8"/>
    <w:rsid w:val="163D3996"/>
    <w:rsid w:val="16490B42"/>
    <w:rsid w:val="16BF11EA"/>
    <w:rsid w:val="16C35D2F"/>
    <w:rsid w:val="16F37326"/>
    <w:rsid w:val="16FF4CB5"/>
    <w:rsid w:val="17410E5C"/>
    <w:rsid w:val="17557229"/>
    <w:rsid w:val="17566192"/>
    <w:rsid w:val="175C2065"/>
    <w:rsid w:val="178C515B"/>
    <w:rsid w:val="17A05D0F"/>
    <w:rsid w:val="17A6756A"/>
    <w:rsid w:val="17A948F5"/>
    <w:rsid w:val="17C074AA"/>
    <w:rsid w:val="17E14DC8"/>
    <w:rsid w:val="17E84B8C"/>
    <w:rsid w:val="181331BE"/>
    <w:rsid w:val="187D0074"/>
    <w:rsid w:val="189D6344"/>
    <w:rsid w:val="189E629C"/>
    <w:rsid w:val="18A503AB"/>
    <w:rsid w:val="18EA7678"/>
    <w:rsid w:val="18EC2196"/>
    <w:rsid w:val="18F21A4A"/>
    <w:rsid w:val="1968535C"/>
    <w:rsid w:val="1989093E"/>
    <w:rsid w:val="198C2886"/>
    <w:rsid w:val="19943680"/>
    <w:rsid w:val="19983C81"/>
    <w:rsid w:val="19B0664B"/>
    <w:rsid w:val="19C63911"/>
    <w:rsid w:val="19D441FF"/>
    <w:rsid w:val="1A06357B"/>
    <w:rsid w:val="1A0A6E1D"/>
    <w:rsid w:val="1A0E3CE5"/>
    <w:rsid w:val="1A245537"/>
    <w:rsid w:val="1A245693"/>
    <w:rsid w:val="1A2E0B9A"/>
    <w:rsid w:val="1A5B49FF"/>
    <w:rsid w:val="1A61427B"/>
    <w:rsid w:val="1A6C5B91"/>
    <w:rsid w:val="1A6D661F"/>
    <w:rsid w:val="1A733622"/>
    <w:rsid w:val="1A8B26C0"/>
    <w:rsid w:val="1A990D0C"/>
    <w:rsid w:val="1AA35FF6"/>
    <w:rsid w:val="1AAC1D23"/>
    <w:rsid w:val="1ACB08A2"/>
    <w:rsid w:val="1AE77260"/>
    <w:rsid w:val="1AF92681"/>
    <w:rsid w:val="1B0C2CC4"/>
    <w:rsid w:val="1B211845"/>
    <w:rsid w:val="1B4C0039"/>
    <w:rsid w:val="1B4C1A68"/>
    <w:rsid w:val="1B6F6CCE"/>
    <w:rsid w:val="1BE05E63"/>
    <w:rsid w:val="1BFB52C4"/>
    <w:rsid w:val="1C207C4A"/>
    <w:rsid w:val="1C2E3B66"/>
    <w:rsid w:val="1C323310"/>
    <w:rsid w:val="1C3802B6"/>
    <w:rsid w:val="1C433100"/>
    <w:rsid w:val="1CA16E3A"/>
    <w:rsid w:val="1CB44890"/>
    <w:rsid w:val="1CC120D4"/>
    <w:rsid w:val="1CD045C5"/>
    <w:rsid w:val="1CD857AF"/>
    <w:rsid w:val="1CD91558"/>
    <w:rsid w:val="1CE706CA"/>
    <w:rsid w:val="1D004C0D"/>
    <w:rsid w:val="1D035D0F"/>
    <w:rsid w:val="1D094646"/>
    <w:rsid w:val="1D1436CA"/>
    <w:rsid w:val="1D315961"/>
    <w:rsid w:val="1D451BF8"/>
    <w:rsid w:val="1D4539B3"/>
    <w:rsid w:val="1D613CD3"/>
    <w:rsid w:val="1D9F77AF"/>
    <w:rsid w:val="1DCF7635"/>
    <w:rsid w:val="1E096262"/>
    <w:rsid w:val="1E221BD0"/>
    <w:rsid w:val="1E3D141B"/>
    <w:rsid w:val="1E733736"/>
    <w:rsid w:val="1EBE4402"/>
    <w:rsid w:val="1EF36AC4"/>
    <w:rsid w:val="1EF877CF"/>
    <w:rsid w:val="1F095E81"/>
    <w:rsid w:val="1F274EAF"/>
    <w:rsid w:val="1F2A190E"/>
    <w:rsid w:val="1F3660E1"/>
    <w:rsid w:val="1F575BE6"/>
    <w:rsid w:val="1F641069"/>
    <w:rsid w:val="1F684892"/>
    <w:rsid w:val="1F713EB8"/>
    <w:rsid w:val="1F956642"/>
    <w:rsid w:val="1F9712E6"/>
    <w:rsid w:val="1FB249D4"/>
    <w:rsid w:val="1FBF120D"/>
    <w:rsid w:val="1FC1017E"/>
    <w:rsid w:val="1FD52E6D"/>
    <w:rsid w:val="20115A17"/>
    <w:rsid w:val="2028184D"/>
    <w:rsid w:val="206C1128"/>
    <w:rsid w:val="207D23FC"/>
    <w:rsid w:val="207F225C"/>
    <w:rsid w:val="2097045C"/>
    <w:rsid w:val="209F7146"/>
    <w:rsid w:val="20B32087"/>
    <w:rsid w:val="20CD76E6"/>
    <w:rsid w:val="20CF5AD0"/>
    <w:rsid w:val="20DB31DD"/>
    <w:rsid w:val="210101D8"/>
    <w:rsid w:val="2141752D"/>
    <w:rsid w:val="214F30DC"/>
    <w:rsid w:val="215B1D00"/>
    <w:rsid w:val="217C7781"/>
    <w:rsid w:val="2194468D"/>
    <w:rsid w:val="21B316A9"/>
    <w:rsid w:val="21BB0C1B"/>
    <w:rsid w:val="21EC0AD6"/>
    <w:rsid w:val="21F259E9"/>
    <w:rsid w:val="21FE40FC"/>
    <w:rsid w:val="21FF043D"/>
    <w:rsid w:val="22072FD8"/>
    <w:rsid w:val="221654E3"/>
    <w:rsid w:val="221D7173"/>
    <w:rsid w:val="222701AB"/>
    <w:rsid w:val="225072B6"/>
    <w:rsid w:val="22544DB5"/>
    <w:rsid w:val="22706200"/>
    <w:rsid w:val="227D3146"/>
    <w:rsid w:val="22846868"/>
    <w:rsid w:val="2294266F"/>
    <w:rsid w:val="22C066A2"/>
    <w:rsid w:val="22D25956"/>
    <w:rsid w:val="22E7706E"/>
    <w:rsid w:val="22F34FA0"/>
    <w:rsid w:val="22FD7865"/>
    <w:rsid w:val="22FE6D83"/>
    <w:rsid w:val="23084FAF"/>
    <w:rsid w:val="231510E8"/>
    <w:rsid w:val="23352A11"/>
    <w:rsid w:val="23366CA2"/>
    <w:rsid w:val="233A7A8E"/>
    <w:rsid w:val="235F0E42"/>
    <w:rsid w:val="235F778C"/>
    <w:rsid w:val="23950C75"/>
    <w:rsid w:val="239F1B8E"/>
    <w:rsid w:val="23A64038"/>
    <w:rsid w:val="23AE1AD2"/>
    <w:rsid w:val="23C35BB1"/>
    <w:rsid w:val="23C91BD6"/>
    <w:rsid w:val="24063320"/>
    <w:rsid w:val="240C2931"/>
    <w:rsid w:val="24325FAB"/>
    <w:rsid w:val="244E5AAC"/>
    <w:rsid w:val="245359B7"/>
    <w:rsid w:val="245A4517"/>
    <w:rsid w:val="247A5A6A"/>
    <w:rsid w:val="24936C6E"/>
    <w:rsid w:val="24992052"/>
    <w:rsid w:val="249D6B26"/>
    <w:rsid w:val="24B247AE"/>
    <w:rsid w:val="24CF2DF5"/>
    <w:rsid w:val="24D95936"/>
    <w:rsid w:val="250250D1"/>
    <w:rsid w:val="25246A8D"/>
    <w:rsid w:val="252645A4"/>
    <w:rsid w:val="252B3494"/>
    <w:rsid w:val="252D720C"/>
    <w:rsid w:val="254503D6"/>
    <w:rsid w:val="25483934"/>
    <w:rsid w:val="254D630E"/>
    <w:rsid w:val="25502995"/>
    <w:rsid w:val="255B18BD"/>
    <w:rsid w:val="256434FF"/>
    <w:rsid w:val="258D5427"/>
    <w:rsid w:val="258F19E4"/>
    <w:rsid w:val="259058BB"/>
    <w:rsid w:val="25CE23F6"/>
    <w:rsid w:val="25D60E59"/>
    <w:rsid w:val="25E324CC"/>
    <w:rsid w:val="25F00C1C"/>
    <w:rsid w:val="25F23453"/>
    <w:rsid w:val="26380AF6"/>
    <w:rsid w:val="26432425"/>
    <w:rsid w:val="267D0319"/>
    <w:rsid w:val="269C31FF"/>
    <w:rsid w:val="26A31FC6"/>
    <w:rsid w:val="26AB4F86"/>
    <w:rsid w:val="26CD68AB"/>
    <w:rsid w:val="26E2711C"/>
    <w:rsid w:val="26FF6D0E"/>
    <w:rsid w:val="27025B53"/>
    <w:rsid w:val="270378CA"/>
    <w:rsid w:val="271004D7"/>
    <w:rsid w:val="27176E0C"/>
    <w:rsid w:val="2725388A"/>
    <w:rsid w:val="272A43D0"/>
    <w:rsid w:val="27355D30"/>
    <w:rsid w:val="273827C9"/>
    <w:rsid w:val="274047DD"/>
    <w:rsid w:val="274D047C"/>
    <w:rsid w:val="275A450F"/>
    <w:rsid w:val="275B05C0"/>
    <w:rsid w:val="2770333E"/>
    <w:rsid w:val="27762637"/>
    <w:rsid w:val="2789721C"/>
    <w:rsid w:val="27B555F7"/>
    <w:rsid w:val="27BD43D2"/>
    <w:rsid w:val="27C81CAD"/>
    <w:rsid w:val="27DC33DA"/>
    <w:rsid w:val="28147153"/>
    <w:rsid w:val="281A1444"/>
    <w:rsid w:val="282109F6"/>
    <w:rsid w:val="28332BE1"/>
    <w:rsid w:val="283E64A7"/>
    <w:rsid w:val="284C5F47"/>
    <w:rsid w:val="287B7959"/>
    <w:rsid w:val="28912756"/>
    <w:rsid w:val="28B504CD"/>
    <w:rsid w:val="28C03B47"/>
    <w:rsid w:val="28E14C25"/>
    <w:rsid w:val="28E211F4"/>
    <w:rsid w:val="28E451BC"/>
    <w:rsid w:val="2903237D"/>
    <w:rsid w:val="29267029"/>
    <w:rsid w:val="292D3CE3"/>
    <w:rsid w:val="292D40FE"/>
    <w:rsid w:val="29675B64"/>
    <w:rsid w:val="297049C9"/>
    <w:rsid w:val="298F19EC"/>
    <w:rsid w:val="29903D86"/>
    <w:rsid w:val="299550CA"/>
    <w:rsid w:val="29AF7114"/>
    <w:rsid w:val="29C612A0"/>
    <w:rsid w:val="29D06DEE"/>
    <w:rsid w:val="2A0B0099"/>
    <w:rsid w:val="2A1C06E0"/>
    <w:rsid w:val="2A436EC8"/>
    <w:rsid w:val="2A4B5644"/>
    <w:rsid w:val="2A623845"/>
    <w:rsid w:val="2A6258A0"/>
    <w:rsid w:val="2A735997"/>
    <w:rsid w:val="2A782162"/>
    <w:rsid w:val="2A7B7406"/>
    <w:rsid w:val="2A936975"/>
    <w:rsid w:val="2ABF691C"/>
    <w:rsid w:val="2ACE17B2"/>
    <w:rsid w:val="2ADA31B3"/>
    <w:rsid w:val="2AE53B50"/>
    <w:rsid w:val="2B1E1FD1"/>
    <w:rsid w:val="2B2306FE"/>
    <w:rsid w:val="2B3B3A9D"/>
    <w:rsid w:val="2B3B7DFA"/>
    <w:rsid w:val="2B550B0D"/>
    <w:rsid w:val="2B551E75"/>
    <w:rsid w:val="2B6809DF"/>
    <w:rsid w:val="2B6F7D1F"/>
    <w:rsid w:val="2B7278BA"/>
    <w:rsid w:val="2B7752DA"/>
    <w:rsid w:val="2B8B3764"/>
    <w:rsid w:val="2B947758"/>
    <w:rsid w:val="2B971645"/>
    <w:rsid w:val="2BA632CC"/>
    <w:rsid w:val="2BAF0740"/>
    <w:rsid w:val="2BB35221"/>
    <w:rsid w:val="2BC120D7"/>
    <w:rsid w:val="2BC154E5"/>
    <w:rsid w:val="2BE20B57"/>
    <w:rsid w:val="2BE3042E"/>
    <w:rsid w:val="2BF456EA"/>
    <w:rsid w:val="2BF93854"/>
    <w:rsid w:val="2C055FC1"/>
    <w:rsid w:val="2C186A53"/>
    <w:rsid w:val="2C225043"/>
    <w:rsid w:val="2C271571"/>
    <w:rsid w:val="2C3B3A46"/>
    <w:rsid w:val="2C5A4C35"/>
    <w:rsid w:val="2C7C553A"/>
    <w:rsid w:val="2C9D27E0"/>
    <w:rsid w:val="2CA06F38"/>
    <w:rsid w:val="2CC34528"/>
    <w:rsid w:val="2CDC745D"/>
    <w:rsid w:val="2CFD65F6"/>
    <w:rsid w:val="2D0B13D1"/>
    <w:rsid w:val="2D13716E"/>
    <w:rsid w:val="2D137275"/>
    <w:rsid w:val="2D232AB2"/>
    <w:rsid w:val="2D250528"/>
    <w:rsid w:val="2D460FE1"/>
    <w:rsid w:val="2D485899"/>
    <w:rsid w:val="2DBD36B0"/>
    <w:rsid w:val="2DEB4938"/>
    <w:rsid w:val="2DFB022C"/>
    <w:rsid w:val="2E31428C"/>
    <w:rsid w:val="2E42201A"/>
    <w:rsid w:val="2E550C9D"/>
    <w:rsid w:val="2E6142A9"/>
    <w:rsid w:val="2E6427E7"/>
    <w:rsid w:val="2E8B6DEF"/>
    <w:rsid w:val="2E8C6B02"/>
    <w:rsid w:val="2E9613DB"/>
    <w:rsid w:val="2EB173B8"/>
    <w:rsid w:val="2EB8071F"/>
    <w:rsid w:val="2ED24A73"/>
    <w:rsid w:val="2EE61696"/>
    <w:rsid w:val="2F1D1F5A"/>
    <w:rsid w:val="2F3B29FF"/>
    <w:rsid w:val="2F54048F"/>
    <w:rsid w:val="2F5B33DE"/>
    <w:rsid w:val="2F6B71FD"/>
    <w:rsid w:val="2F83633F"/>
    <w:rsid w:val="2F8F139B"/>
    <w:rsid w:val="2FA30C22"/>
    <w:rsid w:val="2FA87583"/>
    <w:rsid w:val="2FAD638A"/>
    <w:rsid w:val="2FED69DD"/>
    <w:rsid w:val="2FEF4307"/>
    <w:rsid w:val="30023D1B"/>
    <w:rsid w:val="30032DC2"/>
    <w:rsid w:val="301A2DEB"/>
    <w:rsid w:val="301F463B"/>
    <w:rsid w:val="30587C97"/>
    <w:rsid w:val="30697716"/>
    <w:rsid w:val="30965110"/>
    <w:rsid w:val="30DC6543"/>
    <w:rsid w:val="30E57712"/>
    <w:rsid w:val="315F3654"/>
    <w:rsid w:val="31762EF0"/>
    <w:rsid w:val="31A165C3"/>
    <w:rsid w:val="31B770BC"/>
    <w:rsid w:val="31BD49F7"/>
    <w:rsid w:val="31CE03B1"/>
    <w:rsid w:val="31EA0958"/>
    <w:rsid w:val="31ED2A9E"/>
    <w:rsid w:val="323366AB"/>
    <w:rsid w:val="327F1D48"/>
    <w:rsid w:val="32825BE4"/>
    <w:rsid w:val="32842E97"/>
    <w:rsid w:val="329B08FD"/>
    <w:rsid w:val="32BE33A3"/>
    <w:rsid w:val="32C00252"/>
    <w:rsid w:val="32D03A45"/>
    <w:rsid w:val="32EC6531"/>
    <w:rsid w:val="3308468E"/>
    <w:rsid w:val="333657E3"/>
    <w:rsid w:val="33462F40"/>
    <w:rsid w:val="334F3FAA"/>
    <w:rsid w:val="33557DB1"/>
    <w:rsid w:val="33597315"/>
    <w:rsid w:val="336C63D4"/>
    <w:rsid w:val="33A0632D"/>
    <w:rsid w:val="33AF32D3"/>
    <w:rsid w:val="33B850CA"/>
    <w:rsid w:val="33C455E6"/>
    <w:rsid w:val="33DF36D2"/>
    <w:rsid w:val="33E11B65"/>
    <w:rsid w:val="33E767EA"/>
    <w:rsid w:val="33E863CB"/>
    <w:rsid w:val="33F15990"/>
    <w:rsid w:val="3437550E"/>
    <w:rsid w:val="343A50F7"/>
    <w:rsid w:val="343D4460"/>
    <w:rsid w:val="344F493A"/>
    <w:rsid w:val="34520ACE"/>
    <w:rsid w:val="34862034"/>
    <w:rsid w:val="348727A3"/>
    <w:rsid w:val="34942661"/>
    <w:rsid w:val="349E1E0B"/>
    <w:rsid w:val="34BA7C38"/>
    <w:rsid w:val="34F57B63"/>
    <w:rsid w:val="34F76049"/>
    <w:rsid w:val="34FC7578"/>
    <w:rsid w:val="351162C7"/>
    <w:rsid w:val="354C6BDD"/>
    <w:rsid w:val="35564A75"/>
    <w:rsid w:val="356A2589"/>
    <w:rsid w:val="35851E35"/>
    <w:rsid w:val="35A929F1"/>
    <w:rsid w:val="35B827A2"/>
    <w:rsid w:val="35C4053B"/>
    <w:rsid w:val="35CB1616"/>
    <w:rsid w:val="35DC11E9"/>
    <w:rsid w:val="35E02BD6"/>
    <w:rsid w:val="35FA772A"/>
    <w:rsid w:val="3612505E"/>
    <w:rsid w:val="36245B61"/>
    <w:rsid w:val="3636587F"/>
    <w:rsid w:val="36382ABF"/>
    <w:rsid w:val="364647A3"/>
    <w:rsid w:val="36485FFB"/>
    <w:rsid w:val="364D74C1"/>
    <w:rsid w:val="367F2268"/>
    <w:rsid w:val="36C25918"/>
    <w:rsid w:val="36EE4589"/>
    <w:rsid w:val="36F2216F"/>
    <w:rsid w:val="36F35A0D"/>
    <w:rsid w:val="36F57311"/>
    <w:rsid w:val="375B37A8"/>
    <w:rsid w:val="37A05BB4"/>
    <w:rsid w:val="37BB0C4A"/>
    <w:rsid w:val="37CE365E"/>
    <w:rsid w:val="37CF6CAD"/>
    <w:rsid w:val="37D44403"/>
    <w:rsid w:val="37D93EAD"/>
    <w:rsid w:val="37EB4294"/>
    <w:rsid w:val="381F796E"/>
    <w:rsid w:val="383E38E4"/>
    <w:rsid w:val="38A11A93"/>
    <w:rsid w:val="38BC769D"/>
    <w:rsid w:val="38E672B6"/>
    <w:rsid w:val="38EA6405"/>
    <w:rsid w:val="39111478"/>
    <w:rsid w:val="3954525D"/>
    <w:rsid w:val="396D5DD1"/>
    <w:rsid w:val="39721EF9"/>
    <w:rsid w:val="39765644"/>
    <w:rsid w:val="39846327"/>
    <w:rsid w:val="39AD6E35"/>
    <w:rsid w:val="39B321E4"/>
    <w:rsid w:val="39C13706"/>
    <w:rsid w:val="39C96ED7"/>
    <w:rsid w:val="39D57893"/>
    <w:rsid w:val="39DD4DFC"/>
    <w:rsid w:val="3A291206"/>
    <w:rsid w:val="3A314EFF"/>
    <w:rsid w:val="3A363E1E"/>
    <w:rsid w:val="3A5D566B"/>
    <w:rsid w:val="3A77448C"/>
    <w:rsid w:val="3A7B527C"/>
    <w:rsid w:val="3A8E454A"/>
    <w:rsid w:val="3A9F0DB5"/>
    <w:rsid w:val="3AB75859"/>
    <w:rsid w:val="3AC85607"/>
    <w:rsid w:val="3AD10E00"/>
    <w:rsid w:val="3ADA1F25"/>
    <w:rsid w:val="3ADC1921"/>
    <w:rsid w:val="3AED27BD"/>
    <w:rsid w:val="3B021FA3"/>
    <w:rsid w:val="3B585B17"/>
    <w:rsid w:val="3B746EEB"/>
    <w:rsid w:val="3B9F139D"/>
    <w:rsid w:val="3BA85653"/>
    <w:rsid w:val="3BB41DDB"/>
    <w:rsid w:val="3BF26ED4"/>
    <w:rsid w:val="3BF737DC"/>
    <w:rsid w:val="3C3B646D"/>
    <w:rsid w:val="3C4A0AD1"/>
    <w:rsid w:val="3C686DC5"/>
    <w:rsid w:val="3C7B6131"/>
    <w:rsid w:val="3CA21B00"/>
    <w:rsid w:val="3CA21C56"/>
    <w:rsid w:val="3CB14343"/>
    <w:rsid w:val="3CB1579D"/>
    <w:rsid w:val="3CB45AEC"/>
    <w:rsid w:val="3CC512AB"/>
    <w:rsid w:val="3CC845AA"/>
    <w:rsid w:val="3CE21F96"/>
    <w:rsid w:val="3CFE19EA"/>
    <w:rsid w:val="3D02596F"/>
    <w:rsid w:val="3D0A12CB"/>
    <w:rsid w:val="3D0B7BFA"/>
    <w:rsid w:val="3D14720B"/>
    <w:rsid w:val="3D2B5E33"/>
    <w:rsid w:val="3D3449C6"/>
    <w:rsid w:val="3D420981"/>
    <w:rsid w:val="3D4B6FC3"/>
    <w:rsid w:val="3D6F6A80"/>
    <w:rsid w:val="3DA7798A"/>
    <w:rsid w:val="3DB64EDA"/>
    <w:rsid w:val="3DD7614E"/>
    <w:rsid w:val="3DDD0C87"/>
    <w:rsid w:val="3E021EA8"/>
    <w:rsid w:val="3E2832E3"/>
    <w:rsid w:val="3E314A92"/>
    <w:rsid w:val="3E397DC8"/>
    <w:rsid w:val="3E4755CF"/>
    <w:rsid w:val="3E4C5126"/>
    <w:rsid w:val="3E4D0594"/>
    <w:rsid w:val="3E5611B0"/>
    <w:rsid w:val="3E6D4940"/>
    <w:rsid w:val="3E866874"/>
    <w:rsid w:val="3E9732C2"/>
    <w:rsid w:val="3EC13F5E"/>
    <w:rsid w:val="3ED80953"/>
    <w:rsid w:val="3EF258A6"/>
    <w:rsid w:val="3EFA261C"/>
    <w:rsid w:val="3EFC2372"/>
    <w:rsid w:val="3F0206E1"/>
    <w:rsid w:val="3F0B44BB"/>
    <w:rsid w:val="3F2308E9"/>
    <w:rsid w:val="3F61231B"/>
    <w:rsid w:val="3F867495"/>
    <w:rsid w:val="3FAF1FFE"/>
    <w:rsid w:val="3FB412A7"/>
    <w:rsid w:val="40156FDE"/>
    <w:rsid w:val="40256400"/>
    <w:rsid w:val="40403E3C"/>
    <w:rsid w:val="40477B28"/>
    <w:rsid w:val="405520D6"/>
    <w:rsid w:val="405913C9"/>
    <w:rsid w:val="405F2246"/>
    <w:rsid w:val="40713BEE"/>
    <w:rsid w:val="4080447D"/>
    <w:rsid w:val="409365B5"/>
    <w:rsid w:val="40DE6690"/>
    <w:rsid w:val="40F806AA"/>
    <w:rsid w:val="40F835A9"/>
    <w:rsid w:val="411470E9"/>
    <w:rsid w:val="415E38BC"/>
    <w:rsid w:val="416316C3"/>
    <w:rsid w:val="416775D6"/>
    <w:rsid w:val="41755254"/>
    <w:rsid w:val="41AD1C54"/>
    <w:rsid w:val="41C165D3"/>
    <w:rsid w:val="41C63080"/>
    <w:rsid w:val="41DA6DA0"/>
    <w:rsid w:val="42057854"/>
    <w:rsid w:val="420F3757"/>
    <w:rsid w:val="42284892"/>
    <w:rsid w:val="42300259"/>
    <w:rsid w:val="42584949"/>
    <w:rsid w:val="428140E2"/>
    <w:rsid w:val="42842CBB"/>
    <w:rsid w:val="428C3170"/>
    <w:rsid w:val="428E3BB8"/>
    <w:rsid w:val="42AB0F8F"/>
    <w:rsid w:val="42B65975"/>
    <w:rsid w:val="42C14D02"/>
    <w:rsid w:val="42D10830"/>
    <w:rsid w:val="42D20AA2"/>
    <w:rsid w:val="42E0694D"/>
    <w:rsid w:val="42E43E9C"/>
    <w:rsid w:val="430208C6"/>
    <w:rsid w:val="43301DF4"/>
    <w:rsid w:val="434E06CB"/>
    <w:rsid w:val="434F5F0C"/>
    <w:rsid w:val="435D05E5"/>
    <w:rsid w:val="43640735"/>
    <w:rsid w:val="436B3216"/>
    <w:rsid w:val="436D4B47"/>
    <w:rsid w:val="43A5230A"/>
    <w:rsid w:val="43A77F4A"/>
    <w:rsid w:val="43B82A81"/>
    <w:rsid w:val="43CE64C7"/>
    <w:rsid w:val="43CE7674"/>
    <w:rsid w:val="43DA4F7E"/>
    <w:rsid w:val="43E05A20"/>
    <w:rsid w:val="43F5483D"/>
    <w:rsid w:val="44837C52"/>
    <w:rsid w:val="44A53722"/>
    <w:rsid w:val="44AB367D"/>
    <w:rsid w:val="44B24620"/>
    <w:rsid w:val="44C0180D"/>
    <w:rsid w:val="44E578A8"/>
    <w:rsid w:val="44F54999"/>
    <w:rsid w:val="450C55D4"/>
    <w:rsid w:val="45132D59"/>
    <w:rsid w:val="451D6FEA"/>
    <w:rsid w:val="4527550E"/>
    <w:rsid w:val="453A6EC8"/>
    <w:rsid w:val="454F70C8"/>
    <w:rsid w:val="45A57336"/>
    <w:rsid w:val="45A75788"/>
    <w:rsid w:val="45B056BB"/>
    <w:rsid w:val="45D16DCF"/>
    <w:rsid w:val="45F26D57"/>
    <w:rsid w:val="45F5397C"/>
    <w:rsid w:val="4606255B"/>
    <w:rsid w:val="46367666"/>
    <w:rsid w:val="465A66AD"/>
    <w:rsid w:val="46647A5E"/>
    <w:rsid w:val="466E7FFC"/>
    <w:rsid w:val="467C7ABC"/>
    <w:rsid w:val="46956890"/>
    <w:rsid w:val="46DD1B5E"/>
    <w:rsid w:val="46E368E8"/>
    <w:rsid w:val="46FF3584"/>
    <w:rsid w:val="47005235"/>
    <w:rsid w:val="4709203E"/>
    <w:rsid w:val="470D21DE"/>
    <w:rsid w:val="472000BD"/>
    <w:rsid w:val="47366486"/>
    <w:rsid w:val="4739635B"/>
    <w:rsid w:val="47820793"/>
    <w:rsid w:val="478F5A5B"/>
    <w:rsid w:val="47B27304"/>
    <w:rsid w:val="47B31FA7"/>
    <w:rsid w:val="47C30FC7"/>
    <w:rsid w:val="47D52F79"/>
    <w:rsid w:val="47D74B1A"/>
    <w:rsid w:val="47D7720C"/>
    <w:rsid w:val="47DB5460"/>
    <w:rsid w:val="47E02F93"/>
    <w:rsid w:val="48021F38"/>
    <w:rsid w:val="480401AF"/>
    <w:rsid w:val="48086E2C"/>
    <w:rsid w:val="480C33C1"/>
    <w:rsid w:val="481A4247"/>
    <w:rsid w:val="485A4406"/>
    <w:rsid w:val="486444B4"/>
    <w:rsid w:val="48666CDD"/>
    <w:rsid w:val="48797ED9"/>
    <w:rsid w:val="487A1EE6"/>
    <w:rsid w:val="488C57C1"/>
    <w:rsid w:val="48965629"/>
    <w:rsid w:val="48A82158"/>
    <w:rsid w:val="48B8014A"/>
    <w:rsid w:val="48DC7FFC"/>
    <w:rsid w:val="49001941"/>
    <w:rsid w:val="49266392"/>
    <w:rsid w:val="493D6FAF"/>
    <w:rsid w:val="49425799"/>
    <w:rsid w:val="49543620"/>
    <w:rsid w:val="496C44E7"/>
    <w:rsid w:val="49A63570"/>
    <w:rsid w:val="49AC5042"/>
    <w:rsid w:val="49EE694B"/>
    <w:rsid w:val="49F20FC6"/>
    <w:rsid w:val="4A416443"/>
    <w:rsid w:val="4A50237C"/>
    <w:rsid w:val="4A515737"/>
    <w:rsid w:val="4A624586"/>
    <w:rsid w:val="4A75428D"/>
    <w:rsid w:val="4A9263F5"/>
    <w:rsid w:val="4A956693"/>
    <w:rsid w:val="4A9613ED"/>
    <w:rsid w:val="4A9E03BE"/>
    <w:rsid w:val="4ABD32AF"/>
    <w:rsid w:val="4AEB3FB5"/>
    <w:rsid w:val="4AF46865"/>
    <w:rsid w:val="4B095C60"/>
    <w:rsid w:val="4B140D36"/>
    <w:rsid w:val="4B181CAD"/>
    <w:rsid w:val="4B2C26E5"/>
    <w:rsid w:val="4B31140C"/>
    <w:rsid w:val="4B367C50"/>
    <w:rsid w:val="4B4E43AE"/>
    <w:rsid w:val="4B59664F"/>
    <w:rsid w:val="4B8F4658"/>
    <w:rsid w:val="4B9B2DC0"/>
    <w:rsid w:val="4BBB0D85"/>
    <w:rsid w:val="4BC735EA"/>
    <w:rsid w:val="4BE4206D"/>
    <w:rsid w:val="4BF9011A"/>
    <w:rsid w:val="4C0A23DB"/>
    <w:rsid w:val="4C0C74ED"/>
    <w:rsid w:val="4C4E51B9"/>
    <w:rsid w:val="4C4F51FD"/>
    <w:rsid w:val="4C72512A"/>
    <w:rsid w:val="4C9C6AB2"/>
    <w:rsid w:val="4CBC3F0F"/>
    <w:rsid w:val="4CC453B7"/>
    <w:rsid w:val="4CC60A2F"/>
    <w:rsid w:val="4CD00233"/>
    <w:rsid w:val="4CE146BA"/>
    <w:rsid w:val="4CF828D4"/>
    <w:rsid w:val="4D220EBE"/>
    <w:rsid w:val="4D3D2740"/>
    <w:rsid w:val="4D541E03"/>
    <w:rsid w:val="4D6A00A6"/>
    <w:rsid w:val="4D6C495C"/>
    <w:rsid w:val="4D83237F"/>
    <w:rsid w:val="4D961F78"/>
    <w:rsid w:val="4D96381D"/>
    <w:rsid w:val="4DA64F71"/>
    <w:rsid w:val="4DCD4E7C"/>
    <w:rsid w:val="4DD838FA"/>
    <w:rsid w:val="4DD9430E"/>
    <w:rsid w:val="4DF11DA9"/>
    <w:rsid w:val="4E0D4201"/>
    <w:rsid w:val="4E3F244E"/>
    <w:rsid w:val="4E4F6E20"/>
    <w:rsid w:val="4E6351DD"/>
    <w:rsid w:val="4E724FA4"/>
    <w:rsid w:val="4E7E53FE"/>
    <w:rsid w:val="4E932D4E"/>
    <w:rsid w:val="4E9816D3"/>
    <w:rsid w:val="4EA97D3C"/>
    <w:rsid w:val="4EAE3080"/>
    <w:rsid w:val="4ECD6286"/>
    <w:rsid w:val="4F403CBF"/>
    <w:rsid w:val="4F460AED"/>
    <w:rsid w:val="4F6F5AA4"/>
    <w:rsid w:val="4FE3683D"/>
    <w:rsid w:val="500B1DE0"/>
    <w:rsid w:val="500D35FE"/>
    <w:rsid w:val="50323BBF"/>
    <w:rsid w:val="50325E13"/>
    <w:rsid w:val="503C3EA7"/>
    <w:rsid w:val="506412BE"/>
    <w:rsid w:val="507435DD"/>
    <w:rsid w:val="507E579D"/>
    <w:rsid w:val="50AE00B0"/>
    <w:rsid w:val="50E34263"/>
    <w:rsid w:val="510B7E90"/>
    <w:rsid w:val="511273F4"/>
    <w:rsid w:val="513C0DBB"/>
    <w:rsid w:val="514124F9"/>
    <w:rsid w:val="51467DEF"/>
    <w:rsid w:val="51496BB6"/>
    <w:rsid w:val="51532685"/>
    <w:rsid w:val="516C08B6"/>
    <w:rsid w:val="517C0238"/>
    <w:rsid w:val="519171D8"/>
    <w:rsid w:val="51A41A94"/>
    <w:rsid w:val="51A442B9"/>
    <w:rsid w:val="51BD1C64"/>
    <w:rsid w:val="51E87428"/>
    <w:rsid w:val="51FA1C6D"/>
    <w:rsid w:val="5239374D"/>
    <w:rsid w:val="52A60E30"/>
    <w:rsid w:val="52B72D08"/>
    <w:rsid w:val="52D169C6"/>
    <w:rsid w:val="52D16D65"/>
    <w:rsid w:val="52E332EC"/>
    <w:rsid w:val="52E52D60"/>
    <w:rsid w:val="52E62825"/>
    <w:rsid w:val="52ED5334"/>
    <w:rsid w:val="53242139"/>
    <w:rsid w:val="532A07D8"/>
    <w:rsid w:val="532A4E2C"/>
    <w:rsid w:val="537C20D2"/>
    <w:rsid w:val="537C26C1"/>
    <w:rsid w:val="538E2CA6"/>
    <w:rsid w:val="53B15AF0"/>
    <w:rsid w:val="53FC593D"/>
    <w:rsid w:val="54026E4F"/>
    <w:rsid w:val="54047EB3"/>
    <w:rsid w:val="540C29B4"/>
    <w:rsid w:val="540F1AAF"/>
    <w:rsid w:val="54166F18"/>
    <w:rsid w:val="54214BBF"/>
    <w:rsid w:val="544B089F"/>
    <w:rsid w:val="54774C45"/>
    <w:rsid w:val="54787739"/>
    <w:rsid w:val="54B51461"/>
    <w:rsid w:val="54BC7F15"/>
    <w:rsid w:val="54CB7513"/>
    <w:rsid w:val="552C0B6E"/>
    <w:rsid w:val="55311300"/>
    <w:rsid w:val="5538094A"/>
    <w:rsid w:val="553A5F26"/>
    <w:rsid w:val="5551229E"/>
    <w:rsid w:val="55557214"/>
    <w:rsid w:val="557524FA"/>
    <w:rsid w:val="557769C9"/>
    <w:rsid w:val="559E4CA2"/>
    <w:rsid w:val="55A33483"/>
    <w:rsid w:val="55B22DAD"/>
    <w:rsid w:val="55C85740"/>
    <w:rsid w:val="55CE7F8B"/>
    <w:rsid w:val="55F07D98"/>
    <w:rsid w:val="56022DF5"/>
    <w:rsid w:val="56214129"/>
    <w:rsid w:val="56217C70"/>
    <w:rsid w:val="56396E0C"/>
    <w:rsid w:val="563B78C2"/>
    <w:rsid w:val="56511881"/>
    <w:rsid w:val="5652565E"/>
    <w:rsid w:val="56546B28"/>
    <w:rsid w:val="56684C1D"/>
    <w:rsid w:val="569405DF"/>
    <w:rsid w:val="56B0158C"/>
    <w:rsid w:val="56B50366"/>
    <w:rsid w:val="56C435F3"/>
    <w:rsid w:val="56DD56B8"/>
    <w:rsid w:val="56EF202C"/>
    <w:rsid w:val="5716377B"/>
    <w:rsid w:val="571F7122"/>
    <w:rsid w:val="574E080B"/>
    <w:rsid w:val="578474D0"/>
    <w:rsid w:val="5798273B"/>
    <w:rsid w:val="57AE44BB"/>
    <w:rsid w:val="57AF6203"/>
    <w:rsid w:val="57B962C5"/>
    <w:rsid w:val="57F42D3D"/>
    <w:rsid w:val="5800451C"/>
    <w:rsid w:val="580242F9"/>
    <w:rsid w:val="58075C11"/>
    <w:rsid w:val="582A7E56"/>
    <w:rsid w:val="585D7196"/>
    <w:rsid w:val="58741EAE"/>
    <w:rsid w:val="58842157"/>
    <w:rsid w:val="588E7C15"/>
    <w:rsid w:val="58C07C50"/>
    <w:rsid w:val="58D068A4"/>
    <w:rsid w:val="5905048A"/>
    <w:rsid w:val="590F6A14"/>
    <w:rsid w:val="591541EC"/>
    <w:rsid w:val="592B5896"/>
    <w:rsid w:val="593912B0"/>
    <w:rsid w:val="595E4CDD"/>
    <w:rsid w:val="59730E4B"/>
    <w:rsid w:val="59774DD9"/>
    <w:rsid w:val="598B5E01"/>
    <w:rsid w:val="599E686A"/>
    <w:rsid w:val="59C02EE9"/>
    <w:rsid w:val="59C93F99"/>
    <w:rsid w:val="59FA09D1"/>
    <w:rsid w:val="5A046071"/>
    <w:rsid w:val="5A1F2D5D"/>
    <w:rsid w:val="5A24685E"/>
    <w:rsid w:val="5A2A505C"/>
    <w:rsid w:val="5A4D779A"/>
    <w:rsid w:val="5AE43526"/>
    <w:rsid w:val="5AF150EE"/>
    <w:rsid w:val="5B2E44C5"/>
    <w:rsid w:val="5B42158B"/>
    <w:rsid w:val="5B423595"/>
    <w:rsid w:val="5B456502"/>
    <w:rsid w:val="5B787F18"/>
    <w:rsid w:val="5B8A733A"/>
    <w:rsid w:val="5B965213"/>
    <w:rsid w:val="5BB03ABA"/>
    <w:rsid w:val="5BB50BE4"/>
    <w:rsid w:val="5BC31350"/>
    <w:rsid w:val="5BD16467"/>
    <w:rsid w:val="5BF10DE4"/>
    <w:rsid w:val="5BFC47A8"/>
    <w:rsid w:val="5C07630C"/>
    <w:rsid w:val="5C257F0E"/>
    <w:rsid w:val="5C4B5C18"/>
    <w:rsid w:val="5C6404F4"/>
    <w:rsid w:val="5C6E482C"/>
    <w:rsid w:val="5C7D4A9E"/>
    <w:rsid w:val="5C830689"/>
    <w:rsid w:val="5C881622"/>
    <w:rsid w:val="5C97496B"/>
    <w:rsid w:val="5C9B5E99"/>
    <w:rsid w:val="5CA64FD5"/>
    <w:rsid w:val="5CA85FB6"/>
    <w:rsid w:val="5CEE145F"/>
    <w:rsid w:val="5CF354CF"/>
    <w:rsid w:val="5D0357F3"/>
    <w:rsid w:val="5D062586"/>
    <w:rsid w:val="5D0829E2"/>
    <w:rsid w:val="5D186B58"/>
    <w:rsid w:val="5D2A5725"/>
    <w:rsid w:val="5D3C0317"/>
    <w:rsid w:val="5D4836EF"/>
    <w:rsid w:val="5D896CC5"/>
    <w:rsid w:val="5D8A3521"/>
    <w:rsid w:val="5DB73CB5"/>
    <w:rsid w:val="5DE66B1C"/>
    <w:rsid w:val="5DFD7F95"/>
    <w:rsid w:val="5E0502BB"/>
    <w:rsid w:val="5E36563C"/>
    <w:rsid w:val="5E590D87"/>
    <w:rsid w:val="5E6522B0"/>
    <w:rsid w:val="5E796892"/>
    <w:rsid w:val="5E810558"/>
    <w:rsid w:val="5E864FEB"/>
    <w:rsid w:val="5F3107C7"/>
    <w:rsid w:val="5F39046F"/>
    <w:rsid w:val="5F445FDC"/>
    <w:rsid w:val="5F4A2F6B"/>
    <w:rsid w:val="5F8A1C99"/>
    <w:rsid w:val="5F92675B"/>
    <w:rsid w:val="5FB554F5"/>
    <w:rsid w:val="5FD9787A"/>
    <w:rsid w:val="5FEE54C8"/>
    <w:rsid w:val="5FF03E9A"/>
    <w:rsid w:val="60081F73"/>
    <w:rsid w:val="60263121"/>
    <w:rsid w:val="602749A0"/>
    <w:rsid w:val="602876F2"/>
    <w:rsid w:val="60321FE7"/>
    <w:rsid w:val="603C0EA1"/>
    <w:rsid w:val="6047541B"/>
    <w:rsid w:val="60560203"/>
    <w:rsid w:val="60661D57"/>
    <w:rsid w:val="60704AC5"/>
    <w:rsid w:val="60796A93"/>
    <w:rsid w:val="60821A6C"/>
    <w:rsid w:val="609922EC"/>
    <w:rsid w:val="60AB0100"/>
    <w:rsid w:val="60E16D64"/>
    <w:rsid w:val="60FF42B6"/>
    <w:rsid w:val="61155F6E"/>
    <w:rsid w:val="61262EB7"/>
    <w:rsid w:val="61337FA9"/>
    <w:rsid w:val="614D7834"/>
    <w:rsid w:val="615F59AB"/>
    <w:rsid w:val="61884D0F"/>
    <w:rsid w:val="619370A5"/>
    <w:rsid w:val="61D47FD4"/>
    <w:rsid w:val="61DF2E8F"/>
    <w:rsid w:val="61EB5DB0"/>
    <w:rsid w:val="61EC0D18"/>
    <w:rsid w:val="61FA21A8"/>
    <w:rsid w:val="62291E63"/>
    <w:rsid w:val="622B0289"/>
    <w:rsid w:val="622B590F"/>
    <w:rsid w:val="62363FF2"/>
    <w:rsid w:val="62690EF4"/>
    <w:rsid w:val="626A5C11"/>
    <w:rsid w:val="62751F90"/>
    <w:rsid w:val="62920B8F"/>
    <w:rsid w:val="62947A17"/>
    <w:rsid w:val="6299097B"/>
    <w:rsid w:val="629B6C1B"/>
    <w:rsid w:val="62D82070"/>
    <w:rsid w:val="62E80E98"/>
    <w:rsid w:val="630F629A"/>
    <w:rsid w:val="631C1685"/>
    <w:rsid w:val="632E5136"/>
    <w:rsid w:val="633871A5"/>
    <w:rsid w:val="63AE6578"/>
    <w:rsid w:val="63B04CE6"/>
    <w:rsid w:val="63C91B70"/>
    <w:rsid w:val="63D564F3"/>
    <w:rsid w:val="63E1509F"/>
    <w:rsid w:val="63F2452A"/>
    <w:rsid w:val="63F33DF9"/>
    <w:rsid w:val="63FD1015"/>
    <w:rsid w:val="640419E4"/>
    <w:rsid w:val="64131FF9"/>
    <w:rsid w:val="642016AD"/>
    <w:rsid w:val="64347367"/>
    <w:rsid w:val="644872B9"/>
    <w:rsid w:val="6456592E"/>
    <w:rsid w:val="648102BD"/>
    <w:rsid w:val="649D629B"/>
    <w:rsid w:val="64B93C8D"/>
    <w:rsid w:val="64CC2CF7"/>
    <w:rsid w:val="65084500"/>
    <w:rsid w:val="65143FDE"/>
    <w:rsid w:val="651E7F40"/>
    <w:rsid w:val="652253E8"/>
    <w:rsid w:val="65230A04"/>
    <w:rsid w:val="656D3049"/>
    <w:rsid w:val="6579274D"/>
    <w:rsid w:val="657F0BA1"/>
    <w:rsid w:val="659C6A48"/>
    <w:rsid w:val="65A13FF9"/>
    <w:rsid w:val="65D079F4"/>
    <w:rsid w:val="65D66F15"/>
    <w:rsid w:val="65DA0CA2"/>
    <w:rsid w:val="66084406"/>
    <w:rsid w:val="66157BAB"/>
    <w:rsid w:val="661B5A17"/>
    <w:rsid w:val="662C0E24"/>
    <w:rsid w:val="662E30B1"/>
    <w:rsid w:val="663B7FB2"/>
    <w:rsid w:val="66442B13"/>
    <w:rsid w:val="666236BE"/>
    <w:rsid w:val="66B06728"/>
    <w:rsid w:val="66B36020"/>
    <w:rsid w:val="66CE6C9D"/>
    <w:rsid w:val="66D001B4"/>
    <w:rsid w:val="66E07EB3"/>
    <w:rsid w:val="66E37310"/>
    <w:rsid w:val="66E8454D"/>
    <w:rsid w:val="66F04BD7"/>
    <w:rsid w:val="671325A2"/>
    <w:rsid w:val="67290669"/>
    <w:rsid w:val="673B55B3"/>
    <w:rsid w:val="6762392E"/>
    <w:rsid w:val="6780468B"/>
    <w:rsid w:val="6784290D"/>
    <w:rsid w:val="67881932"/>
    <w:rsid w:val="6792270E"/>
    <w:rsid w:val="67F65C9F"/>
    <w:rsid w:val="67F76D5E"/>
    <w:rsid w:val="67FC0EE1"/>
    <w:rsid w:val="68031290"/>
    <w:rsid w:val="680F4B26"/>
    <w:rsid w:val="681F3E4D"/>
    <w:rsid w:val="683903B0"/>
    <w:rsid w:val="68587FEA"/>
    <w:rsid w:val="68626B72"/>
    <w:rsid w:val="68BC697C"/>
    <w:rsid w:val="68BD5C09"/>
    <w:rsid w:val="68D96B9B"/>
    <w:rsid w:val="69130D24"/>
    <w:rsid w:val="69254CDF"/>
    <w:rsid w:val="693A0EDB"/>
    <w:rsid w:val="69B45148"/>
    <w:rsid w:val="69D16B82"/>
    <w:rsid w:val="69DC2862"/>
    <w:rsid w:val="6A186A13"/>
    <w:rsid w:val="6A610803"/>
    <w:rsid w:val="6A6D5DED"/>
    <w:rsid w:val="6AA50863"/>
    <w:rsid w:val="6ABE3553"/>
    <w:rsid w:val="6AE55E2C"/>
    <w:rsid w:val="6AE61004"/>
    <w:rsid w:val="6AEF3092"/>
    <w:rsid w:val="6AF042DD"/>
    <w:rsid w:val="6AF74387"/>
    <w:rsid w:val="6B071E0E"/>
    <w:rsid w:val="6B1D4311"/>
    <w:rsid w:val="6B5A77B4"/>
    <w:rsid w:val="6B7826C5"/>
    <w:rsid w:val="6B7A39AA"/>
    <w:rsid w:val="6B822C7A"/>
    <w:rsid w:val="6B8839CE"/>
    <w:rsid w:val="6BA02356"/>
    <w:rsid w:val="6BA66C65"/>
    <w:rsid w:val="6BB273C9"/>
    <w:rsid w:val="6BB35C8A"/>
    <w:rsid w:val="6BD518D2"/>
    <w:rsid w:val="6BDE338F"/>
    <w:rsid w:val="6BE56418"/>
    <w:rsid w:val="6BE62919"/>
    <w:rsid w:val="6BE80A7B"/>
    <w:rsid w:val="6C0634D9"/>
    <w:rsid w:val="6C275A91"/>
    <w:rsid w:val="6C315482"/>
    <w:rsid w:val="6C5D3625"/>
    <w:rsid w:val="6C5F345F"/>
    <w:rsid w:val="6C613719"/>
    <w:rsid w:val="6C8103AC"/>
    <w:rsid w:val="6C8348E6"/>
    <w:rsid w:val="6C864F1E"/>
    <w:rsid w:val="6CE14CDA"/>
    <w:rsid w:val="6CF14891"/>
    <w:rsid w:val="6CF72483"/>
    <w:rsid w:val="6D02569A"/>
    <w:rsid w:val="6D032442"/>
    <w:rsid w:val="6D19767A"/>
    <w:rsid w:val="6D3E1E56"/>
    <w:rsid w:val="6D7B14FC"/>
    <w:rsid w:val="6DAA6104"/>
    <w:rsid w:val="6DBC6D25"/>
    <w:rsid w:val="6DCF3FCD"/>
    <w:rsid w:val="6DDC37D8"/>
    <w:rsid w:val="6DE0194A"/>
    <w:rsid w:val="6DFF44F7"/>
    <w:rsid w:val="6E0039E1"/>
    <w:rsid w:val="6E271430"/>
    <w:rsid w:val="6E2B140D"/>
    <w:rsid w:val="6E2D662B"/>
    <w:rsid w:val="6E366359"/>
    <w:rsid w:val="6E394192"/>
    <w:rsid w:val="6E633249"/>
    <w:rsid w:val="6E7F607E"/>
    <w:rsid w:val="6E8B1E4D"/>
    <w:rsid w:val="6E8F082A"/>
    <w:rsid w:val="6E9379F0"/>
    <w:rsid w:val="6EA02B6A"/>
    <w:rsid w:val="6EA5676B"/>
    <w:rsid w:val="6EB944FF"/>
    <w:rsid w:val="6EC13FE2"/>
    <w:rsid w:val="6EE66D31"/>
    <w:rsid w:val="6EFC2823"/>
    <w:rsid w:val="6F293091"/>
    <w:rsid w:val="6F6327C3"/>
    <w:rsid w:val="6F8171F1"/>
    <w:rsid w:val="6F947528"/>
    <w:rsid w:val="6F9918CB"/>
    <w:rsid w:val="6FA652BD"/>
    <w:rsid w:val="6FB106EB"/>
    <w:rsid w:val="6FB301E7"/>
    <w:rsid w:val="6FB63E34"/>
    <w:rsid w:val="6FB73673"/>
    <w:rsid w:val="6FD72296"/>
    <w:rsid w:val="6FE5356B"/>
    <w:rsid w:val="6FED181F"/>
    <w:rsid w:val="6FF8511E"/>
    <w:rsid w:val="701C2EFD"/>
    <w:rsid w:val="70607A80"/>
    <w:rsid w:val="706A239B"/>
    <w:rsid w:val="70CB630B"/>
    <w:rsid w:val="70DE14FC"/>
    <w:rsid w:val="710F68CA"/>
    <w:rsid w:val="71161BE7"/>
    <w:rsid w:val="71197C6D"/>
    <w:rsid w:val="71550DD4"/>
    <w:rsid w:val="7157140F"/>
    <w:rsid w:val="715963FD"/>
    <w:rsid w:val="716228B3"/>
    <w:rsid w:val="716B2D8E"/>
    <w:rsid w:val="717F2371"/>
    <w:rsid w:val="719B3686"/>
    <w:rsid w:val="71A06FF1"/>
    <w:rsid w:val="71AD23A7"/>
    <w:rsid w:val="71AE6CBB"/>
    <w:rsid w:val="71B20177"/>
    <w:rsid w:val="721401BC"/>
    <w:rsid w:val="721652D9"/>
    <w:rsid w:val="7228675A"/>
    <w:rsid w:val="724F75CF"/>
    <w:rsid w:val="725F12C4"/>
    <w:rsid w:val="726F0510"/>
    <w:rsid w:val="726F40A0"/>
    <w:rsid w:val="727E4F7C"/>
    <w:rsid w:val="72EA4FF3"/>
    <w:rsid w:val="72EF3FB9"/>
    <w:rsid w:val="732D578C"/>
    <w:rsid w:val="73361281"/>
    <w:rsid w:val="734D3906"/>
    <w:rsid w:val="734F7BAD"/>
    <w:rsid w:val="73825499"/>
    <w:rsid w:val="738C49FD"/>
    <w:rsid w:val="73AE79DB"/>
    <w:rsid w:val="73C857BF"/>
    <w:rsid w:val="73E231A4"/>
    <w:rsid w:val="73E74CBA"/>
    <w:rsid w:val="73FD698F"/>
    <w:rsid w:val="74022827"/>
    <w:rsid w:val="74153104"/>
    <w:rsid w:val="74226CFC"/>
    <w:rsid w:val="743B2EED"/>
    <w:rsid w:val="74427334"/>
    <w:rsid w:val="74597BFC"/>
    <w:rsid w:val="745C6294"/>
    <w:rsid w:val="747924FC"/>
    <w:rsid w:val="747A08F0"/>
    <w:rsid w:val="74994ECD"/>
    <w:rsid w:val="749F2E3F"/>
    <w:rsid w:val="74AE072F"/>
    <w:rsid w:val="74B860CB"/>
    <w:rsid w:val="74D6435A"/>
    <w:rsid w:val="74DD6934"/>
    <w:rsid w:val="7526041F"/>
    <w:rsid w:val="752E3EA7"/>
    <w:rsid w:val="756E6E42"/>
    <w:rsid w:val="758107EC"/>
    <w:rsid w:val="75F107B5"/>
    <w:rsid w:val="75F53BCF"/>
    <w:rsid w:val="761F77AB"/>
    <w:rsid w:val="76326863"/>
    <w:rsid w:val="763979F8"/>
    <w:rsid w:val="7658768C"/>
    <w:rsid w:val="765F3571"/>
    <w:rsid w:val="76772BAA"/>
    <w:rsid w:val="76940093"/>
    <w:rsid w:val="76961177"/>
    <w:rsid w:val="76A578E1"/>
    <w:rsid w:val="76F463D7"/>
    <w:rsid w:val="770C0824"/>
    <w:rsid w:val="771C16A1"/>
    <w:rsid w:val="77543B14"/>
    <w:rsid w:val="77A12525"/>
    <w:rsid w:val="77AD61B9"/>
    <w:rsid w:val="77F34B4B"/>
    <w:rsid w:val="78157138"/>
    <w:rsid w:val="783D2ED1"/>
    <w:rsid w:val="788E7570"/>
    <w:rsid w:val="78BA6422"/>
    <w:rsid w:val="78E54F86"/>
    <w:rsid w:val="78E73BCF"/>
    <w:rsid w:val="78E774D5"/>
    <w:rsid w:val="790B3D51"/>
    <w:rsid w:val="790B7471"/>
    <w:rsid w:val="790E27E9"/>
    <w:rsid w:val="791F5BF3"/>
    <w:rsid w:val="793862EC"/>
    <w:rsid w:val="794E78A5"/>
    <w:rsid w:val="79694606"/>
    <w:rsid w:val="796A4C63"/>
    <w:rsid w:val="79763500"/>
    <w:rsid w:val="797A6D9B"/>
    <w:rsid w:val="79861BE1"/>
    <w:rsid w:val="799C15C4"/>
    <w:rsid w:val="799C66D2"/>
    <w:rsid w:val="799F1AD8"/>
    <w:rsid w:val="79AF0FD4"/>
    <w:rsid w:val="79C45EF4"/>
    <w:rsid w:val="79D02CCD"/>
    <w:rsid w:val="79E06A99"/>
    <w:rsid w:val="79E52003"/>
    <w:rsid w:val="7A0A7BA3"/>
    <w:rsid w:val="7A2114C3"/>
    <w:rsid w:val="7A3919CA"/>
    <w:rsid w:val="7A456459"/>
    <w:rsid w:val="7A51697A"/>
    <w:rsid w:val="7A59417E"/>
    <w:rsid w:val="7A5C0AEA"/>
    <w:rsid w:val="7A5E28C0"/>
    <w:rsid w:val="7A6D5592"/>
    <w:rsid w:val="7A7A436F"/>
    <w:rsid w:val="7B5D517D"/>
    <w:rsid w:val="7B714CDB"/>
    <w:rsid w:val="7B742884"/>
    <w:rsid w:val="7B830C32"/>
    <w:rsid w:val="7B912C5C"/>
    <w:rsid w:val="7BA35183"/>
    <w:rsid w:val="7BAC0344"/>
    <w:rsid w:val="7BBE6781"/>
    <w:rsid w:val="7BE82093"/>
    <w:rsid w:val="7BF073E0"/>
    <w:rsid w:val="7BFE4EAC"/>
    <w:rsid w:val="7C0058BC"/>
    <w:rsid w:val="7C0B6C66"/>
    <w:rsid w:val="7C284706"/>
    <w:rsid w:val="7C391BDA"/>
    <w:rsid w:val="7C463672"/>
    <w:rsid w:val="7C4960FB"/>
    <w:rsid w:val="7C4D2E62"/>
    <w:rsid w:val="7C5731CD"/>
    <w:rsid w:val="7C6C4556"/>
    <w:rsid w:val="7C793D65"/>
    <w:rsid w:val="7C9E2069"/>
    <w:rsid w:val="7CA679DB"/>
    <w:rsid w:val="7CB96A67"/>
    <w:rsid w:val="7CD70B7A"/>
    <w:rsid w:val="7CDB72F4"/>
    <w:rsid w:val="7CE545EC"/>
    <w:rsid w:val="7D020C2B"/>
    <w:rsid w:val="7D5124B2"/>
    <w:rsid w:val="7D8F5418"/>
    <w:rsid w:val="7DAC4904"/>
    <w:rsid w:val="7DDF7C8A"/>
    <w:rsid w:val="7DE112BF"/>
    <w:rsid w:val="7DE1573C"/>
    <w:rsid w:val="7DEC0BFE"/>
    <w:rsid w:val="7DF6182D"/>
    <w:rsid w:val="7DFD26A0"/>
    <w:rsid w:val="7E23169E"/>
    <w:rsid w:val="7E250108"/>
    <w:rsid w:val="7E3151C6"/>
    <w:rsid w:val="7E7E6313"/>
    <w:rsid w:val="7E860B1E"/>
    <w:rsid w:val="7E8C0713"/>
    <w:rsid w:val="7E926D0A"/>
    <w:rsid w:val="7E972A9C"/>
    <w:rsid w:val="7ED8088D"/>
    <w:rsid w:val="7F1E0981"/>
    <w:rsid w:val="7F443F29"/>
    <w:rsid w:val="7F494591"/>
    <w:rsid w:val="7F6B30BE"/>
    <w:rsid w:val="7F755C57"/>
    <w:rsid w:val="7F8F1852"/>
    <w:rsid w:val="7FAB5375"/>
    <w:rsid w:val="7FAE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微软雅黑" w:hAnsi="微软雅黑" w:eastAsia="微软雅黑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39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49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0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1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2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4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6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Document Map"/>
    <w:basedOn w:val="1"/>
    <w:link w:val="163"/>
    <w:unhideWhenUsed/>
    <w:qFormat/>
    <w:uiPriority w:val="99"/>
    <w:rPr>
      <w:rFonts w:ascii="宋体" w:eastAsia="宋体"/>
      <w:sz w:val="18"/>
      <w:szCs w:val="18"/>
    </w:rPr>
  </w:style>
  <w:style w:type="paragraph" w:styleId="18">
    <w:name w:val="Body Text 3"/>
    <w:basedOn w:val="1"/>
    <w:link w:val="145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0">
    <w:name w:val="Body Text"/>
    <w:basedOn w:val="1"/>
    <w:link w:val="143"/>
    <w:unhideWhenUsed/>
    <w:qFormat/>
    <w:uiPriority w:val="99"/>
    <w:pPr>
      <w:spacing w:after="120"/>
    </w:pPr>
  </w:style>
  <w:style w:type="paragraph" w:styleId="21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5">
    <w:name w:val="footer"/>
    <w:basedOn w:val="1"/>
    <w:link w:val="16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26">
    <w:name w:val="header"/>
    <w:basedOn w:val="1"/>
    <w:link w:val="16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7">
    <w:name w:val="Subtitle"/>
    <w:basedOn w:val="1"/>
    <w:next w:val="1"/>
    <w:link w:val="14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8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9">
    <w:name w:val="Body Text 2"/>
    <w:basedOn w:val="1"/>
    <w:link w:val="144"/>
    <w:unhideWhenUsed/>
    <w:qFormat/>
    <w:uiPriority w:val="99"/>
    <w:pPr>
      <w:spacing w:after="120" w:line="480" w:lineRule="auto"/>
    </w:pPr>
  </w:style>
  <w:style w:type="paragraph" w:styleId="30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0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5">
    <w:name w:val="Light Shading Accent 2"/>
    <w:basedOn w:val="33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6">
    <w:name w:val="Light Shading Accent 3"/>
    <w:basedOn w:val="33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7">
    <w:name w:val="Light Shading Accent 4"/>
    <w:basedOn w:val="33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8">
    <w:name w:val="Light Shading Accent 5"/>
    <w:basedOn w:val="33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39">
    <w:name w:val="Light Shading Accent 6"/>
    <w:basedOn w:val="33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0">
    <w:name w:val="Light List Accent 2"/>
    <w:basedOn w:val="33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1">
    <w:name w:val="Light List Accent 3"/>
    <w:basedOn w:val="33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2">
    <w:name w:val="Light List Accent 4"/>
    <w:basedOn w:val="33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3">
    <w:name w:val="Light List Accent 5"/>
    <w:basedOn w:val="33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4">
    <w:name w:val="Light List Accent 6"/>
    <w:basedOn w:val="33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5">
    <w:name w:val="Light Grid Accent 2"/>
    <w:basedOn w:val="33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46">
    <w:name w:val="Light Grid Accent 3"/>
    <w:basedOn w:val="33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47">
    <w:name w:val="Light Grid Accent 4"/>
    <w:basedOn w:val="33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48">
    <w:name w:val="Light Grid Accent 5"/>
    <w:basedOn w:val="33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49">
    <w:name w:val="Light Grid Accent 6"/>
    <w:basedOn w:val="33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0">
    <w:name w:val="Medium Shading 1 Accent 2"/>
    <w:basedOn w:val="33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1 Accent 3"/>
    <w:basedOn w:val="33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2">
    <w:name w:val="Medium Shading 1 Accent 4"/>
    <w:basedOn w:val="33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3">
    <w:name w:val="Medium Shading 1 Accent 5"/>
    <w:basedOn w:val="33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1 Accent 6"/>
    <w:basedOn w:val="33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5">
    <w:name w:val="Medium Shading 2 Accent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56">
    <w:name w:val="Medium Shading 2 Accent 3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57">
    <w:name w:val="Medium Shading 2 Accent 4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58">
    <w:name w:val="Medium Shading 2 Accent 5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59">
    <w:name w:val="Medium Shading 2 Accent 6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0">
    <w:name w:val="Medium List 1 Accent 2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61">
    <w:name w:val="Medium List 1 Accent 3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2">
    <w:name w:val="Medium List 1 Accent 4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3">
    <w:name w:val="Medium List 1 Accent 5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64">
    <w:name w:val="Medium List 1 Accent 6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65">
    <w:name w:val="Medium List 2 Accent 1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66">
    <w:name w:val="Medium List 2 Accen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67">
    <w:name w:val="Medium List 2 Accent 3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68">
    <w:name w:val="Medium List 2 Accent 4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69">
    <w:name w:val="Medium List 2 Accent 5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0">
    <w:name w:val="Medium List 2 Accent 6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1">
    <w:name w:val="Medium Grid 1 Accent 1"/>
    <w:basedOn w:val="33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72">
    <w:name w:val="Medium Grid 1 Accent 2"/>
    <w:basedOn w:val="33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73">
    <w:name w:val="Medium Grid 1 Accent 3"/>
    <w:basedOn w:val="33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74">
    <w:name w:val="Medium Grid 1 Accent 4"/>
    <w:basedOn w:val="33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75">
    <w:name w:val="Medium Grid 1 Accent 5"/>
    <w:basedOn w:val="33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76">
    <w:name w:val="Medium Grid 1 Accent 6"/>
    <w:basedOn w:val="33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77">
    <w:name w:val="Medium Grid 2 Accent 1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78">
    <w:name w:val="Medium Grid 2 Accent 2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79">
    <w:name w:val="Medium Grid 2 Accent 3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0">
    <w:name w:val="Medium Grid 2 Accent 4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1">
    <w:name w:val="Medium Grid 2 Accent 5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2">
    <w:name w:val="Medium Grid 2 Accent 6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3">
    <w:name w:val="Medium Grid 3 Accent 1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84">
    <w:name w:val="Medium Grid 3 Accent 2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85">
    <w:name w:val="Medium Grid 3 Accent 3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86">
    <w:name w:val="Medium Grid 3 Accent 4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87">
    <w:name w:val="Medium Grid 3 Accent 5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88">
    <w:name w:val="Medium Grid 3 Accent 6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89">
    <w:name w:val="Dark List Accent 1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90">
    <w:name w:val="Dark List Accent 2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91">
    <w:name w:val="Dark List Accent 3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92">
    <w:name w:val="Dark List Accent 4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93">
    <w:name w:val="Dark List Accent 5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94">
    <w:name w:val="Dark List Accent 6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95">
    <w:name w:val="Colorful Shading Accent 1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96">
    <w:name w:val="Colorful Shading Accent 2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97">
    <w:name w:val="Colorful Shading Accent 3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8">
    <w:name w:val="Colorful Shading Accent 4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99">
    <w:name w:val="Colorful Shading Accent 5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00">
    <w:name w:val="Colorful Shading Accent 6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01">
    <w:name w:val="Colorful List Accent 1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02">
    <w:name w:val="Colorful List Accent 2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03">
    <w:name w:val="Colorful List Accent 3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04">
    <w:name w:val="Colorful List Accent 4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05">
    <w:name w:val="Colorful List Accent 5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06">
    <w:name w:val="Colorful List Accent 6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07">
    <w:name w:val="Colorful Grid Accent 1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08">
    <w:name w:val="Colorful Grid Accent 2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09">
    <w:name w:val="Colorful Grid Accent 3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0">
    <w:name w:val="Colorful Grid Accent 4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11">
    <w:name w:val="Colorful Grid Accent 5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12">
    <w:name w:val="Colorful Grid Accent 6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14">
    <w:name w:val="Strong"/>
    <w:basedOn w:val="113"/>
    <w:qFormat/>
    <w:uiPriority w:val="22"/>
    <w:rPr>
      <w:b/>
      <w:bCs/>
    </w:rPr>
  </w:style>
  <w:style w:type="character" w:styleId="115">
    <w:name w:val="Emphasis"/>
    <w:basedOn w:val="113"/>
    <w:qFormat/>
    <w:uiPriority w:val="20"/>
    <w:rPr>
      <w:i/>
      <w:iCs/>
    </w:rPr>
  </w:style>
  <w:style w:type="table" w:customStyle="1" w:styleId="116">
    <w:name w:val="浅色底纹1"/>
    <w:basedOn w:val="33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117">
    <w:name w:val="浅色底纹 - 强调文字颜色 11"/>
    <w:basedOn w:val="33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18">
    <w:name w:val="浅色列表1"/>
    <w:basedOn w:val="33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119">
    <w:name w:val="浅色列表 - 强调文字颜色 11"/>
    <w:basedOn w:val="33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120">
    <w:name w:val="浅色网格1"/>
    <w:basedOn w:val="33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customStyle="1" w:styleId="121">
    <w:name w:val="浅色网格 - 强调文字颜色 11"/>
    <w:basedOn w:val="33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122">
    <w:name w:val="中等深浅底纹 11"/>
    <w:basedOn w:val="33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123">
    <w:name w:val="中等深浅底纹 1 - 强调文字颜色 11"/>
    <w:basedOn w:val="33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124">
    <w:name w:val="中等深浅底纹 21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125">
    <w:name w:val="中等深浅底纹 2 - 强调文字颜色 11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126">
    <w:name w:val="中等深浅列表 1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127">
    <w:name w:val="中等深浅列表 1 - 强调文字颜色 1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customStyle="1" w:styleId="128">
    <w:name w:val="中等深浅列表 21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29">
    <w:name w:val="中等深浅网格 11"/>
    <w:basedOn w:val="33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30">
    <w:name w:val="中等深浅网格 21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31">
    <w:name w:val="中等深浅网格 31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customStyle="1" w:styleId="132">
    <w:name w:val="深色列表1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33">
    <w:name w:val="彩色底纹1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4">
    <w:name w:val="彩色列表1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35">
    <w:name w:val="彩色网格1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paragraph" w:customStyle="1" w:styleId="136">
    <w:name w:val="无间隔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7">
    <w:name w:val="标题 1 字符"/>
    <w:basedOn w:val="113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8">
    <w:name w:val="标题 2 字符"/>
    <w:basedOn w:val="11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9">
    <w:name w:val="标题 3 字符"/>
    <w:basedOn w:val="11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0">
    <w:name w:val="标题 字符"/>
    <w:basedOn w:val="11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1">
    <w:name w:val="副标题 字符"/>
    <w:basedOn w:val="113"/>
    <w:link w:val="2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2">
    <w:name w:val="列表段落1"/>
    <w:basedOn w:val="1"/>
    <w:qFormat/>
    <w:uiPriority w:val="34"/>
    <w:pPr>
      <w:ind w:left="720"/>
      <w:contextualSpacing/>
    </w:pPr>
  </w:style>
  <w:style w:type="character" w:customStyle="1" w:styleId="143">
    <w:name w:val="正文文本 字符"/>
    <w:basedOn w:val="113"/>
    <w:link w:val="20"/>
    <w:qFormat/>
    <w:uiPriority w:val="99"/>
  </w:style>
  <w:style w:type="character" w:customStyle="1" w:styleId="144">
    <w:name w:val="正文文本 2 字符"/>
    <w:basedOn w:val="113"/>
    <w:link w:val="29"/>
    <w:qFormat/>
    <w:uiPriority w:val="99"/>
  </w:style>
  <w:style w:type="character" w:customStyle="1" w:styleId="145">
    <w:name w:val="正文文本 3 字符"/>
    <w:basedOn w:val="113"/>
    <w:link w:val="18"/>
    <w:qFormat/>
    <w:uiPriority w:val="99"/>
    <w:rPr>
      <w:sz w:val="16"/>
      <w:szCs w:val="16"/>
    </w:rPr>
  </w:style>
  <w:style w:type="character" w:customStyle="1" w:styleId="146">
    <w:name w:val="宏文本 字符"/>
    <w:basedOn w:val="113"/>
    <w:link w:val="2"/>
    <w:qFormat/>
    <w:uiPriority w:val="99"/>
    <w:rPr>
      <w:rFonts w:ascii="Courier" w:hAnsi="Courier"/>
      <w:sz w:val="20"/>
      <w:szCs w:val="20"/>
    </w:rPr>
  </w:style>
  <w:style w:type="paragraph" w:customStyle="1" w:styleId="147">
    <w:name w:val="引用1"/>
    <w:basedOn w:val="1"/>
    <w:next w:val="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8">
    <w:name w:val="引用 Char"/>
    <w:basedOn w:val="113"/>
    <w:link w:val="147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标题 4 字符"/>
    <w:basedOn w:val="113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0">
    <w:name w:val="标题 5 字符"/>
    <w:basedOn w:val="113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1">
    <w:name w:val="标题 6 字符"/>
    <w:basedOn w:val="11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2">
    <w:name w:val="标题 7 字符"/>
    <w:basedOn w:val="11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3">
    <w:name w:val="标题 8 字符"/>
    <w:basedOn w:val="113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4">
    <w:name w:val="标题 9 字符"/>
    <w:basedOn w:val="113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5">
    <w:name w:val="明显引用1"/>
    <w:basedOn w:val="1"/>
    <w:next w:val="1"/>
    <w:link w:val="156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6">
    <w:name w:val="明显引用 Char"/>
    <w:basedOn w:val="113"/>
    <w:link w:val="155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不明显强调1"/>
    <w:basedOn w:val="11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8">
    <w:name w:val="明显强调1"/>
    <w:basedOn w:val="11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不明显参考1"/>
    <w:basedOn w:val="11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0">
    <w:name w:val="明显参考1"/>
    <w:basedOn w:val="11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1">
    <w:name w:val="书籍标题1"/>
    <w:basedOn w:val="113"/>
    <w:qFormat/>
    <w:uiPriority w:val="33"/>
    <w:rPr>
      <w:b/>
      <w:bCs/>
      <w:smallCaps/>
      <w:spacing w:val="5"/>
    </w:rPr>
  </w:style>
  <w:style w:type="paragraph" w:customStyle="1" w:styleId="162">
    <w:name w:val="TOC 标题1"/>
    <w:basedOn w:val="3"/>
    <w:next w:val="1"/>
    <w:unhideWhenUsed/>
    <w:qFormat/>
    <w:uiPriority w:val="39"/>
    <w:pPr>
      <w:outlineLvl w:val="9"/>
    </w:pPr>
  </w:style>
  <w:style w:type="character" w:customStyle="1" w:styleId="163">
    <w:name w:val="文档结构图 字符"/>
    <w:basedOn w:val="113"/>
    <w:link w:val="17"/>
    <w:semiHidden/>
    <w:qFormat/>
    <w:uiPriority w:val="99"/>
    <w:rPr>
      <w:rFonts w:ascii="宋体" w:hAnsi="微软雅黑" w:eastAsia="宋体"/>
      <w:sz w:val="18"/>
      <w:szCs w:val="18"/>
    </w:rPr>
  </w:style>
  <w:style w:type="character" w:customStyle="1" w:styleId="164">
    <w:name w:val="页眉 字符"/>
    <w:basedOn w:val="113"/>
    <w:link w:val="26"/>
    <w:qFormat/>
    <w:uiPriority w:val="99"/>
    <w:rPr>
      <w:rFonts w:ascii="微软雅黑" w:hAnsi="微软雅黑" w:eastAsia="微软雅黑"/>
      <w:sz w:val="18"/>
      <w:szCs w:val="18"/>
      <w:lang w:eastAsia="en-US"/>
    </w:rPr>
  </w:style>
  <w:style w:type="character" w:customStyle="1" w:styleId="165">
    <w:name w:val="页脚 字符"/>
    <w:basedOn w:val="113"/>
    <w:link w:val="25"/>
    <w:qFormat/>
    <w:uiPriority w:val="99"/>
    <w:rPr>
      <w:rFonts w:ascii="微软雅黑" w:hAnsi="微软雅黑" w:eastAsia="微软雅黑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cmcc</Company>
  <Pages>3</Pages>
  <Words>390</Words>
  <Characters>2224</Characters>
  <Lines>18</Lines>
  <Paragraphs>5</Paragraphs>
  <TotalTime>426</TotalTime>
  <ScaleCrop>false</ScaleCrop>
  <LinksUpToDate>false</LinksUpToDate>
  <CharactersWithSpaces>2609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2019-07-24T18:15:00Z</dcterms:created>
  <dc:creator>admin</dc:creator>
  <dc:description>generated by python-docx</dc:description>
  <cp:lastModifiedBy>Irelia</cp:lastModifiedBy>
  <dcterms:modified xsi:type="dcterms:W3CDTF">2021-05-08T09:59:04Z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46A6DC98CFDD4D34AD638DFE1A828B8D</vt:lpwstr>
  </property>
</Properties>
</file>