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exact" w:line="320"/>
        <w:jc w:val="center"/>
        <w:contextualSpacing w:val="0"/>
        <w:snapToGrid w:val="0"/>
      </w:pPr>
      <w:r>
        <w:rPr>
          <w:rFonts w:ascii="Calibri" w:hAnsi="Calibri" w:cs="Calibri" w:eastAsia="Calibri"/>
          <w:b/>
          <w:i w:val="0"/>
          <w:color w:val="000000"/>
          <w:sz w:val="28"/>
          <w:lang w:val="tr-TR" w:eastAsia="tr-TR" w:bidi="tr-TR"/>
        </w:rPr>
        <w:t>Soğuk Lastik Kaplama İş Akım Şeması</w:t>
      </w:r>
    </w:p>
    <w:tbl>
      <w:tblPr>
        <w:tblW w:type="dxa" w:w="8505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505"/>
      </w:tblGrid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Kullanılmış Lastik (Karkas)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Ön Kontrol ve Seçim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İç Yapı Testleri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Eski Dişlerin Raspalanması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Hasar Onarımı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Yüzey Temizliği ve Hazırlık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Bağlayıcı Kauçuk Uygulaması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Hazır Sırt Lastiğinin Sarılması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Zarf Takılması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Otoklavda Vulkanizasyon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Soğutma ve Zarfın Çıkarılması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Son Kontrol</w:t>
            </w:r>
          </w:p>
        </w:tc>
      </w:tr>
      <w:tr>
        <w:trPr>
          <w:trHeight w:val="220" w:hRule="exact"/>
          <w:cantSplit/>
        </w:trPr>
        <w:tc>
          <w:tcPr>
            <w:tcW w:type="dxa" w:w="8504"/>
            <w:shd w:val="clear" w:color="auto" w:fill="FFFFFF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before="0" w:after="0" w:lineRule="exact" w:line="20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16"/>
                <w:lang w:val="tr-TR" w:eastAsia="tr-TR" w:bidi="tr-TR"/>
              </w:rPr>
              <w:t>▼</w:t>
            </w:r>
          </w:p>
        </w:tc>
      </w:tr>
      <w:tr>
        <w:trPr>
          <w:trHeight w:val="560" w:hRule="exact"/>
          <w:cantSplit/>
        </w:trPr>
        <w:tc>
          <w:tcPr>
            <w:tcW w:type="dxa" w:w="8504"/>
            <w:shd w:val="clear" w:color="auto"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120" w:type="dxa"/>
              <w:bottom w:w="40" w:type="dxa"/>
              <w:right w:w="120" w:type="dxa"/>
            </w:tcMar>
            <w:vAlign w:val="center"/>
          </w:tcPr>
          <w:p>
            <w:pPr>
              <w:spacing w:before="0" w:after="0" w:lineRule="exact" w:line="280"/>
              <w:jc w:val="center"/>
              <w:contextualSpacing w:val="0"/>
              <w:snapToGrid w:val="0"/>
            </w:pPr>
            <w:r>
              <w:rPr>
                <w:rFonts w:ascii="Calibri" w:hAnsi="Calibri" w:cs="Calibri" w:eastAsia="Calibri"/>
                <w:b w:val="0"/>
                <w:i w:val="0"/>
                <w:color w:val="000000"/>
                <w:sz w:val="22"/>
                <w:lang w:val="tr-TR" w:eastAsia="tr-TR" w:bidi="tr-TR"/>
              </w:rPr>
              <w:t>Kullanıma / Sevkiyata Hazır</w:t>
            </w:r>
          </w:p>
        </w:tc>
      </w:tr>
    </w:tbl>
    <w:sectPr w:rsidR="00FC693F" w:rsidRPr="0006063C" w:rsidSect="00034616">
      <w:pgSz w:w="11906" w:h="16838" w:code="9"/>
      <w:pgMar w:top="624" w:right="1020" w:bottom="567" w:left="1020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  <w:snapToGrid w:val="0"/>
    </w:pPr>
    <w:rPr>
      <w:rFonts w:ascii="Calibri" w:hAnsi="Calibri" w:cs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Soğuk Lastik Kaplama İş Akım Şeması</dc:title>
  <dc:subject>Soğuk lastik kaplama süreç adımları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İş akım şeması</cp:category>
  <dc:language>tr-TR</dc:language>
</cp:coreProperties>
</file>