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pPr>
      <w:r>
        <w:rPr>
          <w:rFonts w:ascii="Calibri" w:hAnsi="Calibri" w:eastAsia="Calibri"/>
          <w:b/>
          <w:i w:val="0"/>
          <w:color w:val="0E6655"/>
          <w:sz w:val="22"/>
        </w:rPr>
        <w:t>ÇEVRE DANIŞMANLIĞI ÇALIŞMA RAPORU</w:t>
      </w:r>
    </w:p>
    <w:p>
      <w:pPr>
        <w:spacing w:after="40" w:before="0" w:line="259" w:lineRule="auto"/>
      </w:pPr>
      <w:r>
        <w:rPr>
          <w:rFonts w:ascii="Calibri" w:hAnsi="Calibri" w:eastAsia="Calibri"/>
          <w:b/>
          <w:i w:val="0"/>
          <w:color w:val="1B4F72"/>
          <w:sz w:val="40"/>
        </w:rPr>
        <w:t>Gündüz Mey-Pak Akdeniz Şubesi</w:t>
      </w:r>
    </w:p>
    <w:p>
      <w:pPr>
        <w:spacing w:after="40" w:before="0" w:line="259" w:lineRule="auto"/>
      </w:pPr>
      <w:r>
        <w:rPr>
          <w:rFonts w:ascii="Calibri" w:hAnsi="Calibri" w:eastAsia="Calibri"/>
          <w:b w:val="0"/>
          <w:i w:val="0"/>
          <w:color w:val="2C3E50"/>
          <w:sz w:val="28"/>
        </w:rPr>
        <w:t>Atıksu arıtma tesisi ve çevresel yükümlülükler</w:t>
      </w:r>
    </w:p>
    <w:p>
      <w:pPr>
        <w:spacing w:after="160" w:before="0" w:line="259" w:lineRule="auto"/>
      </w:pPr>
      <w:r>
        <w:rPr>
          <w:rFonts w:ascii="Calibri" w:hAnsi="Calibri" w:eastAsia="Calibri"/>
          <w:b w:val="0"/>
          <w:i w:val="0"/>
          <w:color w:val="5D6D7E"/>
          <w:sz w:val="22"/>
        </w:rPr>
        <w:t>30 Eylül 2026</w:t>
      </w:r>
    </w:p>
    <w:p>
      <w:pPr>
        <w:spacing w:after="120" w:before="0" w:line="259" w:lineRule="auto"/>
      </w:pPr>
      <w:r>
        <w:rPr>
          <w:rFonts w:ascii="Calibri" w:hAnsi="Calibri" w:eastAsia="Calibri"/>
          <w:b w:val="0"/>
          <w:i w:val="0"/>
          <w:sz w:val="22"/>
        </w:rPr>
        <w:t>Bu rapor, tesise ait dört belgenin okunmasıyla hazırlandı: 10.09.2025 tarihli atıksu arıtma tesisi kimlik belgesi, 15.08.2025 tarihli proje onayı ve Ek-1 formu, 04.09.2026 tarihli iç tetkik raporu ve 24.09.2026 tarihli aylık faaliyet raporu. Sahaya gidilmedi, debi ölçülmedi, numune alınmadı. Eylül 2026’da alındığı yazılan iç izlemenin analiz sonucu bu sette yok. Bu yüzden tesisin Tablo 5.9’a uyduğu veya uymadığı bu raporda söylenmez.</w:t>
      </w:r>
    </w:p>
    <w:p>
      <w:pPr>
        <w:spacing w:after="160" w:before="0" w:line="259" w:lineRule="auto"/>
      </w:pPr>
      <w:r>
        <w:rPr>
          <w:rFonts w:ascii="Calibri" w:hAnsi="Calibri" w:eastAsia="Calibri"/>
          <w:b w:val="0"/>
          <w:i/>
          <w:color w:val="2C3E50"/>
          <w:sz w:val="22"/>
        </w:rPr>
        <w:t>Rapor bir uygunluk belgesi değildir. Beş yıllık çevre izin eki çıktığında, ekteki debi, parametre ve sıklık bu metindeki değerlerin önüne geçer.</w:t>
      </w:r>
    </w:p>
    <w:p>
      <w:pPr>
        <w:pStyle w:val="Heading1"/>
        <w:spacing w:before="280" w:after="120"/>
      </w:pPr>
      <w:r>
        <w:rPr>
          <w:rFonts w:ascii="Calibri" w:hAnsi="Calibri" w:eastAsia="Calibri"/>
          <w:b/>
          <w:i w:val="0"/>
          <w:color w:val="1B4F72"/>
          <w:sz w:val="32"/>
        </w:rPr>
        <w:t>1. Tesis ne yapıyor, su nereye gidiyor</w:t>
      </w:r>
    </w:p>
    <w:p>
      <w:pPr>
        <w:spacing w:after="120" w:before="0" w:line="259" w:lineRule="auto"/>
      </w:pPr>
      <w:r>
        <w:rPr>
          <w:rFonts w:ascii="Calibri" w:hAnsi="Calibri" w:eastAsia="Calibri"/>
          <w:b w:val="0"/>
          <w:i w:val="0"/>
          <w:sz w:val="22"/>
        </w:rPr>
        <w:t>Tesis, Mersin Akdeniz ilçesi Kulak Mahallesi İnönü Bulvarı No: 120 A adresinde narenciye, sebze ve meyve kabulü, yıkama, durulama, sarartma, mumlama, boylama, paketleme ve soğuk hava depolama yapıyor. Çevre kimlik numarası 3069574032. NACE kodu 46.31.03 olarak diğer taze meyve sebze toptan ticareti yazılmış. Çevre izin listesinde ise tesis Ek-1 madde 7.9 kapsamında, yani bitkisel ürün işleme ve ambalajlama faaliyeti olarak duruyor. Fiili iş ile NACE aynı cümlede tutulmalı.</w:t>
      </w:r>
    </w:p>
    <w:p>
      <w:pPr>
        <w:spacing w:after="120" w:before="0" w:line="259" w:lineRule="auto"/>
      </w:pPr>
      <w:r>
        <w:rPr>
          <w:rFonts w:ascii="Calibri" w:hAnsi="Calibri" w:eastAsia="Calibri"/>
          <w:b w:val="0"/>
          <w:i w:val="0"/>
          <w:sz w:val="22"/>
        </w:rPr>
        <w:t>Atıksu arıtma tesisi 90 m³/gün kurulu kapasitelidir. Kimlik belgesine göre arıtma fiziksel ve biyolojiktir: dengeleme havuzu, klasik aktif çamur, klor ve bileşikleri ile dezenfeksiyon. Atıksu türü endüstriyel yazıyor. Aylık rapor, personel kaynaklı evsel suyun da aynı tesiste arıtıldığını söylüyor. Evsel ve endüstriyel su birlikte arıtılıp Nacarlı Deresi’ne verildiği için deşarj standardı, evsel suyun payına bakılmaksızın SKKY Tablo 5.9’dur. Tablo 21 bu tesiste kullanılmaz.</w:t>
      </w:r>
    </w:p>
    <w:p>
      <w:pPr>
        <w:spacing w:after="120" w:before="0" w:line="259" w:lineRule="auto"/>
      </w:pPr>
      <w:r>
        <w:rPr>
          <w:rFonts w:ascii="Calibri" w:hAnsi="Calibri" w:eastAsia="Calibri"/>
          <w:b w:val="0"/>
          <w:i w:val="0"/>
          <w:sz w:val="22"/>
        </w:rPr>
        <w:t>İnşaat bitiş tarihi kimlikte 01.01.2000, işletmeye alma ve proje onayı 15.08.2025. Ünitelerin 2025 onaylı projeyle sahada aynı olup olmadığı henüz görülmedi. Deşarj koordinatı da iki belgede birebir değil: kimlikte boylam 34.83704835, proje formunda 34.836633. Deşarj ucu yerinde okunacak.</w:t>
      </w:r>
    </w:p>
    <w:p>
      <w:pPr>
        <w:pStyle w:val="Heading1"/>
        <w:spacing w:before="280" w:after="120"/>
      </w:pPr>
      <w:r>
        <w:rPr>
          <w:rFonts w:ascii="Calibri" w:hAnsi="Calibri" w:eastAsia="Calibri"/>
          <w:b/>
          <w:i w:val="0"/>
          <w:color w:val="1B4F72"/>
          <w:sz w:val="32"/>
        </w:rPr>
        <w:t>2. Kimlik kartı</w:t>
      </w:r>
    </w:p>
    <w:tbl>
      <w:tblPr>
        <w:tblW w:type="auto" w:w="0"/>
        <w:jc w:val="center"/>
        <w:tblLayout w:type="fixed"/>
        <w:tblLook w:firstColumn="1" w:firstRow="1" w:lastColumn="0" w:lastRow="0" w:noHBand="0" w:noVBand="1" w:val="04A0"/>
        <w:tblW w:w="9979" w:type="dxa"/>
      </w:tblPr>
      <w:tblGrid>
        <w:gridCol w:w="4989"/>
        <w:gridCol w:w="4989"/>
      </w:tblGrid>
      <w:tr>
        <w:trPr>
          <w:cantSplit/>
        </w:trPr>
        <w:tc>
          <w:tcPr>
            <w:tcW w:type="dxa" w:w="4989"/>
            <w:shd w:fill="1B4F72"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i w:val="0"/>
                <w:color w:val="FFFFFF"/>
                <w:sz w:val="18"/>
              </w:rPr>
              <w:t>Başlık</w:t>
            </w:r>
          </w:p>
        </w:tc>
        <w:tc>
          <w:tcPr>
            <w:tcW w:type="dxa" w:w="4989"/>
            <w:shd w:fill="1B4F72"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i w:val="0"/>
                <w:color w:val="FFFFFF"/>
                <w:sz w:val="18"/>
              </w:rPr>
              <w:t>Değer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Unvan</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Gündüz Mey-Pak Gıda İnş. Taş. Oto. Pet. Ürün. Tur. Tic. Ltd. Şti. Akdeniz Şubesi</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Adres</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Kulak Mah. İnönü Bulvarı No: 120 A, Akdeniz / Mersin</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Vergi / ÇKN</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Kızılbey VD 4300580693  /  3069574032</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Havza ve deşarj</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Doğu Akdeniz Havzası  /  Nacarlı Deresi</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AAT kimlik</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33.25-3069574032-344  /  10.09.2025</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Proje onayı</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15.08.2025  /  E-27907008-100-13239842  /  form AAT03608</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Arıtma</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Dengeleme, klasik aktif çamur, klor dezenfeksiyonu, 90 m³/gün</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Standart</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SKKY Tablo 5.9</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GFB</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3069574032.1.1  /  26.08.2026 – 26.08.2027  /  yalnız atıksu deşarjı</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ÇED</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24.02.2025  /  E-23645791-220.03-11844865  /  kapsam dışı</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Danışman</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KBRÇEV, sözleşme 18.08.2026, çevre görevlisi Asena Kübra Turhan</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İşletme yetkilisi</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İrem Çakır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Tesis sorumlusu</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Kimlik belgesinde boş</w:t>
            </w:r>
          </w:p>
        </w:tc>
      </w:tr>
    </w:tbl>
    <w:p>
      <w:pPr>
        <w:spacing w:after="80"/>
      </w:pPr>
    </w:p>
    <w:p>
      <w:pPr>
        <w:pStyle w:val="Heading1"/>
        <w:spacing w:before="280" w:after="120"/>
      </w:pPr>
      <w:r>
        <w:rPr>
          <w:rFonts w:ascii="Calibri" w:hAnsi="Calibri" w:eastAsia="Calibri"/>
          <w:b/>
          <w:i w:val="0"/>
          <w:color w:val="1B4F72"/>
          <w:sz w:val="32"/>
        </w:rPr>
        <w:t>3. Tablo 5.9 ve izleme</w:t>
      </w:r>
    </w:p>
    <w:p>
      <w:pPr>
        <w:spacing w:after="120" w:before="0" w:line="259" w:lineRule="auto"/>
      </w:pPr>
      <w:r>
        <w:rPr>
          <w:rFonts w:ascii="Calibri" w:hAnsi="Calibri" w:eastAsia="Calibri"/>
          <w:b w:val="0"/>
          <w:i w:val="0"/>
          <w:sz w:val="22"/>
        </w:rPr>
        <w:t>Sebze ve meyve yıkama ile işleme tesisleri için iki saatlik kompozit sınırlar KOİ 150 mg/L, askıda katı madde 200 mg/L ve pH 6-9’dur. Yirmi dört saatlik kompozitte KOİ 100 mg/L, askıda katı madde 100 mg/L, pH yine 6-9’dur. Denetimde normal işletmeye ait iki saatlik kompozit esas alınır. Tabloda BOİ, yağ-gres, azot, fosfor, renk ve balık biyodeneyi yoktur. İzin eki bunları eklemedikçe yasal kıyas bu üç parametredir.</w:t>
      </w:r>
    </w:p>
    <w:tbl>
      <w:tblPr>
        <w:tblW w:type="auto" w:w="0"/>
        <w:jc w:val="center"/>
        <w:tblLayout w:type="fixed"/>
        <w:tblLook w:firstColumn="1" w:firstRow="1" w:lastColumn="0" w:lastRow="0" w:noHBand="0" w:noVBand="1" w:val="04A0"/>
        <w:tblW w:w="9979" w:type="dxa"/>
      </w:tblPr>
      <w:tblGrid>
        <w:gridCol w:w="2494"/>
        <w:gridCol w:w="2494"/>
        <w:gridCol w:w="2494"/>
        <w:gridCol w:w="2494"/>
      </w:tblGrid>
      <w:tr>
        <w:trPr>
          <w:cantSplit/>
        </w:trPr>
        <w:tc>
          <w:tcPr>
            <w:tcW w:type="dxa" w:w="2494"/>
            <w:shd w:fill="1B4F72"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i w:val="0"/>
                <w:color w:val="FFFFFF"/>
                <w:sz w:val="18"/>
              </w:rPr>
              <w:t>Parametre</w:t>
            </w:r>
          </w:p>
        </w:tc>
        <w:tc>
          <w:tcPr>
            <w:tcW w:type="dxa" w:w="2494"/>
            <w:shd w:fill="1B4F72"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i w:val="0"/>
                <w:color w:val="FFFFFF"/>
                <w:sz w:val="18"/>
              </w:rPr>
              <w:t>2 saatlik kompozit</w:t>
            </w:r>
          </w:p>
        </w:tc>
        <w:tc>
          <w:tcPr>
            <w:tcW w:type="dxa" w:w="2494"/>
            <w:shd w:fill="1B4F72"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i w:val="0"/>
                <w:color w:val="FFFFFF"/>
                <w:sz w:val="18"/>
              </w:rPr>
              <w:t>24 saatlik kompozit</w:t>
            </w:r>
          </w:p>
        </w:tc>
        <w:tc>
          <w:tcPr>
            <w:tcW w:type="dxa" w:w="2494"/>
            <w:shd w:fill="1B4F72" w:val="clear"/>
            <w:tcBorders>
              <w:top w:val="single" w:sz="4" w:color="D5D8DC"/>
              <w:left w:val="single" w:sz="4" w:color="D5D8DC"/>
              <w:bottom w:val="single" w:sz="4" w:color="D5D8DC"/>
              <w:right w:val="single" w:sz="4" w:color="D5D8DC"/>
            </w:tcBorders>
            <w:tcW w:w="2494" w:type="dxa"/>
          </w:tcPr>
          <w:p>
            <w:pPr>
              <w:spacing w:after="0" w:before="0"/>
            </w:pPr>
            <w:r/>
            <w:r>
              <w:rPr>
                <w:rFonts w:ascii="Calibri" w:hAnsi="Calibri" w:eastAsia="Calibri"/>
                <w:b/>
                <w:i w:val="0"/>
                <w:color w:val="FFFFFF"/>
                <w:sz w:val="18"/>
              </w:rPr>
              <w:t>Bu tesiste</w:t>
            </w:r>
          </w:p>
        </w:tc>
      </w:tr>
      <w:tr>
        <w:trPr>
          <w:cantSplit/>
        </w:trPr>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KOİ</w:t>
            </w:r>
          </w:p>
        </w:tc>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150 mg/L</w:t>
            </w:r>
          </w:p>
        </w:tc>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100 mg/L</w:t>
            </w:r>
          </w:p>
        </w:tc>
        <w:tc>
          <w:tcPr>
            <w:tcW w:type="dxa" w:w="2494"/>
            <w:tcBorders>
              <w:top w:val="single" w:sz="4" w:color="D5D8DC"/>
              <w:left w:val="single" w:sz="4" w:color="D5D8DC"/>
              <w:bottom w:val="single" w:sz="4" w:color="D5D8DC"/>
              <w:right w:val="single" w:sz="4" w:color="D5D8DC"/>
            </w:tcBorders>
            <w:tcW w:w="2494" w:type="dxa"/>
          </w:tcPr>
          <w:p>
            <w:pPr>
              <w:spacing w:after="0" w:before="0"/>
            </w:pPr>
            <w:r/>
            <w:r>
              <w:rPr>
                <w:rFonts w:ascii="Calibri" w:hAnsi="Calibri" w:eastAsia="Calibri"/>
                <w:b w:val="0"/>
                <w:i w:val="0"/>
                <w:color w:val="1C2833"/>
                <w:sz w:val="18"/>
              </w:rPr>
              <w:t>Her iç izlemede bakılır</w:t>
            </w:r>
          </w:p>
        </w:tc>
      </w:tr>
      <w:tr>
        <w:trPr>
          <w:cantSplit/>
        </w:trPr>
        <w:tc>
          <w:tcPr>
            <w:tcW w:type="dxa" w:w="2494"/>
            <w:shd w:fill="F4F6F7"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AKM</w:t>
            </w:r>
          </w:p>
        </w:tc>
        <w:tc>
          <w:tcPr>
            <w:tcW w:type="dxa" w:w="2494"/>
            <w:shd w:fill="F4F6F7"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200 mg/L</w:t>
            </w:r>
          </w:p>
        </w:tc>
        <w:tc>
          <w:tcPr>
            <w:tcW w:type="dxa" w:w="2494"/>
            <w:shd w:fill="F4F6F7" w:val="clear"/>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100 mg/L</w:t>
            </w:r>
          </w:p>
        </w:tc>
        <w:tc>
          <w:tcPr>
            <w:tcW w:type="dxa" w:w="2494"/>
            <w:shd w:fill="F4F6F7" w:val="clear"/>
            <w:tcBorders>
              <w:top w:val="single" w:sz="4" w:color="D5D8DC"/>
              <w:left w:val="single" w:sz="4" w:color="D5D8DC"/>
              <w:bottom w:val="single" w:sz="4" w:color="D5D8DC"/>
              <w:right w:val="single" w:sz="4" w:color="D5D8DC"/>
            </w:tcBorders>
            <w:tcW w:w="2494" w:type="dxa"/>
          </w:tcPr>
          <w:p>
            <w:pPr>
              <w:spacing w:after="0" w:before="0"/>
            </w:pPr>
            <w:r/>
            <w:r>
              <w:rPr>
                <w:rFonts w:ascii="Calibri" w:hAnsi="Calibri" w:eastAsia="Calibri"/>
                <w:b w:val="0"/>
                <w:i w:val="0"/>
                <w:color w:val="1C2833"/>
                <w:sz w:val="18"/>
              </w:rPr>
              <w:t>Her iç izlemede bakılır</w:t>
            </w:r>
          </w:p>
        </w:tc>
      </w:tr>
      <w:tr>
        <w:trPr>
          <w:cantSplit/>
        </w:trPr>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pH</w:t>
            </w:r>
          </w:p>
        </w:tc>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6-9</w:t>
            </w:r>
          </w:p>
        </w:tc>
        <w:tc>
          <w:tcPr>
            <w:tcW w:type="dxa" w:w="2494"/>
            <w:tcBorders>
              <w:top w:val="single" w:sz="4" w:color="D5D8DC"/>
              <w:left w:val="single" w:sz="4" w:color="D5D8DC"/>
              <w:bottom w:val="single" w:sz="4" w:color="D5D8DC"/>
              <w:right w:val="single" w:sz="4" w:color="D5D8DC"/>
            </w:tcBorders>
            <w:tcW w:w="2495" w:type="dxa"/>
          </w:tcPr>
          <w:p>
            <w:pPr>
              <w:spacing w:after="0" w:before="0"/>
            </w:pPr>
            <w:r/>
            <w:r>
              <w:rPr>
                <w:rFonts w:ascii="Calibri" w:hAnsi="Calibri" w:eastAsia="Calibri"/>
                <w:b w:val="0"/>
                <w:i w:val="0"/>
                <w:color w:val="1C2833"/>
                <w:sz w:val="18"/>
              </w:rPr>
              <w:t>6-9</w:t>
            </w:r>
          </w:p>
        </w:tc>
        <w:tc>
          <w:tcPr>
            <w:tcW w:type="dxa" w:w="2494"/>
            <w:tcBorders>
              <w:top w:val="single" w:sz="4" w:color="D5D8DC"/>
              <w:left w:val="single" w:sz="4" w:color="D5D8DC"/>
              <w:bottom w:val="single" w:sz="4" w:color="D5D8DC"/>
              <w:right w:val="single" w:sz="4" w:color="D5D8DC"/>
            </w:tcBorders>
            <w:tcW w:w="2494" w:type="dxa"/>
          </w:tcPr>
          <w:p>
            <w:pPr>
              <w:spacing w:after="0" w:before="0"/>
            </w:pPr>
            <w:r/>
            <w:r>
              <w:rPr>
                <w:rFonts w:ascii="Calibri" w:hAnsi="Calibri" w:eastAsia="Calibri"/>
                <w:b w:val="0"/>
                <w:i w:val="0"/>
                <w:color w:val="1C2833"/>
                <w:sz w:val="18"/>
              </w:rPr>
              <w:t>Yüzde 20 payı yoktur</w:t>
            </w:r>
          </w:p>
        </w:tc>
      </w:tr>
    </w:tbl>
    <w:p>
      <w:pPr>
        <w:spacing w:after="80"/>
      </w:pPr>
    </w:p>
    <w:p>
      <w:pPr>
        <w:spacing w:after="120" w:before="0" w:line="259" w:lineRule="auto"/>
      </w:pPr>
      <w:r>
        <w:rPr>
          <w:rFonts w:ascii="Calibri" w:hAnsi="Calibri" w:eastAsia="Calibri"/>
          <w:b w:val="0"/>
          <w:i w:val="0"/>
          <w:sz w:val="22"/>
        </w:rPr>
        <w:t>Kurulu kapasite 90 m³/gün olduğu için beklenen fiili debi bandı 51-200 m³/gündür. Bu bantta iç izleme iki ayda bir, il müdürlüğünün denetime esas asgari sıklığı altı ayda birdir. Numune, debiyle orantılı iki saatlik kompozittir ve numune alma yetkisi olan laboratuvar tarafından alınır. Anlık numune iç izlemeyi kapatmaz. KOİ veya AKM anlık sonucu limiti yüzde 20’den fazla aşarsa yaptırıma esas değerlendirilir.</w:t>
      </w:r>
    </w:p>
    <w:p>
      <w:pPr>
        <w:spacing w:after="120" w:before="0" w:line="259" w:lineRule="auto"/>
      </w:pPr>
      <w:r>
        <w:rPr>
          <w:rFonts w:ascii="Calibri" w:hAnsi="Calibri" w:eastAsia="Calibri"/>
          <w:b w:val="0"/>
          <w:i w:val="0"/>
          <w:sz w:val="22"/>
        </w:rPr>
        <w:t>İç izleme limiti aşılırsa il müdürlüğüne bilgi verilir ve numune tarihini izleyen on iş günü içinde iki numune daha alınır. Üç sonucun ortalaması limite uyuyorsa cezai işlem uygulanmaz. Bu sektörde, ilk yıl üç uygun sonuç alınsa bile listeden düşecek başka parametre yoktur. KOİ, AKM ve pH her kampanyada kalır.</w:t>
      </w:r>
    </w:p>
    <w:p>
      <w:pPr>
        <w:spacing w:after="120" w:before="0" w:line="259" w:lineRule="auto"/>
      </w:pPr>
      <w:r>
        <w:rPr>
          <w:rFonts w:ascii="Calibri" w:hAnsi="Calibri" w:eastAsia="Calibri"/>
          <w:b w:val="0"/>
          <w:i w:val="0"/>
          <w:sz w:val="22"/>
        </w:rPr>
        <w:t>04.09.2026 iç tetkiki dönemde numune alınmadığını, 24.09.2026 aylık raporu alındığını yazıyor. Analiz raporu sete konmamış. Bir sonraki kampanya, eylül numunesi gerçekten alındıysa Kasım 2026’dadır. Alınmadıysa ilk iş bu numunedir.</w:t>
      </w:r>
    </w:p>
    <w:p>
      <w:pPr>
        <w:pStyle w:val="Heading1"/>
        <w:spacing w:before="280" w:after="120"/>
      </w:pPr>
      <w:r>
        <w:rPr>
          <w:rFonts w:ascii="Calibri" w:hAnsi="Calibri" w:eastAsia="Calibri"/>
          <w:b/>
          <w:i w:val="0"/>
          <w:color w:val="1B4F72"/>
          <w:sz w:val="32"/>
        </w:rPr>
        <w:t>4. Dosyada tamam görünenler</w:t>
      </w:r>
    </w:p>
    <w:p>
      <w:pPr>
        <w:spacing w:after="120" w:before="0" w:line="259" w:lineRule="auto"/>
      </w:pPr>
      <w:r>
        <w:rPr>
          <w:rFonts w:ascii="Calibri" w:hAnsi="Calibri" w:eastAsia="Calibri"/>
          <w:b w:val="0"/>
          <w:i w:val="0"/>
          <w:sz w:val="22"/>
        </w:rPr>
        <w:t>Aşağıdakiler belgelerde var. Hepsinin imzalı aslı klasörde ayrıca durmalı. Varsa ifadesi, PDF’nin bulunduğunu tek başına garanti etmez.</w:t>
      </w:r>
    </w:p>
    <w:tbl>
      <w:tblPr>
        <w:tblW w:type="auto" w:w="0"/>
        <w:jc w:val="center"/>
        <w:tblLayout w:type="fixed"/>
        <w:tblLook w:firstColumn="1" w:firstRow="1" w:lastColumn="0" w:lastRow="0" w:noHBand="0" w:noVBand="1" w:val="04A0"/>
        <w:tblW w:w="9979" w:type="dxa"/>
      </w:tblPr>
      <w:tblGrid>
        <w:gridCol w:w="4989"/>
        <w:gridCol w:w="4989"/>
      </w:tblGrid>
      <w:tr>
        <w:trPr>
          <w:cantSplit/>
        </w:trPr>
        <w:tc>
          <w:tcPr>
            <w:tcW w:type="dxa" w:w="4989"/>
            <w:shd w:fill="1B4F72"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i w:val="0"/>
                <w:color w:val="FFFFFF"/>
                <w:sz w:val="18"/>
              </w:rPr>
              <w:t>Konu</w:t>
            </w:r>
          </w:p>
        </w:tc>
        <w:tc>
          <w:tcPr>
            <w:tcW w:type="dxa" w:w="4989"/>
            <w:shd w:fill="1B4F72"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i w:val="0"/>
                <w:color w:val="FFFFFF"/>
                <w:sz w:val="18"/>
              </w:rPr>
              <w:t>Belgedeki hali</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ÇED</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24.02.2025 tarihli yazı ile faaliyet kapsam dışı</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AAT proje onayı</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15.08.2025, Bentos hazırlamış, il müdürlüğü onaylamış</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AAT kimlik</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10.09.2025, 90 m³/gün, Tablo 5.9, Nacarlı Deresi</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GFB</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Atıksu deşarjı, 26.08.2027’ye kadar, belge 3069574032.1.1</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Uygunluk</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07.08.2026 tarihli il müdürlüğü yazısı. Beş yıllık belge çıktısı yok</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Gürültü</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Muafiyet değerlendirmesi ve 07.08.2026 uygunluk yazısı</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BEKRA</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29.04.2025 / 164505, seviye kapsam dışı</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Atık planı</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03.11.2028’e kadar geçerli</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2025 atık beyanı</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Yapıldığı yazıyor</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Sigorta</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23.02.2026 – 23.02.2027</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Kapasite raporu</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13.03.2025 / 150437, 03.03.2027’ye kadar</w:t>
            </w:r>
          </w:p>
        </w:tc>
      </w:tr>
      <w:tr>
        <w:trPr>
          <w:cantSplit/>
        </w:trPr>
        <w:tc>
          <w:tcPr>
            <w:tcW w:type="dxa" w:w="4989"/>
            <w:shd w:fill="F4F6F7" w:val="clear"/>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Sıfır atık</w:t>
            </w:r>
          </w:p>
        </w:tc>
        <w:tc>
          <w:tcPr>
            <w:tcW w:type="dxa" w:w="4989"/>
            <w:shd w:fill="F4F6F7" w:val="clear"/>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06.05.2025, T5/33/C/20/368, temel seviye, 3’lü kumbara</w:t>
            </w:r>
          </w:p>
        </w:tc>
      </w:tr>
      <w:tr>
        <w:trPr>
          <w:cantSplit/>
        </w:trPr>
        <w:tc>
          <w:tcPr>
            <w:tcW w:type="dxa" w:w="4989"/>
            <w:tcBorders>
              <w:top w:val="single" w:sz="4" w:color="D5D8DC"/>
              <w:left w:val="single" w:sz="4" w:color="D5D8DC"/>
              <w:bottom w:val="single" w:sz="4" w:color="D5D8DC"/>
              <w:right w:val="single" w:sz="4" w:color="D5D8DC"/>
            </w:tcBorders>
            <w:tcW w:w="3200" w:type="dxa"/>
          </w:tcPr>
          <w:p>
            <w:pPr>
              <w:spacing w:after="0" w:before="0"/>
            </w:pPr>
            <w:r/>
            <w:r>
              <w:rPr>
                <w:rFonts w:ascii="Calibri" w:hAnsi="Calibri" w:eastAsia="Calibri"/>
                <w:b w:val="0"/>
                <w:i w:val="0"/>
                <w:color w:val="1C2833"/>
                <w:sz w:val="18"/>
              </w:rPr>
              <w:t>Danışmanlık</w:t>
            </w:r>
          </w:p>
        </w:tc>
        <w:tc>
          <w:tcPr>
            <w:tcW w:type="dxa" w:w="4989"/>
            <w:tcBorders>
              <w:top w:val="single" w:sz="4" w:color="D5D8DC"/>
              <w:left w:val="single" w:sz="4" w:color="D5D8DC"/>
              <w:bottom w:val="single" w:sz="4" w:color="D5D8DC"/>
              <w:right w:val="single" w:sz="4" w:color="D5D8DC"/>
            </w:tcBorders>
            <w:tcW w:w="6779" w:type="dxa"/>
          </w:tcPr>
          <w:p>
            <w:pPr>
              <w:spacing w:after="0" w:before="0"/>
            </w:pPr>
            <w:r/>
            <w:r>
              <w:rPr>
                <w:rFonts w:ascii="Calibri" w:hAnsi="Calibri" w:eastAsia="Calibri"/>
                <w:b w:val="0"/>
                <w:i w:val="0"/>
                <w:color w:val="1C2833"/>
                <w:sz w:val="18"/>
              </w:rPr>
              <w:t>KBRÇEV sözleşmesi 18.08.2026</w:t>
            </w:r>
          </w:p>
        </w:tc>
      </w:tr>
    </w:tbl>
    <w:p>
      <w:pPr>
        <w:spacing w:after="80"/>
      </w:pPr>
    </w:p>
    <w:p>
      <w:pPr>
        <w:pStyle w:val="Heading1"/>
        <w:spacing w:before="280" w:after="120"/>
      </w:pPr>
      <w:r>
        <w:rPr>
          <w:rFonts w:ascii="Calibri" w:hAnsi="Calibri" w:eastAsia="Calibri"/>
          <w:b/>
          <w:i w:val="0"/>
          <w:color w:val="1B4F72"/>
          <w:sz w:val="32"/>
        </w:rPr>
        <w:t>5. Yapılacak işler</w:t>
      </w:r>
    </w:p>
    <w:p>
      <w:pPr>
        <w:spacing w:after="120" w:before="0" w:line="259" w:lineRule="auto"/>
      </w:pPr>
      <w:r>
        <w:rPr>
          <w:rFonts w:ascii="Calibri" w:hAnsi="Calibri" w:eastAsia="Calibri"/>
          <w:b w:val="0"/>
          <w:i w:val="0"/>
          <w:sz w:val="22"/>
        </w:rPr>
        <w:t>Sıra, dereye arıtılmamış su gitme ihtimalinden başlar. Excel’deki Yapılacaklar sayfasında aynı numaralar durur. Tarih, durum ve kanıt oraya işlenir.</w:t>
      </w:r>
    </w:p>
    <w:p>
      <w:pPr>
        <w:spacing w:after="40" w:before="160" w:line="259" w:lineRule="auto"/>
      </w:pPr>
      <w:r>
        <w:rPr>
          <w:rFonts w:ascii="Calibri" w:hAnsi="Calibri" w:eastAsia="Calibri"/>
          <w:b/>
          <w:i w:val="0"/>
          <w:color w:val="1B4F72"/>
          <w:sz w:val="24"/>
        </w:rPr>
        <w:t>Y-01  Kritik  —  Yıkama suyu hangi hatta</w:t>
      </w:r>
    </w:p>
    <w:p>
      <w:pPr>
        <w:spacing w:after="80" w:before="0" w:line="259" w:lineRule="auto"/>
      </w:pPr>
      <w:r>
        <w:rPr>
          <w:rFonts w:ascii="Calibri" w:hAnsi="Calibri" w:eastAsia="Calibri"/>
          <w:b w:val="0"/>
          <w:i w:val="0"/>
          <w:sz w:val="22"/>
        </w:rPr>
        <w:t>İç tetkik 6.1.3, yıkama faaliyetinden doğan endüstriyel suyun arıtıldığını yazıyor. Aynı raporun 6.1.4 maddesi, yağmur ve yıkama sularının ayrı bir sistemde toplanıp deşarj edildiğini yazıyor. Yağmur suyunun ayrı olması doğrudur. Yıkama suyunun yağmur suyuyla birlikte dereye gitmesi arıtılmamış deşarjdır. Yıkama, durulama, mumlama süzüntüsü ve zemin yıkama hatları uçtan uca yürünüp fotoğraf ve krokisi dosyalanacak. Kaçak vana varsa aynı gün AAT girişine alınacak, bypass kilitlenecek. Hedef 15.10.2026.</w:t>
      </w:r>
    </w:p>
    <w:p>
      <w:pPr>
        <w:spacing w:after="40" w:before="160" w:line="259" w:lineRule="auto"/>
      </w:pPr>
      <w:r>
        <w:rPr>
          <w:rFonts w:ascii="Calibri" w:hAnsi="Calibri" w:eastAsia="Calibri"/>
          <w:b/>
          <w:i w:val="0"/>
          <w:color w:val="1B4F72"/>
          <w:sz w:val="24"/>
        </w:rPr>
        <w:t>Y-02  Kritik  —  İç izleme sonucu ortada yok</w:t>
      </w:r>
    </w:p>
    <w:p>
      <w:pPr>
        <w:spacing w:after="80" w:before="0" w:line="259" w:lineRule="auto"/>
      </w:pPr>
      <w:r>
        <w:rPr>
          <w:rFonts w:ascii="Calibri" w:hAnsi="Calibri" w:eastAsia="Calibri"/>
          <w:b w:val="0"/>
          <w:i w:val="0"/>
          <w:sz w:val="22"/>
        </w:rPr>
        <w:t>İki rapor birbiriyle çelişiyor. Analiz, numune tutanağı ve o günkü debi bulunacak. KOİ 150 mg/L, AKM 200 mg/L ve pH 6-9 ile kıyaslanacak. Aşım varsa bildirim ve on iş günündeki iki ek numune kontrol edilecek. Rapor yoksa yetkili laboratuvarla iki saatlik kompozit bu hafta planlanacak. Sonuç görülmeden limitlere uygun cümlesi hiçbir yazıya konmayacak. Hedef 07.10.2026.</w:t>
      </w:r>
    </w:p>
    <w:p>
      <w:pPr>
        <w:spacing w:after="40" w:before="160" w:line="259" w:lineRule="auto"/>
      </w:pPr>
      <w:r>
        <w:rPr>
          <w:rFonts w:ascii="Calibri" w:hAnsi="Calibri" w:eastAsia="Calibri"/>
          <w:b/>
          <w:i w:val="0"/>
          <w:color w:val="1B4F72"/>
          <w:sz w:val="24"/>
        </w:rPr>
        <w:t>Y-03  Kritik  —  Tesis sorumlusu boş</w:t>
      </w:r>
    </w:p>
    <w:p>
      <w:pPr>
        <w:spacing w:after="80" w:before="0" w:line="259" w:lineRule="auto"/>
      </w:pPr>
      <w:r>
        <w:rPr>
          <w:rFonts w:ascii="Calibri" w:hAnsi="Calibri" w:eastAsia="Calibri"/>
          <w:b w:val="0"/>
          <w:i w:val="0"/>
          <w:sz w:val="22"/>
        </w:rPr>
        <w:t>Kimlik belgesinde ad, e-sertifika ve belge sınıfı yok. Biyolojik arıtma yapan ve debisi 50 ile 1000 m³/gün arasında olan münferit sanayi tesisi, 23.05.2019 tarihli tebliğe göre B sınıfıdır. B sınıfta tam zamanlı tesis sorumlusu aranır: çevre mühendisi, ikincil veya ileri arıtmada en az üç yıl, yeterlilik belgesi. Belge beş yıllıktır. KBRÇEV çevre görevlisi bu kadronun yerine geçmez. Atamadan sonra kimlik belgesi güncellenir. Hedef 31.10.2026.</w:t>
      </w:r>
    </w:p>
    <w:p>
      <w:pPr>
        <w:spacing w:after="40" w:before="160" w:line="259" w:lineRule="auto"/>
      </w:pPr>
      <w:r>
        <w:rPr>
          <w:rFonts w:ascii="Calibri" w:hAnsi="Calibri" w:eastAsia="Calibri"/>
          <w:b/>
          <w:i w:val="0"/>
          <w:color w:val="1B4F72"/>
          <w:sz w:val="24"/>
        </w:rPr>
        <w:t>Y-04  Kritik  —  Atık sözleşmesi ve çamur</w:t>
      </w:r>
    </w:p>
    <w:p>
      <w:pPr>
        <w:spacing w:after="80" w:before="0" w:line="259" w:lineRule="auto"/>
      </w:pPr>
      <w:r>
        <w:rPr>
          <w:rFonts w:ascii="Calibri" w:hAnsi="Calibri" w:eastAsia="Calibri"/>
          <w:b w:val="0"/>
          <w:i w:val="0"/>
          <w:sz w:val="22"/>
        </w:rPr>
        <w:t>Listede 15 01 10*, 15 02 02*, 19 08 13* ve 20 01 26* var. İç tetkik sözleşmenin bulunmadığını, dönemde atık analizi yapılmadığını yazıyor. Tehlikeli atıklar lisanslı firmaya sözleşmeyle gitmeli. Çamurdan temsilî numune alınacak. Sonuç tehlikeliyse 19 08 13* ve MOTAT kalır. Tehlikesizse kod 19 08 14 olur ve beyan düzeltilir. Analiz gelmeden kod tehlikesize çevrilmez. Geçici depolama sızdırmaz, etiketli ve yağmurdan ayrı olacak. Hedef 31.10.2026.</w:t>
      </w:r>
    </w:p>
    <w:p>
      <w:pPr>
        <w:spacing w:after="40" w:before="160" w:line="259" w:lineRule="auto"/>
      </w:pPr>
      <w:r>
        <w:rPr>
          <w:rFonts w:ascii="Calibri" w:hAnsi="Calibri" w:eastAsia="Calibri"/>
          <w:b/>
          <w:i w:val="0"/>
          <w:color w:val="1B4F72"/>
          <w:sz w:val="24"/>
        </w:rPr>
        <w:t>Y-05  Yüksek  —  Beş yıllık izin çıktısı</w:t>
      </w:r>
    </w:p>
    <w:p>
      <w:pPr>
        <w:spacing w:after="80" w:before="0" w:line="259" w:lineRule="auto"/>
      </w:pPr>
      <w:r>
        <w:rPr>
          <w:rFonts w:ascii="Calibri" w:hAnsi="Calibri" w:eastAsia="Calibri"/>
          <w:b w:val="0"/>
          <w:i w:val="0"/>
          <w:sz w:val="22"/>
        </w:rPr>
        <w:t>Eldeki belge geçici faaliyet belgesidir ve 26.08.2027’de biter. 07.08.2026 tarihli uygunluk yazısı, beş yıllık çevre izin belgesinin kendisi değildir. e-İzin’den atıksu deşarjı çıktısı ve eki indirilecek. Ekteki şart bu raporun önüne geçer. Belge oluşmamışsa GFB süresi içinde süreç bitecek. Hedef 15.10.2026.</w:t>
      </w:r>
    </w:p>
    <w:p>
      <w:pPr>
        <w:spacing w:after="40" w:before="160" w:line="259" w:lineRule="auto"/>
      </w:pPr>
      <w:r>
        <w:rPr>
          <w:rFonts w:ascii="Calibri" w:hAnsi="Calibri" w:eastAsia="Calibri"/>
          <w:b/>
          <w:i w:val="0"/>
          <w:color w:val="1B4F72"/>
          <w:sz w:val="24"/>
        </w:rPr>
        <w:t>Y-06  Yüksek  —  Kuyu belgesi</w:t>
      </w:r>
    </w:p>
    <w:p>
      <w:pPr>
        <w:spacing w:after="80" w:before="0" w:line="259" w:lineRule="auto"/>
      </w:pPr>
      <w:r>
        <w:rPr>
          <w:rFonts w:ascii="Calibri" w:hAnsi="Calibri" w:eastAsia="Calibri"/>
          <w:b w:val="0"/>
          <w:i w:val="0"/>
          <w:sz w:val="22"/>
        </w:rPr>
        <w:t>Tesis yeraltı suyu kullanıyor. DSİ belgesi dosyada yok. Aylık raporda, belgenin gerekliliği ve cezai sonucu hakkında yetkiliye bilgi verildiği yazıyor. Belge istenecek, yoksa başvuru başlatılacak. Kuyu sayacı okunup su dengesine yazılacak. Hedef 31.10.2026.</w:t>
      </w:r>
    </w:p>
    <w:p>
      <w:pPr>
        <w:spacing w:after="40" w:before="160" w:line="259" w:lineRule="auto"/>
      </w:pPr>
      <w:r>
        <w:rPr>
          <w:rFonts w:ascii="Calibri" w:hAnsi="Calibri" w:eastAsia="Calibri"/>
          <w:b/>
          <w:i w:val="0"/>
          <w:color w:val="1B4F72"/>
          <w:sz w:val="24"/>
        </w:rPr>
        <w:t>Y-07  Yüksek  —  Günlük debi</w:t>
      </w:r>
    </w:p>
    <w:p>
      <w:pPr>
        <w:spacing w:after="80" w:before="0" w:line="259" w:lineRule="auto"/>
      </w:pPr>
      <w:r>
        <w:rPr>
          <w:rFonts w:ascii="Calibri" w:hAnsi="Calibri" w:eastAsia="Calibri"/>
          <w:b w:val="0"/>
          <w:i w:val="0"/>
          <w:sz w:val="22"/>
        </w:rPr>
        <w:t>90 m³/gün aşımı kapasite ihlalidir ve arıtmayı bozar. Fiili debi sürekli 50 m³/gün ve altında kalırsa izleme dört aya ancak il müdürlüğünün yazısıyla iner. Giriş, deşarj, şebeke ve kuyu her gün işletme defterine, ay sonunda su dengesine işlenecek. Başlangıç 15.10.2026.</w:t>
      </w:r>
    </w:p>
    <w:p>
      <w:pPr>
        <w:spacing w:after="40" w:before="160" w:line="259" w:lineRule="auto"/>
      </w:pPr>
      <w:r>
        <w:rPr>
          <w:rFonts w:ascii="Calibri" w:hAnsi="Calibri" w:eastAsia="Calibri"/>
          <w:b/>
          <w:i w:val="0"/>
          <w:color w:val="1B4F72"/>
          <w:sz w:val="24"/>
        </w:rPr>
        <w:t>Y-08 ve Y-09  Yüksek  —  Sigorta ve kapasite raporu</w:t>
      </w:r>
    </w:p>
    <w:p>
      <w:pPr>
        <w:spacing w:after="80" w:before="0" w:line="259" w:lineRule="auto"/>
      </w:pPr>
      <w:r>
        <w:rPr>
          <w:rFonts w:ascii="Calibri" w:hAnsi="Calibri" w:eastAsia="Calibri"/>
          <w:b w:val="0"/>
          <w:i w:val="0"/>
          <w:sz w:val="22"/>
        </w:rPr>
        <w:t>Mali sorumluluk sigortası 23.02.2027’de, kapasite raporu 03.03.2027’de bitiyor. İkisi de Ocak 2027’de yenilemeye alınacak. Poliçe numarası mevcut raporlarda yok. Yeni kapasite raporundaki günlük tonaj, ÇED kapsam dışı kararı, Ek-1 madde 7.9 eşiği olan 100 ton/gün ve KSTK eşiği ile yeniden bakılacak. Mumlama ve sarartma 26.880 ton/yıl. Günlük değer, kaç gün çalışıldığına göre eşiğin altına veya üstüne düşer.</w:t>
      </w:r>
    </w:p>
    <w:p>
      <w:pPr>
        <w:spacing w:after="40" w:before="160" w:line="259" w:lineRule="auto"/>
      </w:pPr>
      <w:r>
        <w:rPr>
          <w:rFonts w:ascii="Calibri" w:hAnsi="Calibri" w:eastAsia="Calibri"/>
          <w:b/>
          <w:i w:val="0"/>
          <w:color w:val="1B4F72"/>
          <w:sz w:val="24"/>
        </w:rPr>
        <w:t>Y-10  Yüksek  —  Personel 49 mü, 60 mı</w:t>
      </w:r>
    </w:p>
    <w:p>
      <w:pPr>
        <w:spacing w:after="80" w:before="0" w:line="259" w:lineRule="auto"/>
      </w:pPr>
      <w:r>
        <w:rPr>
          <w:rFonts w:ascii="Calibri" w:hAnsi="Calibri" w:eastAsia="Calibri"/>
          <w:b w:val="0"/>
          <w:i w:val="0"/>
          <w:sz w:val="22"/>
        </w:rPr>
        <w:t>Aylık rapor 49 kişi diyor. İç tetkik idari 1, mühendis 1 ve işçi 58 olmak üzere 60 diyor. Aynı iç tetkik, su verimliliği yükümlülüğünün 50 kişiden az olunduğu için doğmadığını yazıyor. SGK listesi gelmeden bu muafiyet tekrar yazılmayacak. Sayı 50 ve üzerindeyse yönetmelik yeniden değerlendirilecek.</w:t>
      </w:r>
    </w:p>
    <w:p>
      <w:pPr>
        <w:spacing w:after="40" w:before="160" w:line="259" w:lineRule="auto"/>
      </w:pPr>
      <w:r>
        <w:rPr>
          <w:rFonts w:ascii="Calibri" w:hAnsi="Calibri" w:eastAsia="Calibri"/>
          <w:b/>
          <w:i w:val="0"/>
          <w:color w:val="1B4F72"/>
          <w:sz w:val="24"/>
        </w:rPr>
        <w:t>Y-11  Orta  —  Klor ve dere</w:t>
      </w:r>
    </w:p>
    <w:p>
      <w:pPr>
        <w:spacing w:after="80" w:before="0" w:line="259" w:lineRule="auto"/>
      </w:pPr>
      <w:r>
        <w:rPr>
          <w:rFonts w:ascii="Calibri" w:hAnsi="Calibri" w:eastAsia="Calibri"/>
          <w:b w:val="0"/>
          <w:i w:val="0"/>
          <w:sz w:val="22"/>
        </w:rPr>
        <w:t>Tablo 5.9’da serbest klor yoktur. Nacarlı Deresi düşük seyrelmeli bir alıcıdır. Yüksek bakiye klor balık ölümüne yol açabilir. Çıkış pH ve serbest klor günlük ölçülecek, mansapta renk, koku, köpük ve balık not edilecek. Doz buna göre ayarlanacak.</w:t>
      </w:r>
    </w:p>
    <w:p>
      <w:pPr>
        <w:spacing w:after="40" w:before="160" w:line="259" w:lineRule="auto"/>
      </w:pPr>
      <w:r>
        <w:rPr>
          <w:rFonts w:ascii="Calibri" w:hAnsi="Calibri" w:eastAsia="Calibri"/>
          <w:b/>
          <w:i w:val="0"/>
          <w:color w:val="1B4F72"/>
          <w:sz w:val="24"/>
        </w:rPr>
        <w:t>Y-12 ila Y-22  —  Dosyayı denetimde tek ses haline getirmek</w:t>
      </w:r>
    </w:p>
    <w:p>
      <w:pPr>
        <w:spacing w:after="80" w:before="0" w:line="259" w:lineRule="auto"/>
      </w:pPr>
      <w:r>
        <w:rPr>
          <w:rFonts w:ascii="Calibri" w:hAnsi="Calibri" w:eastAsia="Calibri"/>
          <w:b w:val="0"/>
          <w:i w:val="0"/>
          <w:sz w:val="22"/>
        </w:rPr>
        <w:t>SDS klasöründe hipoklorit, mum, varsa fungusit ve etilen duracak. Proje onay sayısı resmi yazıda 13239842, iç tetkikte 13239847. Uygunluk sayısı bir raporda E.944, diğerinde E.9446. Koordinat farkı yerinde kapanacak. 2000 tarihli yapı ile 2025 projesi karşılaştırılacak. Baca varken ölçüm ve emisyon izni olmaması ya envanter ve yazıyla kapanacak ya da başvuruya dönecek. Soğuk hava için soğutucu akışkan türü yazılmadan F-gaz muafiyeti denmeyecek. 2026 atık sevkiyatı ay ay tutulacak. Izgara ve kum atığı oluşuyorsa 19 08 01 ve 19 08 02 listeye girecek. Bypass kilidi görülecek. 24.09.2026 eğitim yoklaması dosyalanacak. Danışmanlık faturası ile 18.08.2026 sözleşme tarihi birbirinin yerine yazılmayacak.</w:t>
      </w:r>
    </w:p>
    <w:p>
      <w:pPr>
        <w:pStyle w:val="Heading1"/>
        <w:spacing w:before="280" w:after="120"/>
      </w:pPr>
      <w:r>
        <w:rPr>
          <w:rFonts w:ascii="Calibri" w:hAnsi="Calibri" w:eastAsia="Calibri"/>
          <w:b/>
          <w:i w:val="0"/>
          <w:color w:val="1B4F72"/>
          <w:sz w:val="32"/>
        </w:rPr>
        <w:t>6. Önümüzdeki takvim</w:t>
      </w:r>
    </w:p>
    <w:tbl>
      <w:tblPr>
        <w:tblW w:type="auto" w:w="0"/>
        <w:jc w:val="center"/>
        <w:tblLayout w:type="fixed"/>
        <w:tblLook w:firstColumn="1" w:firstRow="1" w:lastColumn="0" w:lastRow="0" w:noHBand="0" w:noVBand="1" w:val="04A0"/>
        <w:tblW w:w="9979" w:type="dxa"/>
      </w:tblPr>
      <w:tblGrid>
        <w:gridCol w:w="4989"/>
        <w:gridCol w:w="4989"/>
      </w:tblGrid>
      <w:tr>
        <w:trPr>
          <w:cantSplit/>
        </w:trPr>
        <w:tc>
          <w:tcPr>
            <w:tcW w:type="dxa" w:w="4989"/>
            <w:shd w:fill="1B4F72"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i w:val="0"/>
                <w:color w:val="FFFFFF"/>
                <w:sz w:val="18"/>
              </w:rPr>
              <w:t>Tarih</w:t>
            </w:r>
          </w:p>
        </w:tc>
        <w:tc>
          <w:tcPr>
            <w:tcW w:type="dxa" w:w="4989"/>
            <w:shd w:fill="1B4F72"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i w:val="0"/>
                <w:color w:val="FFFFFF"/>
                <w:sz w:val="18"/>
              </w:rPr>
              <w:t>İş</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07.10.2026</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Eylül iç izleme raporunu bul veya numuneyi planla</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15.10.2026</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Hat yürüyüşü, e-İzin çıktısı, debi defteri, bypass kilidi, klor ölçümü</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31.10.2026</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Tesis sorumlusu, atık sözleşmesi, çamur analizi, DSİ belgesi, personel sayısı, evrak düzeltmesi</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Kasım 2026</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İkinci iç izleme, eylül numunesinden iki ay sonra</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15.01.2027</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Sigorta ve kapasite raporu yenilemesini başlat</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23.02.2027</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Mali sorumluluk sigortası bitişi</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03.03.2027</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Kapasite raporu bitişi</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Mart 2027</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2026 yılı atık beyanı</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26.08.2027</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GFB bitişi. Bu tarihte beş yıllık atıksu deşarj izni yürürlükte olmalı</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03.11.2028</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Atık yönetim planı bitişi</w:t>
            </w:r>
          </w:p>
        </w:tc>
      </w:tr>
    </w:tbl>
    <w:p>
      <w:pPr>
        <w:spacing w:after="80"/>
      </w:pPr>
    </w:p>
    <w:p>
      <w:pPr>
        <w:pStyle w:val="Heading1"/>
        <w:spacing w:before="280" w:after="120"/>
      </w:pPr>
      <w:r>
        <w:rPr>
          <w:rFonts w:ascii="Calibri" w:hAnsi="Calibri" w:eastAsia="Calibri"/>
          <w:b/>
          <w:i w:val="0"/>
          <w:color w:val="1B4F72"/>
          <w:sz w:val="32"/>
        </w:rPr>
        <w:t>7. Danışman notları</w:t>
      </w:r>
    </w:p>
    <w:p>
      <w:pPr>
        <w:spacing w:after="60" w:before="0" w:line="259" w:lineRule="auto"/>
      </w:pPr>
      <w:r>
        <w:rPr>
          <w:rFonts w:ascii="Calibri" w:hAnsi="Calibri" w:eastAsia="Calibri"/>
          <w:b w:val="0"/>
          <w:i w:val="0"/>
          <w:sz w:val="22"/>
        </w:rPr>
        <w:t>1.  Sonuç görülmeden uygunluk yazılmaz. Aylık rapordaki ‘numune alındı’ cümlesi limit uygunluğu değildir.</w:t>
      </w:r>
    </w:p>
    <w:p>
      <w:pPr>
        <w:spacing w:after="60" w:before="0" w:line="259" w:lineRule="auto"/>
      </w:pPr>
      <w:r>
        <w:rPr>
          <w:rFonts w:ascii="Calibri" w:hAnsi="Calibri" w:eastAsia="Calibri"/>
          <w:b w:val="0"/>
          <w:i w:val="0"/>
          <w:sz w:val="22"/>
        </w:rPr>
        <w:t>2.  Evsel debi ne kadar büyük olursa olsun, birlikte arıtmada standart sanayi tablosudur. Bu tesiste o tablo 5.9’dur.</w:t>
      </w:r>
    </w:p>
    <w:p>
      <w:pPr>
        <w:spacing w:after="60" w:before="0" w:line="259" w:lineRule="auto"/>
      </w:pPr>
      <w:r>
        <w:rPr>
          <w:rFonts w:ascii="Calibri" w:hAnsi="Calibri" w:eastAsia="Calibri"/>
          <w:b w:val="0"/>
          <w:i w:val="0"/>
          <w:sz w:val="22"/>
        </w:rPr>
        <w:t>3.  BOİ ve yağ-gres yasal listede yoktur. İşletme takibi için ölçülebilir. Mum kaynaklı yağ arıtmayı bozarsa izlenir, limite kendiliğinden eklenmez.</w:t>
      </w:r>
    </w:p>
    <w:p>
      <w:pPr>
        <w:spacing w:after="60" w:before="0" w:line="259" w:lineRule="auto"/>
      </w:pPr>
      <w:r>
        <w:rPr>
          <w:rFonts w:ascii="Calibri" w:hAnsi="Calibri" w:eastAsia="Calibri"/>
          <w:b w:val="0"/>
          <w:i w:val="0"/>
          <w:sz w:val="22"/>
        </w:rPr>
        <w:t>4.  İki saatlik kompozit dışındaki numuneyle iç izleme kapatılmaz. pH’de yüzde 20 tolerans yoktur.</w:t>
      </w:r>
    </w:p>
    <w:p>
      <w:pPr>
        <w:spacing w:after="60" w:before="0" w:line="259" w:lineRule="auto"/>
      </w:pPr>
      <w:r>
        <w:rPr>
          <w:rFonts w:ascii="Calibri" w:hAnsi="Calibri" w:eastAsia="Calibri"/>
          <w:b w:val="0"/>
          <w:i w:val="0"/>
          <w:sz w:val="22"/>
        </w:rPr>
        <w:t>5.  Aşımın ardından on iş günü içindeki iki ek numune kaçırılırsa ortalama hakkını kullanamazsınız.</w:t>
      </w:r>
    </w:p>
    <w:p>
      <w:pPr>
        <w:spacing w:after="60" w:before="0" w:line="259" w:lineRule="auto"/>
      </w:pPr>
      <w:r>
        <w:rPr>
          <w:rFonts w:ascii="Calibri" w:hAnsi="Calibri" w:eastAsia="Calibri"/>
          <w:b w:val="0"/>
          <w:i w:val="0"/>
          <w:sz w:val="22"/>
        </w:rPr>
        <w:t>6.  SAİS ve otomatik numune alma cihazı bu kapasitede zorunlu değildir. Yazılı debi ve temsil edici numune noktası zorunlu iştir.</w:t>
      </w:r>
    </w:p>
    <w:p>
      <w:pPr>
        <w:spacing w:after="60" w:before="0" w:line="259" w:lineRule="auto"/>
      </w:pPr>
      <w:r>
        <w:rPr>
          <w:rFonts w:ascii="Calibri" w:hAnsi="Calibri" w:eastAsia="Calibri"/>
          <w:b w:val="0"/>
          <w:i w:val="0"/>
          <w:sz w:val="22"/>
        </w:rPr>
        <w:t>7.  Çamur kodunu analizden önce gevşetmeyin. 19 08 13* ağır yükümlülüktür, analiz 19 08 14 çıkarırsa o zaman değiştirilir.</w:t>
      </w:r>
    </w:p>
    <w:p>
      <w:pPr>
        <w:spacing w:after="60" w:before="0" w:line="259" w:lineRule="auto"/>
      </w:pPr>
      <w:r>
        <w:rPr>
          <w:rFonts w:ascii="Calibri" w:hAnsi="Calibri" w:eastAsia="Calibri"/>
          <w:b w:val="0"/>
          <w:i w:val="0"/>
          <w:sz w:val="22"/>
        </w:rPr>
        <w:t>8.  İki rapordaki personel, proje onay sayısı ve uygunluk yazısı sayısı düzeltilmeden birleşik denetime girilmemeli.</w:t>
      </w:r>
    </w:p>
    <w:p>
      <w:pPr>
        <w:spacing w:after="60" w:before="0" w:line="259" w:lineRule="auto"/>
      </w:pPr>
      <w:r>
        <w:rPr>
          <w:rFonts w:ascii="Calibri" w:hAnsi="Calibri" w:eastAsia="Calibri"/>
          <w:b w:val="0"/>
          <w:i w:val="0"/>
          <w:sz w:val="22"/>
        </w:rPr>
        <w:t>9.  Nacarlı Deresi için dosyada azot, fosfor veya balık biyodeneyi şartı görünmüyor. İzin eki getirirse Excel’deki iç izleme tablosuna sütun eklenir.</w:t>
      </w:r>
    </w:p>
    <w:p>
      <w:pPr>
        <w:spacing w:after="60" w:before="0" w:line="259" w:lineRule="auto"/>
      </w:pPr>
      <w:r>
        <w:rPr>
          <w:rFonts w:ascii="Calibri" w:hAnsi="Calibri" w:eastAsia="Calibri"/>
          <w:b w:val="0"/>
          <w:i w:val="0"/>
          <w:sz w:val="22"/>
        </w:rPr>
        <w:t>10.  Kayıtlar beş yıl saklanır. Bu rapor idari işlem yerine geçmez.</w:t>
      </w:r>
    </w:p>
    <w:p>
      <w:pPr>
        <w:pStyle w:val="Heading1"/>
        <w:spacing w:before="280" w:after="120"/>
      </w:pPr>
      <w:r>
        <w:rPr>
          <w:rFonts w:ascii="Calibri" w:hAnsi="Calibri" w:eastAsia="Calibri"/>
          <w:b/>
          <w:i w:val="0"/>
          <w:color w:val="1B4F72"/>
          <w:sz w:val="32"/>
        </w:rPr>
        <w:t>8. Excel dosyası</w:t>
      </w:r>
    </w:p>
    <w:p>
      <w:pPr>
        <w:spacing w:after="120" w:before="0" w:line="259" w:lineRule="auto"/>
      </w:pPr>
      <w:r>
        <w:rPr>
          <w:rFonts w:ascii="Calibri" w:hAnsi="Calibri" w:eastAsia="Calibri"/>
          <w:b w:val="0"/>
          <w:i w:val="0"/>
          <w:sz w:val="22"/>
        </w:rPr>
        <w:t>Takip tek dosyadadır: Gunduz_Meypak_Akdeniz_Cevre_Takip.xlsx. Sayfalar birbirine bağlıdır. Yapılacaklar’da durumu Tamamlandı yapınca Özet sayfasındaki sayaç düşer. Belge bitişine 60 gün kalınca durum hücresi kendiliğinden ‘60 GÜN İÇİNDE’ olur.</w:t>
      </w:r>
    </w:p>
    <w:tbl>
      <w:tblPr>
        <w:tblW w:type="auto" w:w="0"/>
        <w:jc w:val="center"/>
        <w:tblLayout w:type="fixed"/>
        <w:tblLook w:firstColumn="1" w:firstRow="1" w:lastColumn="0" w:lastRow="0" w:noHBand="0" w:noVBand="1" w:val="04A0"/>
        <w:tblW w:w="9979" w:type="dxa"/>
      </w:tblPr>
      <w:tblGrid>
        <w:gridCol w:w="4989"/>
        <w:gridCol w:w="4989"/>
      </w:tblGrid>
      <w:tr>
        <w:trPr>
          <w:cantSplit/>
        </w:trPr>
        <w:tc>
          <w:tcPr>
            <w:tcW w:type="dxa" w:w="4989"/>
            <w:shd w:fill="1B4F72"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i w:val="0"/>
                <w:color w:val="FFFFFF"/>
                <w:sz w:val="18"/>
              </w:rPr>
              <w:t>Sayfa</w:t>
            </w:r>
          </w:p>
        </w:tc>
        <w:tc>
          <w:tcPr>
            <w:tcW w:type="dxa" w:w="4989"/>
            <w:shd w:fill="1B4F72"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i w:val="0"/>
                <w:color w:val="FFFFFF"/>
                <w:sz w:val="18"/>
              </w:rPr>
              <w:t>Ne işe yarar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Ozet</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Tesis kartı, açık kritik iş sayısı, süresi yaklaşan belgeler</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Tesis</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Dört belgeden çıkan kimlik. Çelişen satırlar sarı</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Yapilacaklar</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Y-01’den Y-22’ye işler, hedef tarih, durum, kanıt dosyası</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BelgeTakvimi</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GFB, sigorta, kapasite, AYP ve diğer süreler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AylikKontrol</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Ekim 2026 – Eylül 2027 ziyaretleri için hat, ünite, deşarj, atık</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IcIzleme</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KOİ, AKM, pH girilince uygun veya aşım kendiliğinden yazılır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GunlukIsletme</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120 günlük defter. 90 m³ aşımı ve bypass kırmızı yanar</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SuDengesi</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Şebeke, kuyu, AAT giriş ve deşarj</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AtikTakip</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Kodlar ve sevkiyat. 2026 beyanının ham kaydı</w:t>
            </w:r>
          </w:p>
        </w:tc>
      </w:tr>
      <w:tr>
        <w:trPr>
          <w:cantSplit/>
        </w:trPr>
        <w:tc>
          <w:tcPr>
            <w:tcW w:type="dxa" w:w="4989"/>
            <w:shd w:fill="F4F6F7" w:val="clear"/>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Uygunsuzluk</w:t>
            </w:r>
          </w:p>
        </w:tc>
        <w:tc>
          <w:tcPr>
            <w:tcW w:type="dxa" w:w="4989"/>
            <w:shd w:fill="F4F6F7" w:val="clear"/>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Açık dört bulgu işli. Yenileri alta eklenir</w:t>
            </w:r>
          </w:p>
        </w:tc>
      </w:tr>
      <w:tr>
        <w:trPr>
          <w:cantSplit/>
        </w:trPr>
        <w:tc>
          <w:tcPr>
            <w:tcW w:type="dxa" w:w="4989"/>
            <w:tcBorders>
              <w:top w:val="single" w:sz="4" w:color="D5D8DC"/>
              <w:left w:val="single" w:sz="4" w:color="D5D8DC"/>
              <w:bottom w:val="single" w:sz="4" w:color="D5D8DC"/>
              <w:right w:val="single" w:sz="4" w:color="D5D8DC"/>
            </w:tcBorders>
            <w:tcW w:w="2800" w:type="dxa"/>
          </w:tcPr>
          <w:p>
            <w:pPr>
              <w:spacing w:after="0" w:before="0"/>
            </w:pPr>
            <w:r/>
            <w:r>
              <w:rPr>
                <w:rFonts w:ascii="Calibri" w:hAnsi="Calibri" w:eastAsia="Calibri"/>
                <w:b w:val="0"/>
                <w:i w:val="0"/>
                <w:color w:val="1C2833"/>
                <w:sz w:val="18"/>
              </w:rPr>
              <w:t>Notlar</w:t>
            </w:r>
          </w:p>
        </w:tc>
        <w:tc>
          <w:tcPr>
            <w:tcW w:type="dxa" w:w="4989"/>
            <w:tcBorders>
              <w:top w:val="single" w:sz="4" w:color="D5D8DC"/>
              <w:left w:val="single" w:sz="4" w:color="D5D8DC"/>
              <w:bottom w:val="single" w:sz="4" w:color="D5D8DC"/>
              <w:right w:val="single" w:sz="4" w:color="D5D8DC"/>
            </w:tcBorders>
            <w:tcW w:w="7179" w:type="dxa"/>
          </w:tcPr>
          <w:p>
            <w:pPr>
              <w:spacing w:after="0" w:before="0"/>
            </w:pPr>
            <w:r/>
            <w:r>
              <w:rPr>
                <w:rFonts w:ascii="Calibri" w:hAnsi="Calibri" w:eastAsia="Calibri"/>
                <w:b w:val="0"/>
                <w:i w:val="0"/>
                <w:color w:val="1C2833"/>
                <w:sz w:val="18"/>
              </w:rPr>
              <w:t>Bu bölümün kısa hali, dosyanın içinde kalsın diye</w:t>
            </w:r>
          </w:p>
        </w:tc>
      </w:tr>
    </w:tbl>
    <w:p>
      <w:pPr>
        <w:spacing w:after="80"/>
      </w:pPr>
    </w:p>
    <w:p>
      <w:pPr>
        <w:spacing w:after="120" w:before="0" w:line="259" w:lineRule="auto"/>
      </w:pPr>
      <w:r>
        <w:rPr>
          <w:rFonts w:ascii="Calibri" w:hAnsi="Calibri" w:eastAsia="Calibri"/>
          <w:b w:val="0"/>
          <w:i w:val="0"/>
          <w:sz w:val="22"/>
        </w:rPr>
        <w:t>Durum, uygunluk ve evet-hayır hücrelerinde liste vardır. Serbest metin yazılırsa sayaç bozulur. İç izlemede limit hücreleri gri bırakıldı. İzin eki farklı değer verirse gri hücre değiştirilir, formül aynı kalır.</w:t>
      </w:r>
    </w:p>
    <w:p>
      <w:pPr>
        <w:pStyle w:val="Heading1"/>
        <w:spacing w:before="280" w:after="120"/>
      </w:pPr>
      <w:r>
        <w:rPr>
          <w:rFonts w:ascii="Calibri" w:hAnsi="Calibri" w:eastAsia="Calibri"/>
          <w:b/>
          <w:i w:val="0"/>
          <w:color w:val="1B4F72"/>
          <w:sz w:val="32"/>
        </w:rPr>
        <w:t>9. İncelenen belgeler</w:t>
      </w:r>
    </w:p>
    <w:tbl>
      <w:tblPr>
        <w:tblW w:type="auto" w:w="0"/>
        <w:jc w:val="center"/>
        <w:tblLayout w:type="fixed"/>
        <w:tblLook w:firstColumn="1" w:firstRow="1" w:lastColumn="0" w:lastRow="0" w:noHBand="0" w:noVBand="1" w:val="04A0"/>
        <w:tblW w:w="9979" w:type="dxa"/>
      </w:tblPr>
      <w:tblGrid>
        <w:gridCol w:w="3326"/>
        <w:gridCol w:w="3326"/>
        <w:gridCol w:w="3326"/>
      </w:tblGrid>
      <w:tr>
        <w:trPr>
          <w:cantSplit/>
        </w:trPr>
        <w:tc>
          <w:tcPr>
            <w:tcW w:type="dxa" w:w="3326"/>
            <w:shd w:fill="1B4F72" w:val="clear"/>
            <w:tcBorders>
              <w:top w:val="single" w:sz="4" w:color="D5D8DC"/>
              <w:left w:val="single" w:sz="4" w:color="D5D8DC"/>
              <w:bottom w:val="single" w:sz="4" w:color="D5D8DC"/>
              <w:right w:val="single" w:sz="4" w:color="D5D8DC"/>
            </w:tcBorders>
            <w:tcW w:w="3600" w:type="dxa"/>
          </w:tcPr>
          <w:p>
            <w:pPr>
              <w:spacing w:after="0" w:before="0"/>
            </w:pPr>
            <w:r/>
            <w:r>
              <w:rPr>
                <w:rFonts w:ascii="Calibri" w:hAnsi="Calibri" w:eastAsia="Calibri"/>
                <w:b/>
                <w:i w:val="0"/>
                <w:color w:val="FFFFFF"/>
                <w:sz w:val="18"/>
              </w:rPr>
              <w:t>Belge</w:t>
            </w:r>
          </w:p>
        </w:tc>
        <w:tc>
          <w:tcPr>
            <w:tcW w:type="dxa" w:w="3326"/>
            <w:shd w:fill="1B4F72" w:val="clear"/>
            <w:tcBorders>
              <w:top w:val="single" w:sz="4" w:color="D5D8DC"/>
              <w:left w:val="single" w:sz="4" w:color="D5D8DC"/>
              <w:bottom w:val="single" w:sz="4" w:color="D5D8DC"/>
              <w:right w:val="single" w:sz="4" w:color="D5D8DC"/>
            </w:tcBorders>
            <w:tcW w:w="2200" w:type="dxa"/>
          </w:tcPr>
          <w:p>
            <w:pPr>
              <w:spacing w:after="0" w:before="0"/>
            </w:pPr>
            <w:r/>
            <w:r>
              <w:rPr>
                <w:rFonts w:ascii="Calibri" w:hAnsi="Calibri" w:eastAsia="Calibri"/>
                <w:b/>
                <w:i w:val="0"/>
                <w:color w:val="FFFFFF"/>
                <w:sz w:val="18"/>
              </w:rPr>
              <w:t>Tarih</w:t>
            </w:r>
          </w:p>
        </w:tc>
        <w:tc>
          <w:tcPr>
            <w:tcW w:type="dxa" w:w="3326"/>
            <w:shd w:fill="1B4F72" w:val="clear"/>
            <w:tcBorders>
              <w:top w:val="single" w:sz="4" w:color="D5D8DC"/>
              <w:left w:val="single" w:sz="4" w:color="D5D8DC"/>
              <w:bottom w:val="single" w:sz="4" w:color="D5D8DC"/>
              <w:right w:val="single" w:sz="4" w:color="D5D8DC"/>
            </w:tcBorders>
            <w:tcW w:w="4179" w:type="dxa"/>
          </w:tcPr>
          <w:p>
            <w:pPr>
              <w:spacing w:after="0" w:before="0"/>
            </w:pPr>
            <w:r/>
            <w:r>
              <w:rPr>
                <w:rFonts w:ascii="Calibri" w:hAnsi="Calibri" w:eastAsia="Calibri"/>
                <w:b/>
                <w:i w:val="0"/>
                <w:color w:val="FFFFFF"/>
                <w:sz w:val="18"/>
              </w:rPr>
              <w:t>Ne alındı</w:t>
            </w:r>
          </w:p>
        </w:tc>
      </w:tr>
      <w:tr>
        <w:trPr>
          <w:cantSplit/>
        </w:trPr>
        <w:tc>
          <w:tcPr>
            <w:tcW w:type="dxa" w:w="3326"/>
            <w:tcBorders>
              <w:top w:val="single" w:sz="4" w:color="D5D8DC"/>
              <w:left w:val="single" w:sz="4" w:color="D5D8DC"/>
              <w:bottom w:val="single" w:sz="4" w:color="D5D8DC"/>
              <w:right w:val="single" w:sz="4" w:color="D5D8DC"/>
            </w:tcBorders>
            <w:tcW w:w="3600" w:type="dxa"/>
          </w:tcPr>
          <w:p>
            <w:pPr>
              <w:spacing w:after="0" w:before="0"/>
            </w:pPr>
            <w:r/>
            <w:r>
              <w:rPr>
                <w:rFonts w:ascii="Calibri" w:hAnsi="Calibri" w:eastAsia="Calibri"/>
                <w:b w:val="0"/>
                <w:i w:val="0"/>
                <w:color w:val="1C2833"/>
                <w:sz w:val="18"/>
              </w:rPr>
              <w:t>AAT kimlik belgesi</w:t>
            </w:r>
          </w:p>
        </w:tc>
        <w:tc>
          <w:tcPr>
            <w:tcW w:type="dxa" w:w="3326"/>
            <w:tcBorders>
              <w:top w:val="single" w:sz="4" w:color="D5D8DC"/>
              <w:left w:val="single" w:sz="4" w:color="D5D8DC"/>
              <w:bottom w:val="single" w:sz="4" w:color="D5D8DC"/>
              <w:right w:val="single" w:sz="4" w:color="D5D8DC"/>
            </w:tcBorders>
            <w:tcW w:w="2200" w:type="dxa"/>
          </w:tcPr>
          <w:p>
            <w:pPr>
              <w:spacing w:after="0" w:before="0"/>
            </w:pPr>
            <w:r/>
            <w:r>
              <w:rPr>
                <w:rFonts w:ascii="Calibri" w:hAnsi="Calibri" w:eastAsia="Calibri"/>
                <w:b w:val="0"/>
                <w:i w:val="0"/>
                <w:color w:val="1C2833"/>
                <w:sz w:val="18"/>
              </w:rPr>
              <w:t>10.09.2025</w:t>
            </w:r>
          </w:p>
        </w:tc>
        <w:tc>
          <w:tcPr>
            <w:tcW w:type="dxa" w:w="3326"/>
            <w:tcBorders>
              <w:top w:val="single" w:sz="4" w:color="D5D8DC"/>
              <w:left w:val="single" w:sz="4" w:color="D5D8DC"/>
              <w:bottom w:val="single" w:sz="4" w:color="D5D8DC"/>
              <w:right w:val="single" w:sz="4" w:color="D5D8DC"/>
            </w:tcBorders>
            <w:tcW w:w="4179" w:type="dxa"/>
          </w:tcPr>
          <w:p>
            <w:pPr>
              <w:spacing w:after="0" w:before="0"/>
            </w:pPr>
            <w:r/>
            <w:r>
              <w:rPr>
                <w:rFonts w:ascii="Calibri" w:hAnsi="Calibri" w:eastAsia="Calibri"/>
                <w:b w:val="0"/>
                <w:i w:val="0"/>
                <w:color w:val="1C2833"/>
                <w:sz w:val="18"/>
              </w:rPr>
              <w:t>Kapasite, proses, Tablo 5.9, koordinat, boş tesis sorumlusu</w:t>
            </w:r>
          </w:p>
        </w:tc>
      </w:tr>
      <w:tr>
        <w:trPr>
          <w:cantSplit/>
        </w:trPr>
        <w:tc>
          <w:tcPr>
            <w:tcW w:type="dxa" w:w="3326"/>
            <w:shd w:fill="F4F6F7" w:val="clear"/>
            <w:tcBorders>
              <w:top w:val="single" w:sz="4" w:color="D5D8DC"/>
              <w:left w:val="single" w:sz="4" w:color="D5D8DC"/>
              <w:bottom w:val="single" w:sz="4" w:color="D5D8DC"/>
              <w:right w:val="single" w:sz="4" w:color="D5D8DC"/>
            </w:tcBorders>
            <w:tcW w:w="3600" w:type="dxa"/>
          </w:tcPr>
          <w:p>
            <w:pPr>
              <w:spacing w:after="0" w:before="0"/>
            </w:pPr>
            <w:r/>
            <w:r>
              <w:rPr>
                <w:rFonts w:ascii="Calibri" w:hAnsi="Calibri" w:eastAsia="Calibri"/>
                <w:b w:val="0"/>
                <w:i w:val="0"/>
                <w:color w:val="1C2833"/>
                <w:sz w:val="18"/>
              </w:rPr>
              <w:t>Proje onay yazısı ve Ek-1</w:t>
            </w:r>
          </w:p>
        </w:tc>
        <w:tc>
          <w:tcPr>
            <w:tcW w:type="dxa" w:w="3326"/>
            <w:shd w:fill="F4F6F7" w:val="clear"/>
            <w:tcBorders>
              <w:top w:val="single" w:sz="4" w:color="D5D8DC"/>
              <w:left w:val="single" w:sz="4" w:color="D5D8DC"/>
              <w:bottom w:val="single" w:sz="4" w:color="D5D8DC"/>
              <w:right w:val="single" w:sz="4" w:color="D5D8DC"/>
            </w:tcBorders>
            <w:tcW w:w="2200" w:type="dxa"/>
          </w:tcPr>
          <w:p>
            <w:pPr>
              <w:spacing w:after="0" w:before="0"/>
            </w:pPr>
            <w:r/>
            <w:r>
              <w:rPr>
                <w:rFonts w:ascii="Calibri" w:hAnsi="Calibri" w:eastAsia="Calibri"/>
                <w:b w:val="0"/>
                <w:i w:val="0"/>
                <w:color w:val="1C2833"/>
                <w:sz w:val="18"/>
              </w:rPr>
              <w:t>15.08.2025</w:t>
            </w:r>
          </w:p>
        </w:tc>
        <w:tc>
          <w:tcPr>
            <w:tcW w:type="dxa" w:w="3326"/>
            <w:shd w:fill="F4F6F7" w:val="clear"/>
            <w:tcBorders>
              <w:top w:val="single" w:sz="4" w:color="D5D8DC"/>
              <w:left w:val="single" w:sz="4" w:color="D5D8DC"/>
              <w:bottom w:val="single" w:sz="4" w:color="D5D8DC"/>
              <w:right w:val="single" w:sz="4" w:color="D5D8DC"/>
            </w:tcBorders>
            <w:tcW w:w="4179" w:type="dxa"/>
          </w:tcPr>
          <w:p>
            <w:pPr>
              <w:spacing w:after="0" w:before="0"/>
            </w:pPr>
            <w:r/>
            <w:r>
              <w:rPr>
                <w:rFonts w:ascii="Calibri" w:hAnsi="Calibri" w:eastAsia="Calibri"/>
                <w:b w:val="0"/>
                <w:i w:val="0"/>
                <w:color w:val="1C2833"/>
                <w:sz w:val="18"/>
              </w:rPr>
              <w:t>Onay sayısı, form AAT03608, ikinci koordinat</w:t>
            </w:r>
          </w:p>
        </w:tc>
      </w:tr>
      <w:tr>
        <w:trPr>
          <w:cantSplit/>
        </w:trPr>
        <w:tc>
          <w:tcPr>
            <w:tcW w:type="dxa" w:w="3326"/>
            <w:tcBorders>
              <w:top w:val="single" w:sz="4" w:color="D5D8DC"/>
              <w:left w:val="single" w:sz="4" w:color="D5D8DC"/>
              <w:bottom w:val="single" w:sz="4" w:color="D5D8DC"/>
              <w:right w:val="single" w:sz="4" w:color="D5D8DC"/>
            </w:tcBorders>
            <w:tcW w:w="3600" w:type="dxa"/>
          </w:tcPr>
          <w:p>
            <w:pPr>
              <w:spacing w:after="0" w:before="0"/>
            </w:pPr>
            <w:r/>
            <w:r>
              <w:rPr>
                <w:rFonts w:ascii="Calibri" w:hAnsi="Calibri" w:eastAsia="Calibri"/>
                <w:b w:val="0"/>
                <w:i w:val="0"/>
                <w:color w:val="1C2833"/>
                <w:sz w:val="18"/>
              </w:rPr>
              <w:t>İç tetkik raporu, KBRÇEV</w:t>
            </w:r>
          </w:p>
        </w:tc>
        <w:tc>
          <w:tcPr>
            <w:tcW w:type="dxa" w:w="3326"/>
            <w:tcBorders>
              <w:top w:val="single" w:sz="4" w:color="D5D8DC"/>
              <w:left w:val="single" w:sz="4" w:color="D5D8DC"/>
              <w:bottom w:val="single" w:sz="4" w:color="D5D8DC"/>
              <w:right w:val="single" w:sz="4" w:color="D5D8DC"/>
            </w:tcBorders>
            <w:tcW w:w="2200" w:type="dxa"/>
          </w:tcPr>
          <w:p>
            <w:pPr>
              <w:spacing w:after="0" w:before="0"/>
            </w:pPr>
            <w:r/>
            <w:r>
              <w:rPr>
                <w:rFonts w:ascii="Calibri" w:hAnsi="Calibri" w:eastAsia="Calibri"/>
                <w:b w:val="0"/>
                <w:i w:val="0"/>
                <w:color w:val="1C2833"/>
                <w:sz w:val="18"/>
              </w:rPr>
              <w:t>04.09.2026</w:t>
            </w:r>
          </w:p>
        </w:tc>
        <w:tc>
          <w:tcPr>
            <w:tcW w:type="dxa" w:w="3326"/>
            <w:tcBorders>
              <w:top w:val="single" w:sz="4" w:color="D5D8DC"/>
              <w:left w:val="single" w:sz="4" w:color="D5D8DC"/>
              <w:bottom w:val="single" w:sz="4" w:color="D5D8DC"/>
              <w:right w:val="single" w:sz="4" w:color="D5D8DC"/>
            </w:tcBorders>
            <w:tcW w:w="4179" w:type="dxa"/>
          </w:tcPr>
          <w:p>
            <w:pPr>
              <w:spacing w:after="0" w:before="0"/>
            </w:pPr>
            <w:r/>
            <w:r>
              <w:rPr>
                <w:rFonts w:ascii="Calibri" w:hAnsi="Calibri" w:eastAsia="Calibri"/>
                <w:b w:val="0"/>
                <w:i w:val="0"/>
                <w:color w:val="1C2833"/>
                <w:sz w:val="18"/>
              </w:rPr>
              <w:t>Proses, belge listesi, sözleşme yok, numune yok, personel 60</w:t>
            </w:r>
          </w:p>
        </w:tc>
      </w:tr>
      <w:tr>
        <w:trPr>
          <w:cantSplit/>
        </w:trPr>
        <w:tc>
          <w:tcPr>
            <w:tcW w:type="dxa" w:w="3326"/>
            <w:shd w:fill="F4F6F7" w:val="clear"/>
            <w:tcBorders>
              <w:top w:val="single" w:sz="4" w:color="D5D8DC"/>
              <w:left w:val="single" w:sz="4" w:color="D5D8DC"/>
              <w:bottom w:val="single" w:sz="4" w:color="D5D8DC"/>
              <w:right w:val="single" w:sz="4" w:color="D5D8DC"/>
            </w:tcBorders>
            <w:tcW w:w="3600" w:type="dxa"/>
          </w:tcPr>
          <w:p>
            <w:pPr>
              <w:spacing w:after="0" w:before="0"/>
            </w:pPr>
            <w:r/>
            <w:r>
              <w:rPr>
                <w:rFonts w:ascii="Calibri" w:hAnsi="Calibri" w:eastAsia="Calibri"/>
                <w:b w:val="0"/>
                <w:i w:val="0"/>
                <w:color w:val="1C2833"/>
                <w:sz w:val="18"/>
              </w:rPr>
              <w:t>Aylık faaliyet raporu, KBRÇEV</w:t>
            </w:r>
          </w:p>
        </w:tc>
        <w:tc>
          <w:tcPr>
            <w:tcW w:type="dxa" w:w="3326"/>
            <w:shd w:fill="F4F6F7" w:val="clear"/>
            <w:tcBorders>
              <w:top w:val="single" w:sz="4" w:color="D5D8DC"/>
              <w:left w:val="single" w:sz="4" w:color="D5D8DC"/>
              <w:bottom w:val="single" w:sz="4" w:color="D5D8DC"/>
              <w:right w:val="single" w:sz="4" w:color="D5D8DC"/>
            </w:tcBorders>
            <w:tcW w:w="2200" w:type="dxa"/>
          </w:tcPr>
          <w:p>
            <w:pPr>
              <w:spacing w:after="0" w:before="0"/>
            </w:pPr>
            <w:r/>
            <w:r>
              <w:rPr>
                <w:rFonts w:ascii="Calibri" w:hAnsi="Calibri" w:eastAsia="Calibri"/>
                <w:b w:val="0"/>
                <w:i w:val="0"/>
                <w:color w:val="1C2833"/>
                <w:sz w:val="18"/>
              </w:rPr>
              <w:t>24.09.2026</w:t>
            </w:r>
          </w:p>
        </w:tc>
        <w:tc>
          <w:tcPr>
            <w:tcW w:type="dxa" w:w="3326"/>
            <w:shd w:fill="F4F6F7" w:val="clear"/>
            <w:tcBorders>
              <w:top w:val="single" w:sz="4" w:color="D5D8DC"/>
              <w:left w:val="single" w:sz="4" w:color="D5D8DC"/>
              <w:bottom w:val="single" w:sz="4" w:color="D5D8DC"/>
              <w:right w:val="single" w:sz="4" w:color="D5D8DC"/>
            </w:tcBorders>
            <w:tcW w:w="4179" w:type="dxa"/>
          </w:tcPr>
          <w:p>
            <w:pPr>
              <w:spacing w:after="0" w:before="0"/>
            </w:pPr>
            <w:r/>
            <w:r>
              <w:rPr>
                <w:rFonts w:ascii="Calibri" w:hAnsi="Calibri" w:eastAsia="Calibri"/>
                <w:b w:val="0"/>
                <w:i w:val="0"/>
                <w:color w:val="1C2833"/>
                <w:sz w:val="18"/>
              </w:rPr>
              <w:t>GFB, uygunluk, numune alındı beyanı, personel 49, eğitim</w:t>
            </w:r>
          </w:p>
        </w:tc>
      </w:tr>
    </w:tbl>
    <w:p>
      <w:pPr>
        <w:spacing w:after="80"/>
      </w:pPr>
    </w:p>
    <w:p>
      <w:pPr>
        <w:spacing w:after="120" w:before="160" w:line="259" w:lineRule="auto"/>
      </w:pPr>
      <w:r>
        <w:rPr>
          <w:rFonts w:ascii="Calibri" w:hAnsi="Calibri" w:eastAsia="Calibri"/>
          <w:b w:val="0"/>
          <w:i/>
          <w:color w:val="5D6D7E"/>
          <w:sz w:val="20"/>
        </w:rPr>
        <w:t>Hazırlayan notu: Metin, çevre danışmanının saha öncesi çalışma dosyasıdır. KBRÇEV raporlarının yerine geçmez, onların üzerine okunur. Saha yürüyüşü ve analiz raporu geldikten sonra Y-01 ve Y-02 kapanır, ancak ondan sonra deşarj için bir uygunluk cümlesi kurulabilir.</w:t>
      </w:r>
    </w:p>
    <w:sectPr w:rsidR="00FC693F" w:rsidRPr="0006063C" w:rsidSect="00034616">
      <w:headerReference w:type="default" r:id="rId9"/>
      <w:footerReference w:type="default" r:id="rId10"/>
      <w:pgSz w:w="11906" w:h="16838"/>
      <w:pgMar w:top="907" w:right="964" w:bottom="907" w:left="96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D6D7E"/>
        <w:sz w:val="16"/>
      </w:rPr>
      <w:t xml:space="preserve">Saha ölçümü ve laboratuvar sonucu içermez. İzin eki geldiğinde ek esastır.  ·  Sayfa </w:t>
    </w:r>
    <w:r>
      <w:rPr>
        <w:rFonts w:ascii="Calibri" w:hAnsi="Calibri" w:eastAsia="Calibri"/>
        <w:b w:val="0"/>
        <w:i w:val="0"/>
        <w:color w:val="5D6D7E"/>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color w:val="5D6D7E"/>
        <w:sz w:val="16"/>
      </w:rPr>
      <w:t>Gündüz Mey-Pak Akdeniz Şubesi  ·  çalışma raporu  ·  30.09.2026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