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Calibri" w:hAnsi="Calibri" w:cs="Calibri" w:eastAsia="Calibri"/>
          <w:b/>
          <w:i w:val="0"/>
          <w:color w:val="0F2A44"/>
          <w:sz w:val="36"/>
        </w:rPr>
        <w:t>İŞ AKIM ŞEMASI VE PROSES ÖZETİ</w:t>
      </w:r>
    </w:p>
    <w:p>
      <w:pPr>
        <w:spacing w:before="0" w:after="40" w:line="240" w:lineRule="auto"/>
        <w:jc w:val="center"/>
      </w:pPr>
      <w:r>
        <w:rPr>
          <w:rFonts w:ascii="Calibri" w:hAnsi="Calibri" w:cs="Calibri" w:eastAsia="Calibri"/>
          <w:b/>
          <w:i w:val="0"/>
          <w:color w:val="0369A1"/>
          <w:sz w:val="26"/>
        </w:rPr>
        <w:t>MERLAS Oto Lastik Endüstri Sanayi ve Ticaret Limited Şirketi</w:t>
      </w:r>
    </w:p>
    <w:p>
      <w:pPr>
        <w:spacing w:before="0" w:after="160" w:line="240" w:lineRule="auto"/>
        <w:jc w:val="center"/>
      </w:pPr>
      <w:r>
        <w:rPr>
          <w:rFonts w:ascii="Calibri" w:hAnsi="Calibri" w:cs="Calibri" w:eastAsia="Calibri"/>
          <w:b w:val="0"/>
          <w:i w:val="0"/>
          <w:color w:val="475569"/>
          <w:sz w:val="22"/>
        </w:rPr>
        <w:t>Motorlu kara taşıtı lastiklerinin ve jantlarının toptan ticareti</w:t>
      </w:r>
    </w:p>
    <w:p>
      <w:pPr>
        <w:spacing w:before="120" w:after="40" w:line="240" w:lineRule="auto"/>
        <w:jc w:val="left"/>
        <w:pBdr>
          <w:bottom w:val="single" w:sz="8" w:space="1" w:color="0F2A44"/>
        </w:pBdr>
      </w:pPr>
      <w:r>
        <w:rPr>
          <w:rFonts w:ascii="Calibri" w:hAnsi="Calibri" w:cs="Calibri" w:eastAsia="Calibri"/>
          <w:b/>
          <w:i w:val="0"/>
          <w:color w:val="0F2A44"/>
          <w:sz w:val="25"/>
        </w:rPr>
        <w:t>1. Tesisin Yeri</w:t>
      </w:r>
    </w:p>
    <w:p>
      <w:pPr>
        <w:spacing w:before="0" w:after="80" w:line="240" w:lineRule="auto"/>
        <w:jc w:val="both"/>
      </w:pPr>
      <w:r>
        <w:rPr>
          <w:rFonts w:ascii="Calibri" w:hAnsi="Calibri" w:cs="Calibri" w:eastAsia="Calibri"/>
          <w:b w:val="0"/>
          <w:i w:val="0"/>
          <w:color w:val="1E293B"/>
          <w:sz w:val="22"/>
        </w:rPr>
        <w:t>Mersin İli, Akdeniz İlçesi, Dikilitaş Mahallesi, 22226 Sokak, No: 4 A, İç Kapı No: 1 adresinde; tapunun 4 ada 4 parselinde kayıtlı net 7.500 m² alanda faaliyet göstermektedir. İşletme bu adreste mülk sahibi olarak bulunmaktadır. Mücavir alan sınırları içindedir.</w:t>
      </w:r>
    </w:p>
    <w:p>
      <w:pPr>
        <w:spacing w:before="0" w:after="80" w:line="240" w:lineRule="auto"/>
        <w:jc w:val="both"/>
      </w:pPr>
      <w:r>
        <w:rPr>
          <w:rFonts w:ascii="Calibri" w:hAnsi="Calibri" w:cs="Calibri" w:eastAsia="Calibri"/>
          <w:b w:val="0"/>
          <w:i w:val="0"/>
          <w:color w:val="1E293B"/>
          <w:sz w:val="22"/>
        </w:rPr>
        <w:t>Faaliyet konusu, motorlu kara taşıtı lastiklerinin ve jantlarının toptan ticaretidir (NACE 45.31.12). Çalışma şekli süreklidir. Tesiste 10 personel (1 usta, 9 işçi) bulunmaktadır.</w:t>
      </w:r>
    </w:p>
    <w:p>
      <w:pPr>
        <w:spacing w:before="120" w:after="40" w:line="240" w:lineRule="auto"/>
        <w:jc w:val="left"/>
        <w:pBdr>
          <w:bottom w:val="single" w:sz="8" w:space="1" w:color="0F2A44"/>
        </w:pBdr>
      </w:pPr>
      <w:r>
        <w:rPr>
          <w:rFonts w:ascii="Calibri" w:hAnsi="Calibri" w:cs="Calibri" w:eastAsia="Calibri"/>
          <w:b/>
          <w:i w:val="0"/>
          <w:color w:val="0F2A44"/>
          <w:sz w:val="25"/>
        </w:rPr>
        <w:t>2. Proses Özeti</w:t>
      </w:r>
    </w:p>
    <w:p>
      <w:pPr>
        <w:spacing w:before="0" w:after="80" w:line="240" w:lineRule="auto"/>
        <w:jc w:val="both"/>
      </w:pPr>
      <w:r>
        <w:rPr>
          <w:rFonts w:ascii="Calibri" w:hAnsi="Calibri" w:cs="Calibri" w:eastAsia="Calibri"/>
          <w:b w:val="0"/>
          <w:i w:val="0"/>
          <w:color w:val="1E293B"/>
          <w:sz w:val="22"/>
        </w:rPr>
        <w:t>Faaliyet kapsamında motorlu kara taşıtlarına yönelik lastik ve jantlar, üretici firmalar veya yetkili tedarikçilerden temin edilmektedir. Tesise gelen ürünler mal kabul ve kalite kontrol işlemlerinden geçirilerek depolanmaktadır. Müşterilerden alınan siparişler doğrultusunda ürünler stoktan hazırlanmakta, paketlenmekte ve sevkiyata hazır hale getirilmektedir. Ürünler toptan satış kapsamında bayi, servis, filo işletmeleri ve diğer ticari müşterilere ulaştırılmaktadır.</w:t>
      </w:r>
    </w:p>
    <w:p>
      <w:pPr>
        <w:spacing w:before="0" w:after="80" w:line="240" w:lineRule="auto"/>
        <w:jc w:val="both"/>
      </w:pPr>
      <w:r>
        <w:rPr>
          <w:rFonts w:ascii="Calibri" w:hAnsi="Calibri" w:cs="Calibri" w:eastAsia="Calibri"/>
          <w:b w:val="0"/>
          <w:i w:val="0"/>
          <w:color w:val="1E293B"/>
          <w:sz w:val="22"/>
        </w:rPr>
        <w:t>Faaliyet sürecinde herhangi bir üretim işlemi bulunmamaktadır. Depolama, sipariş yönetimi, sevkiyat ve satış işlemleri gerçekleştirilmektedir.</w:t>
      </w:r>
    </w:p>
    <w:p>
      <w:pPr>
        <w:spacing w:before="120" w:after="40" w:line="240" w:lineRule="auto"/>
        <w:jc w:val="left"/>
        <w:pBdr>
          <w:bottom w:val="single" w:sz="8" w:space="1" w:color="0F2A44"/>
        </w:pBdr>
      </w:pPr>
      <w:r>
        <w:rPr>
          <w:rFonts w:ascii="Calibri" w:hAnsi="Calibri" w:cs="Calibri" w:eastAsia="Calibri"/>
          <w:b/>
          <w:i w:val="0"/>
          <w:color w:val="0F2A44"/>
          <w:sz w:val="25"/>
        </w:rPr>
        <w:t>3. Tesiste Kaynaklanacak Sıvı Atıklar</w:t>
      </w:r>
    </w:p>
    <w:p>
      <w:pPr>
        <w:spacing w:before="0" w:after="80" w:line="240" w:lineRule="auto"/>
        <w:jc w:val="both"/>
      </w:pPr>
      <w:r>
        <w:rPr>
          <w:rFonts w:ascii="Calibri" w:hAnsi="Calibri" w:cs="Calibri" w:eastAsia="Calibri"/>
          <w:b w:val="0"/>
          <w:i w:val="0"/>
          <w:color w:val="1E293B"/>
          <w:sz w:val="22"/>
        </w:rPr>
        <w:t>İşletmede şebeke suyu kullanılmaktadır. Tesiste kuyu suyu kullanımı da vardır. Çalışanlardan kaynaklanan evsel atıksu için Atıksu Deşarj İzin Belgesi kapsamında MESKİ’ye başvuruda bulunulacaktır. Tesiste endüstriyel atıksu, yağmur ve yıkama suyu ile diğer atıksu oluşmamaktadır. Atıksu arıtma tesisi bulunmamaktadır.</w:t>
      </w:r>
    </w:p>
    <w:p>
      <w:pPr>
        <w:spacing w:before="120" w:after="40" w:line="240" w:lineRule="auto"/>
        <w:jc w:val="left"/>
        <w:pBdr>
          <w:bottom w:val="single" w:sz="8" w:space="1" w:color="0F2A44"/>
        </w:pBdr>
      </w:pPr>
      <w:r>
        <w:rPr>
          <w:rFonts w:ascii="Calibri" w:hAnsi="Calibri" w:cs="Calibri" w:eastAsia="Calibri"/>
          <w:b/>
          <w:i w:val="0"/>
          <w:color w:val="0F2A44"/>
          <w:sz w:val="25"/>
        </w:rPr>
        <w:t>4. Tesiste Kaynaklanacak Emisyonlar</w:t>
      </w:r>
    </w:p>
    <w:p>
      <w:pPr>
        <w:spacing w:before="0" w:after="80" w:line="240" w:lineRule="auto"/>
        <w:jc w:val="both"/>
      </w:pPr>
      <w:r>
        <w:rPr>
          <w:rFonts w:ascii="Calibri" w:hAnsi="Calibri" w:cs="Calibri" w:eastAsia="Calibri"/>
          <w:b w:val="0"/>
          <w:i w:val="0"/>
          <w:color w:val="1E293B"/>
          <w:sz w:val="22"/>
        </w:rPr>
        <w:t>Tesiste emisyon kaynağı bulunmamaktadır. Kontrolsüz emisyon kaynağı gözlemlenmemiştir. Tesis SKHKKY Ek-3 kapsamında olmadığından sürekli emisyon ölçümü yapılmamaktadır. Tesis içi yollar tozumayan madde ile kaplıdır. Açıkta depolanan yığma malzeme bulunmamaktadır.</w:t>
      </w:r>
    </w:p>
    <w:p>
      <w:pPr>
        <w:spacing w:before="120" w:after="40" w:line="240" w:lineRule="auto"/>
        <w:jc w:val="left"/>
        <w:pBdr>
          <w:bottom w:val="single" w:sz="8" w:space="1" w:color="0F2A44"/>
        </w:pBdr>
      </w:pPr>
      <w:r>
        <w:rPr>
          <w:rFonts w:ascii="Calibri" w:hAnsi="Calibri" w:cs="Calibri" w:eastAsia="Calibri"/>
          <w:b/>
          <w:i w:val="0"/>
          <w:color w:val="0F2A44"/>
          <w:sz w:val="25"/>
        </w:rPr>
        <w:t>5. Tesiste Kaynaklanacak Atıklar</w:t>
      </w:r>
    </w:p>
    <w:p>
      <w:pPr>
        <w:spacing w:before="0" w:after="80" w:line="240" w:lineRule="auto"/>
        <w:jc w:val="both"/>
      </w:pPr>
      <w:r>
        <w:rPr>
          <w:rFonts w:ascii="Calibri" w:hAnsi="Calibri" w:cs="Calibri" w:eastAsia="Calibri"/>
          <w:b w:val="0"/>
          <w:i w:val="0"/>
          <w:color w:val="1E293B"/>
          <w:sz w:val="22"/>
        </w:rPr>
        <w:t>Tesiste oluşması muhtemel atıklar aşağıdadır. Proses atığı oluşmamaktadır.</w:t>
      </w:r>
    </w:p>
    <w:tbl>
      <w:tblPr>
        <w:tblW w:type="dxa" w:w="9979"/>
        <w:jc w:val="center"/>
        <w:tblLook w:firstColumn="1" w:firstRow="1" w:lastColumn="0" w:lastRow="0" w:noHBand="0" w:noVBand="1" w:val="04A0"/>
        <w:tblInd w:w="0" w:type="dxa"/>
      </w:tblPr>
      <w:tblGrid>
        <w:gridCol w:w="2041"/>
        <w:gridCol w:w="7938"/>
      </w:tblGrid>
      <w:tr>
        <w:trPr>
          <w:trHeight w:val="240" w:hRule="atLeast"/>
          <w:cantSplit/>
        </w:trPr>
        <w:tc>
          <w:tcPr>
            <w:tcW w:type="dxa" w:w="2041"/>
            <w:shd w:fill="0F2A44" w:val="clear"/>
            <w:tcBorders>
              <w:top w:val="single" w:sz="6" w:space="0" w:color="CBD5E1"/>
              <w:left w:val="single" w:sz="6" w:space="0" w:color="CBD5E1"/>
              <w:bottom w:val="single" w:sz="6" w:space="0" w:color="CBD5E1"/>
              <w:right w:val="single" w:sz="6" w:space="0" w:color="CBD5E1"/>
            </w:tcBorders>
            <w:vAlign w:val="center"/>
            <w:tcMar>
              <w:top w:w="60" w:type="dxa"/>
              <w:left w:w="100" w:type="dxa"/>
              <w:bottom w:w="60" w:type="dxa"/>
              <w:right w:w="100" w:type="dxa"/>
            </w:tcMar>
          </w:tcPr>
          <w:p>
            <w:pPr>
              <w:spacing w:before="0" w:after="0"/>
              <w:jc w:val="left"/>
            </w:pPr>
            <w:r>
              <w:rPr>
                <w:rFonts w:ascii="Calibri" w:hAnsi="Calibri" w:cs="Calibri" w:eastAsia="Calibri"/>
                <w:b/>
                <w:i w:val="0"/>
                <w:color w:val="FFFFFF"/>
                <w:sz w:val="20"/>
              </w:rPr>
              <w:t>Atık kodu</w:t>
            </w:r>
          </w:p>
        </w:tc>
        <w:tc>
          <w:tcPr>
            <w:tcW w:type="dxa" w:w="7938"/>
            <w:shd w:fill="0F2A44" w:val="clear"/>
            <w:tcBorders>
              <w:top w:val="single" w:sz="6" w:space="0" w:color="CBD5E1"/>
              <w:left w:val="single" w:sz="6" w:space="0" w:color="CBD5E1"/>
              <w:bottom w:val="single" w:sz="6" w:space="0" w:color="CBD5E1"/>
              <w:right w:val="single" w:sz="6" w:space="0" w:color="CBD5E1"/>
            </w:tcBorders>
            <w:vAlign w:val="center"/>
            <w:tcMar>
              <w:top w:w="60" w:type="dxa"/>
              <w:left w:w="100" w:type="dxa"/>
              <w:bottom w:w="60" w:type="dxa"/>
              <w:right w:w="100" w:type="dxa"/>
            </w:tcMar>
          </w:tcPr>
          <w:p>
            <w:pPr>
              <w:spacing w:before="0" w:after="0"/>
              <w:jc w:val="left"/>
            </w:pPr>
            <w:r>
              <w:rPr>
                <w:rFonts w:ascii="Calibri" w:hAnsi="Calibri" w:cs="Calibri" w:eastAsia="Calibri"/>
                <w:b/>
                <w:i w:val="0"/>
                <w:color w:val="FFFFFF"/>
                <w:sz w:val="20"/>
              </w:rPr>
              <w:t>Atık kodu tanımı</w:t>
            </w:r>
          </w:p>
        </w:tc>
      </w:tr>
      <w:tr>
        <w:trPr>
          <w:trHeight w:val="240" w:hRule="atLeast"/>
          <w:cantSplit/>
        </w:trPr>
        <w:tc>
          <w:tcPr>
            <w:tcW w:type="dxa" w:w="2041"/>
            <w:shd w:fill="FFFFFF" w:val="clear"/>
            <w:tcBorders>
              <w:top w:val="single" w:sz="6" w:space="0" w:color="CBD5E1"/>
              <w:left w:val="single" w:sz="6" w:space="0" w:color="CBD5E1"/>
              <w:bottom w:val="single" w:sz="6" w:space="0" w:color="CBD5E1"/>
              <w:right w:val="single" w:sz="6" w:space="0" w:color="CBD5E1"/>
            </w:tcBorders>
            <w:vAlign w:val="center"/>
            <w:tcMar>
              <w:top w:w="60" w:type="dxa"/>
              <w:left w:w="100" w:type="dxa"/>
              <w:bottom w:w="60" w:type="dxa"/>
              <w:right w:w="100" w:type="dxa"/>
            </w:tcMar>
          </w:tcPr>
          <w:p>
            <w:pPr>
              <w:spacing w:before="0" w:after="0"/>
              <w:jc w:val="left"/>
            </w:pPr>
            <w:r>
              <w:rPr>
                <w:rFonts w:ascii="Calibri" w:hAnsi="Calibri" w:cs="Calibri" w:eastAsia="Calibri"/>
                <w:b/>
                <w:i w:val="0"/>
                <w:color w:val="1E293B"/>
                <w:sz w:val="20"/>
              </w:rPr>
              <w:t>15 01 06</w:t>
            </w:r>
          </w:p>
        </w:tc>
        <w:tc>
          <w:tcPr>
            <w:tcW w:type="dxa" w:w="7938"/>
            <w:shd w:fill="FFFFFF" w:val="clear"/>
            <w:tcBorders>
              <w:top w:val="single" w:sz="6" w:space="0" w:color="CBD5E1"/>
              <w:left w:val="single" w:sz="6" w:space="0" w:color="CBD5E1"/>
              <w:bottom w:val="single" w:sz="6" w:space="0" w:color="CBD5E1"/>
              <w:right w:val="single" w:sz="6" w:space="0" w:color="CBD5E1"/>
            </w:tcBorders>
            <w:vAlign w:val="center"/>
            <w:tcMar>
              <w:top w:w="60" w:type="dxa"/>
              <w:left w:w="100" w:type="dxa"/>
              <w:bottom w:w="60" w:type="dxa"/>
              <w:right w:w="100" w:type="dxa"/>
            </w:tcMar>
          </w:tcPr>
          <w:p>
            <w:pPr>
              <w:spacing w:before="0" w:after="0"/>
              <w:jc w:val="left"/>
            </w:pPr>
            <w:r>
              <w:rPr>
                <w:rFonts w:ascii="Calibri" w:hAnsi="Calibri" w:cs="Calibri" w:eastAsia="Calibri"/>
                <w:b w:val="0"/>
                <w:i w:val="0"/>
                <w:color w:val="1E293B"/>
                <w:sz w:val="20"/>
              </w:rPr>
              <w:t>Karışık ambalaj</w:t>
            </w:r>
          </w:p>
        </w:tc>
      </w:tr>
      <w:tr>
        <w:trPr>
          <w:trHeight w:val="240" w:hRule="atLeast"/>
          <w:cantSplit/>
        </w:trPr>
        <w:tc>
          <w:tcPr>
            <w:tcW w:type="dxa" w:w="2041"/>
            <w:shd w:fill="FFFFFF" w:val="clear"/>
            <w:tcBorders>
              <w:top w:val="single" w:sz="6" w:space="0" w:color="CBD5E1"/>
              <w:left w:val="single" w:sz="6" w:space="0" w:color="CBD5E1"/>
              <w:bottom w:val="single" w:sz="6" w:space="0" w:color="CBD5E1"/>
              <w:right w:val="single" w:sz="6" w:space="0" w:color="CBD5E1"/>
            </w:tcBorders>
            <w:vAlign w:val="center"/>
            <w:tcMar>
              <w:top w:w="60" w:type="dxa"/>
              <w:left w:w="100" w:type="dxa"/>
              <w:bottom w:w="60" w:type="dxa"/>
              <w:right w:w="100" w:type="dxa"/>
            </w:tcMar>
          </w:tcPr>
          <w:p>
            <w:pPr>
              <w:spacing w:before="0" w:after="0"/>
              <w:jc w:val="left"/>
            </w:pPr>
            <w:r>
              <w:rPr>
                <w:rFonts w:ascii="Calibri" w:hAnsi="Calibri" w:cs="Calibri" w:eastAsia="Calibri"/>
                <w:b/>
                <w:i w:val="0"/>
                <w:color w:val="1E293B"/>
                <w:sz w:val="20"/>
              </w:rPr>
              <w:t>15 01 10*</w:t>
            </w:r>
          </w:p>
        </w:tc>
        <w:tc>
          <w:tcPr>
            <w:tcW w:type="dxa" w:w="7938"/>
            <w:shd w:fill="FFFFFF" w:val="clear"/>
            <w:tcBorders>
              <w:top w:val="single" w:sz="6" w:space="0" w:color="CBD5E1"/>
              <w:left w:val="single" w:sz="6" w:space="0" w:color="CBD5E1"/>
              <w:bottom w:val="single" w:sz="6" w:space="0" w:color="CBD5E1"/>
              <w:right w:val="single" w:sz="6" w:space="0" w:color="CBD5E1"/>
            </w:tcBorders>
            <w:vAlign w:val="center"/>
            <w:tcMar>
              <w:top w:w="60" w:type="dxa"/>
              <w:left w:w="100" w:type="dxa"/>
              <w:bottom w:w="60" w:type="dxa"/>
              <w:right w:w="100" w:type="dxa"/>
            </w:tcMar>
          </w:tcPr>
          <w:p>
            <w:pPr>
              <w:spacing w:before="0" w:after="0"/>
              <w:jc w:val="left"/>
            </w:pPr>
            <w:r>
              <w:rPr>
                <w:rFonts w:ascii="Calibri" w:hAnsi="Calibri" w:cs="Calibri" w:eastAsia="Calibri"/>
                <w:b w:val="0"/>
                <w:i w:val="0"/>
                <w:color w:val="1E293B"/>
                <w:sz w:val="20"/>
              </w:rPr>
              <w:t>Tehlikeli maddelerin kalıntılarını içeren ya da tehlikeli maddelerle kontamine olmuş ambalajlar</w:t>
            </w:r>
          </w:p>
        </w:tc>
      </w:tr>
      <w:tr>
        <w:trPr>
          <w:trHeight w:val="240" w:hRule="atLeast"/>
          <w:cantSplit/>
        </w:trPr>
        <w:tc>
          <w:tcPr>
            <w:tcW w:type="dxa" w:w="2041"/>
            <w:shd w:fill="FFFFFF" w:val="clear"/>
            <w:tcBorders>
              <w:top w:val="single" w:sz="6" w:space="0" w:color="CBD5E1"/>
              <w:left w:val="single" w:sz="6" w:space="0" w:color="CBD5E1"/>
              <w:bottom w:val="single" w:sz="6" w:space="0" w:color="CBD5E1"/>
              <w:right w:val="single" w:sz="6" w:space="0" w:color="CBD5E1"/>
            </w:tcBorders>
            <w:vAlign w:val="center"/>
            <w:tcMar>
              <w:top w:w="60" w:type="dxa"/>
              <w:left w:w="100" w:type="dxa"/>
              <w:bottom w:w="60" w:type="dxa"/>
              <w:right w:w="100" w:type="dxa"/>
            </w:tcMar>
          </w:tcPr>
          <w:p>
            <w:pPr>
              <w:spacing w:before="0" w:after="0"/>
              <w:jc w:val="left"/>
            </w:pPr>
            <w:r>
              <w:rPr>
                <w:rFonts w:ascii="Calibri" w:hAnsi="Calibri" w:cs="Calibri" w:eastAsia="Calibri"/>
                <w:b/>
                <w:i w:val="0"/>
                <w:color w:val="1E293B"/>
                <w:sz w:val="20"/>
              </w:rPr>
              <w:t>15 02 02*</w:t>
            </w:r>
          </w:p>
        </w:tc>
        <w:tc>
          <w:tcPr>
            <w:tcW w:type="dxa" w:w="7938"/>
            <w:shd w:fill="FFFFFF" w:val="clear"/>
            <w:tcBorders>
              <w:top w:val="single" w:sz="6" w:space="0" w:color="CBD5E1"/>
              <w:left w:val="single" w:sz="6" w:space="0" w:color="CBD5E1"/>
              <w:bottom w:val="single" w:sz="6" w:space="0" w:color="CBD5E1"/>
              <w:right w:val="single" w:sz="6" w:space="0" w:color="CBD5E1"/>
            </w:tcBorders>
            <w:vAlign w:val="center"/>
            <w:tcMar>
              <w:top w:w="60" w:type="dxa"/>
              <w:left w:w="100" w:type="dxa"/>
              <w:bottom w:w="60" w:type="dxa"/>
              <w:right w:w="100" w:type="dxa"/>
            </w:tcMar>
          </w:tcPr>
          <w:p>
            <w:pPr>
              <w:spacing w:before="0" w:after="0"/>
              <w:jc w:val="left"/>
            </w:pPr>
            <w:r>
              <w:rPr>
                <w:rFonts w:ascii="Calibri" w:hAnsi="Calibri" w:cs="Calibri" w:eastAsia="Calibri"/>
                <w:b w:val="0"/>
                <w:i w:val="0"/>
                <w:color w:val="1E293B"/>
                <w:sz w:val="20"/>
              </w:rPr>
              <w:t>Tehlikeli maddelerle kirlenmiş emiciler, filtre malzemeleri (başka şekilde tanımlanmamış ise yağ filtreleri), temizleme bezleri, koruyucu giysiler</w:t>
            </w:r>
          </w:p>
        </w:tc>
      </w:tr>
      <w:tr>
        <w:trPr>
          <w:trHeight w:val="240" w:hRule="atLeast"/>
          <w:cantSplit/>
        </w:trPr>
        <w:tc>
          <w:tcPr>
            <w:tcW w:type="dxa" w:w="2041"/>
            <w:shd w:fill="FFFFFF" w:val="clear"/>
            <w:tcBorders>
              <w:top w:val="single" w:sz="6" w:space="0" w:color="CBD5E1"/>
              <w:left w:val="single" w:sz="6" w:space="0" w:color="CBD5E1"/>
              <w:bottom w:val="single" w:sz="6" w:space="0" w:color="CBD5E1"/>
              <w:right w:val="single" w:sz="6" w:space="0" w:color="CBD5E1"/>
            </w:tcBorders>
            <w:vAlign w:val="center"/>
            <w:tcMar>
              <w:top w:w="60" w:type="dxa"/>
              <w:left w:w="100" w:type="dxa"/>
              <w:bottom w:w="60" w:type="dxa"/>
              <w:right w:w="100" w:type="dxa"/>
            </w:tcMar>
          </w:tcPr>
          <w:p>
            <w:pPr>
              <w:spacing w:before="0" w:after="0"/>
              <w:jc w:val="left"/>
            </w:pPr>
            <w:r>
              <w:rPr>
                <w:rFonts w:ascii="Calibri" w:hAnsi="Calibri" w:cs="Calibri" w:eastAsia="Calibri"/>
                <w:b/>
                <w:i w:val="0"/>
                <w:color w:val="1E293B"/>
                <w:sz w:val="20"/>
              </w:rPr>
              <w:t>20 01 08</w:t>
            </w:r>
          </w:p>
        </w:tc>
        <w:tc>
          <w:tcPr>
            <w:tcW w:type="dxa" w:w="7938"/>
            <w:shd w:fill="FFFFFF" w:val="clear"/>
            <w:tcBorders>
              <w:top w:val="single" w:sz="6" w:space="0" w:color="CBD5E1"/>
              <w:left w:val="single" w:sz="6" w:space="0" w:color="CBD5E1"/>
              <w:bottom w:val="single" w:sz="6" w:space="0" w:color="CBD5E1"/>
              <w:right w:val="single" w:sz="6" w:space="0" w:color="CBD5E1"/>
            </w:tcBorders>
            <w:vAlign w:val="center"/>
            <w:tcMar>
              <w:top w:w="60" w:type="dxa"/>
              <w:left w:w="100" w:type="dxa"/>
              <w:bottom w:w="60" w:type="dxa"/>
              <w:right w:w="100" w:type="dxa"/>
            </w:tcMar>
          </w:tcPr>
          <w:p>
            <w:pPr>
              <w:spacing w:before="0" w:after="0"/>
              <w:jc w:val="left"/>
            </w:pPr>
            <w:r>
              <w:rPr>
                <w:rFonts w:ascii="Calibri" w:hAnsi="Calibri" w:cs="Calibri" w:eastAsia="Calibri"/>
                <w:b w:val="0"/>
                <w:i w:val="0"/>
                <w:color w:val="1E293B"/>
                <w:sz w:val="20"/>
              </w:rPr>
              <w:t>Biyolojik olarak bozunabilir mutfak ve kantin atıkları</w:t>
            </w:r>
          </w:p>
        </w:tc>
      </w:tr>
      <w:tr>
        <w:trPr>
          <w:trHeight w:val="240" w:hRule="atLeast"/>
          <w:cantSplit/>
        </w:trPr>
        <w:tc>
          <w:tcPr>
            <w:tcW w:type="dxa" w:w="2041"/>
            <w:shd w:fill="FFFFFF" w:val="clear"/>
            <w:tcBorders>
              <w:top w:val="single" w:sz="6" w:space="0" w:color="CBD5E1"/>
              <w:left w:val="single" w:sz="6" w:space="0" w:color="CBD5E1"/>
              <w:bottom w:val="single" w:sz="6" w:space="0" w:color="CBD5E1"/>
              <w:right w:val="single" w:sz="6" w:space="0" w:color="CBD5E1"/>
            </w:tcBorders>
            <w:vAlign w:val="center"/>
            <w:tcMar>
              <w:top w:w="60" w:type="dxa"/>
              <w:left w:w="100" w:type="dxa"/>
              <w:bottom w:w="60" w:type="dxa"/>
              <w:right w:w="100" w:type="dxa"/>
            </w:tcMar>
          </w:tcPr>
          <w:p>
            <w:pPr>
              <w:spacing w:before="0" w:after="0"/>
              <w:jc w:val="left"/>
            </w:pPr>
            <w:r>
              <w:rPr>
                <w:rFonts w:ascii="Calibri" w:hAnsi="Calibri" w:cs="Calibri" w:eastAsia="Calibri"/>
                <w:b/>
                <w:i w:val="0"/>
                <w:color w:val="1E293B"/>
                <w:sz w:val="20"/>
              </w:rPr>
              <w:t>20 01 26*</w:t>
            </w:r>
          </w:p>
        </w:tc>
        <w:tc>
          <w:tcPr>
            <w:tcW w:type="dxa" w:w="7938"/>
            <w:shd w:fill="FFFFFF" w:val="clear"/>
            <w:tcBorders>
              <w:top w:val="single" w:sz="6" w:space="0" w:color="CBD5E1"/>
              <w:left w:val="single" w:sz="6" w:space="0" w:color="CBD5E1"/>
              <w:bottom w:val="single" w:sz="6" w:space="0" w:color="CBD5E1"/>
              <w:right w:val="single" w:sz="6" w:space="0" w:color="CBD5E1"/>
            </w:tcBorders>
            <w:vAlign w:val="center"/>
            <w:tcMar>
              <w:top w:w="60" w:type="dxa"/>
              <w:left w:w="100" w:type="dxa"/>
              <w:bottom w:w="60" w:type="dxa"/>
              <w:right w:w="100" w:type="dxa"/>
            </w:tcMar>
          </w:tcPr>
          <w:p>
            <w:pPr>
              <w:spacing w:before="0" w:after="0"/>
              <w:jc w:val="left"/>
            </w:pPr>
            <w:r>
              <w:rPr>
                <w:rFonts w:ascii="Calibri" w:hAnsi="Calibri" w:cs="Calibri" w:eastAsia="Calibri"/>
                <w:b w:val="0"/>
                <w:i w:val="0"/>
                <w:color w:val="1E293B"/>
                <w:sz w:val="20"/>
              </w:rPr>
              <w:t>20 01 25 dışındaki sıvı ve katı yağlar</w:t>
            </w:r>
          </w:p>
        </w:tc>
      </w:tr>
    </w:tbl>
    <w:p>
      <w:pPr>
        <w:spacing w:before="120" w:after="80" w:line="240" w:lineRule="auto"/>
        <w:jc w:val="both"/>
      </w:pPr>
      <w:r>
        <w:rPr>
          <w:rFonts w:ascii="Calibri" w:hAnsi="Calibri" w:cs="Calibri" w:eastAsia="Calibri"/>
          <w:b w:val="0"/>
          <w:i w:val="0"/>
          <w:color w:val="1E293B"/>
          <w:sz w:val="22"/>
        </w:rPr>
        <w:t>Tehlikesiz atıklar, Çevre ve Şehircilik Bakanlığı’ndan yetki almış geri dönüşüm firmalarına verilecektir. Tehlikeli atıklar, Bakanlıktan yetki almış bertaraf/geri kazanım tesislerine gönderilecektir. Evsel atıkların bertarafı Akdeniz Belediyesi tarafından sağlanacaktır.</w:t>
      </w:r>
    </w:p>
    <w:p>
      <w:pPr>
        <w:spacing w:before="120" w:after="40" w:line="240" w:lineRule="auto"/>
        <w:jc w:val="left"/>
        <w:pBdr>
          <w:bottom w:val="single" w:sz="8" w:space="1" w:color="0F2A44"/>
        </w:pBdr>
      </w:pPr>
      <w:r>
        <w:rPr>
          <w:rFonts w:ascii="Calibri" w:hAnsi="Calibri" w:cs="Calibri" w:eastAsia="Calibri"/>
          <w:b/>
          <w:i w:val="0"/>
          <w:color w:val="0F2A44"/>
          <w:sz w:val="25"/>
        </w:rPr>
        <w:t>6. Tesiste Kaynaklanacak Gürültü</w:t>
      </w:r>
    </w:p>
    <w:p>
      <w:pPr>
        <w:spacing w:before="0" w:after="40" w:line="240" w:lineRule="auto"/>
        <w:jc w:val="both"/>
      </w:pPr>
      <w:r>
        <w:rPr>
          <w:rFonts w:ascii="Calibri" w:hAnsi="Calibri" w:cs="Calibri" w:eastAsia="Calibri"/>
          <w:b w:val="0"/>
          <w:i w:val="0"/>
          <w:color w:val="1E293B"/>
          <w:sz w:val="22"/>
        </w:rPr>
        <w:t>İç tetkik raporunda gürültü kaynağına ilişkin ayrı bir tespit yer almamaktadır.</w:t>
      </w:r>
    </w:p>
    <w:p>
      <w:pPr>
        <w:pageBreakBefore/>
        <w:spacing w:after="0"/>
        <w:jc w:val="center"/>
      </w:pPr>
      <w:r>
        <w:rPr>
          <w:rFonts w:ascii="Calibri" w:hAnsi="Calibri" w:cs="Calibri" w:eastAsia="Calibri"/>
          <w:b/>
          <w:i w:val="0"/>
          <w:color w:val="0F2A44"/>
          <w:sz w:val="24"/>
        </w:rPr>
        <w:t>MERLAS Oto Lastik Endüstri Sanayi ve Ticaret Limited Şirketi</w:t>
      </w:r>
    </w:p>
    <w:p>
      <w:pPr>
        <w:spacing w:before="0" w:after="40" w:line="240" w:lineRule="auto"/>
        <w:jc w:val="center"/>
      </w:pPr>
      <w:r>
        <w:rPr>
          <w:rFonts w:ascii="Calibri" w:hAnsi="Calibri" w:cs="Calibri" w:eastAsia="Calibri"/>
          <w:b w:val="0"/>
          <w:i w:val="0"/>
          <w:color w:val="475569"/>
          <w:sz w:val="22"/>
        </w:rPr>
        <w:t>Lastik ve Jant Toptan Ticareti</w:t>
      </w:r>
    </w:p>
    <w:p>
      <w:pPr>
        <w:spacing w:before="0" w:after="160" w:line="240" w:lineRule="auto"/>
        <w:jc w:val="center"/>
      </w:pPr>
      <w:r>
        <w:rPr>
          <w:rFonts w:ascii="Calibri" w:hAnsi="Calibri" w:cs="Calibri" w:eastAsia="Calibri"/>
          <w:b/>
          <w:i w:val="0"/>
          <w:color w:val="0F2A44"/>
          <w:sz w:val="32"/>
        </w:rPr>
        <w:t>İş Akım Şeması</w:t>
      </w:r>
    </w:p>
    <w:tbl>
      <w:tblPr>
        <w:tblW w:type="dxa" w:w="8051"/>
        <w:jc w:val="center"/>
        <w:tblLook w:firstColumn="1" w:firstRow="1" w:lastColumn="0" w:lastRow="0" w:noHBand="0" w:noVBand="1" w:val="04A0"/>
        <w:tblInd w:w="0" w:type="dxa"/>
      </w:tblPr>
      <w:tblGrid>
        <w:gridCol w:w="8051"/>
      </w:tblGrid>
      <w:tr>
        <w:trPr>
          <w:trHeight w:val="420" w:hRule="atLeast"/>
          <w:cantSplit/>
        </w:trPr>
        <w:tc>
          <w:tcPr>
            <w:tcW w:type="dxa" w:w="8051"/>
            <w:shd w:fill="E8F1FA" w:val="clear"/>
            <w:tcBorders>
              <w:top w:val="single" w:sz="12" w:space="0" w:color="1F4E79"/>
              <w:left w:val="single" w:sz="12" w:space="0" w:color="1F4E79"/>
              <w:bottom w:val="single" w:sz="12" w:space="0" w:color="1F4E79"/>
              <w:right w:val="single" w:sz="12" w:space="0" w:color="1F4E79"/>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0F2A44"/>
                <w:sz w:val="24"/>
              </w:rPr>
              <w:t>Tedarikçilerden Ürün Temini</w:t>
            </w:r>
          </w:p>
        </w:tc>
      </w:tr>
      <w:tr>
        <w:trPr>
          <w:trHeight w:val="220" w:hRule="atLeast"/>
          <w:cantSplit/>
        </w:trPr>
        <w:tc>
          <w:tcPr>
            <w:tcW w:type="dxa" w:w="8051"/>
            <w:shd w:fill="FFFFFF" w:val="clear"/>
            <w:tcBorders>
              <w:top w:val="single" w:sz="2" w:space="0" w:color="FFFFFF"/>
              <w:left w:val="single" w:sz="2" w:space="0" w:color="FFFFFF"/>
              <w:bottom w:val="single" w:sz="2" w:space="0" w:color="FFFFFF"/>
              <w:right w:val="single" w:sz="2" w:space="0" w:color="FFFFFF"/>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334155"/>
                <w:sz w:val="28"/>
              </w:rPr>
              <w:t>↓</w:t>
            </w:r>
          </w:p>
        </w:tc>
      </w:tr>
      <w:tr>
        <w:trPr>
          <w:trHeight w:val="420" w:hRule="atLeast"/>
          <w:cantSplit/>
        </w:trPr>
        <w:tc>
          <w:tcPr>
            <w:tcW w:type="dxa" w:w="8051"/>
            <w:shd w:fill="E8F1FA" w:val="clear"/>
            <w:tcBorders>
              <w:top w:val="single" w:sz="12" w:space="0" w:color="1F4E79"/>
              <w:left w:val="single" w:sz="12" w:space="0" w:color="1F4E79"/>
              <w:bottom w:val="single" w:sz="12" w:space="0" w:color="1F4E79"/>
              <w:right w:val="single" w:sz="12" w:space="0" w:color="1F4E79"/>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0F2A44"/>
                <w:sz w:val="24"/>
              </w:rPr>
              <w:t>Mal Kabul ve Kalite Kontrol</w:t>
            </w:r>
          </w:p>
        </w:tc>
      </w:tr>
      <w:tr>
        <w:trPr>
          <w:trHeight w:val="220" w:hRule="atLeast"/>
          <w:cantSplit/>
        </w:trPr>
        <w:tc>
          <w:tcPr>
            <w:tcW w:type="dxa" w:w="8051"/>
            <w:shd w:fill="FFFFFF" w:val="clear"/>
            <w:tcBorders>
              <w:top w:val="single" w:sz="2" w:space="0" w:color="FFFFFF"/>
              <w:left w:val="single" w:sz="2" w:space="0" w:color="FFFFFF"/>
              <w:bottom w:val="single" w:sz="2" w:space="0" w:color="FFFFFF"/>
              <w:right w:val="single" w:sz="2" w:space="0" w:color="FFFFFF"/>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334155"/>
                <w:sz w:val="28"/>
              </w:rPr>
              <w:t>↓</w:t>
            </w:r>
          </w:p>
        </w:tc>
      </w:tr>
      <w:tr>
        <w:trPr>
          <w:trHeight w:val="420" w:hRule="atLeast"/>
          <w:cantSplit/>
        </w:trPr>
        <w:tc>
          <w:tcPr>
            <w:tcW w:type="dxa" w:w="8051"/>
            <w:shd w:fill="E8F1FA" w:val="clear"/>
            <w:tcBorders>
              <w:top w:val="single" w:sz="12" w:space="0" w:color="1F4E79"/>
              <w:left w:val="single" w:sz="12" w:space="0" w:color="1F4E79"/>
              <w:bottom w:val="single" w:sz="12" w:space="0" w:color="1F4E79"/>
              <w:right w:val="single" w:sz="12" w:space="0" w:color="1F4E79"/>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0F2A44"/>
                <w:sz w:val="24"/>
              </w:rPr>
              <w:t>Depolama ve Stok Takibi</w:t>
            </w:r>
          </w:p>
        </w:tc>
      </w:tr>
      <w:tr>
        <w:trPr>
          <w:trHeight w:val="220" w:hRule="atLeast"/>
          <w:cantSplit/>
        </w:trPr>
        <w:tc>
          <w:tcPr>
            <w:tcW w:type="dxa" w:w="8051"/>
            <w:shd w:fill="FFFFFF" w:val="clear"/>
            <w:tcBorders>
              <w:top w:val="single" w:sz="2" w:space="0" w:color="FFFFFF"/>
              <w:left w:val="single" w:sz="2" w:space="0" w:color="FFFFFF"/>
              <w:bottom w:val="single" w:sz="2" w:space="0" w:color="FFFFFF"/>
              <w:right w:val="single" w:sz="2" w:space="0" w:color="FFFFFF"/>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334155"/>
                <w:sz w:val="28"/>
              </w:rPr>
              <w:t>↓</w:t>
            </w:r>
          </w:p>
        </w:tc>
      </w:tr>
      <w:tr>
        <w:trPr>
          <w:trHeight w:val="420" w:hRule="atLeast"/>
          <w:cantSplit/>
        </w:trPr>
        <w:tc>
          <w:tcPr>
            <w:tcW w:type="dxa" w:w="8051"/>
            <w:shd w:fill="E8F1FA" w:val="clear"/>
            <w:tcBorders>
              <w:top w:val="single" w:sz="12" w:space="0" w:color="1F4E79"/>
              <w:left w:val="single" w:sz="12" w:space="0" w:color="1F4E79"/>
              <w:bottom w:val="single" w:sz="12" w:space="0" w:color="1F4E79"/>
              <w:right w:val="single" w:sz="12" w:space="0" w:color="1F4E79"/>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0F2A44"/>
                <w:sz w:val="24"/>
              </w:rPr>
              <w:t>Sipariş Alınması</w:t>
            </w:r>
          </w:p>
        </w:tc>
      </w:tr>
      <w:tr>
        <w:trPr>
          <w:trHeight w:val="220" w:hRule="atLeast"/>
          <w:cantSplit/>
        </w:trPr>
        <w:tc>
          <w:tcPr>
            <w:tcW w:type="dxa" w:w="8051"/>
            <w:shd w:fill="FFFFFF" w:val="clear"/>
            <w:tcBorders>
              <w:top w:val="single" w:sz="2" w:space="0" w:color="FFFFFF"/>
              <w:left w:val="single" w:sz="2" w:space="0" w:color="FFFFFF"/>
              <w:bottom w:val="single" w:sz="2" w:space="0" w:color="FFFFFF"/>
              <w:right w:val="single" w:sz="2" w:space="0" w:color="FFFFFF"/>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334155"/>
                <w:sz w:val="28"/>
              </w:rPr>
              <w:t>↓</w:t>
            </w:r>
          </w:p>
        </w:tc>
      </w:tr>
      <w:tr>
        <w:trPr>
          <w:trHeight w:val="420" w:hRule="atLeast"/>
          <w:cantSplit/>
        </w:trPr>
        <w:tc>
          <w:tcPr>
            <w:tcW w:type="dxa" w:w="8051"/>
            <w:shd w:fill="E8F1FA" w:val="clear"/>
            <w:tcBorders>
              <w:top w:val="single" w:sz="12" w:space="0" w:color="1F4E79"/>
              <w:left w:val="single" w:sz="12" w:space="0" w:color="1F4E79"/>
              <w:bottom w:val="single" w:sz="12" w:space="0" w:color="1F4E79"/>
              <w:right w:val="single" w:sz="12" w:space="0" w:color="1F4E79"/>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0F2A44"/>
                <w:sz w:val="24"/>
              </w:rPr>
              <w:t>Sipariş Hazırlama</w:t>
            </w:r>
          </w:p>
        </w:tc>
      </w:tr>
      <w:tr>
        <w:trPr>
          <w:trHeight w:val="220" w:hRule="atLeast"/>
          <w:cantSplit/>
        </w:trPr>
        <w:tc>
          <w:tcPr>
            <w:tcW w:type="dxa" w:w="8051"/>
            <w:shd w:fill="FFFFFF" w:val="clear"/>
            <w:tcBorders>
              <w:top w:val="single" w:sz="2" w:space="0" w:color="FFFFFF"/>
              <w:left w:val="single" w:sz="2" w:space="0" w:color="FFFFFF"/>
              <w:bottom w:val="single" w:sz="2" w:space="0" w:color="FFFFFF"/>
              <w:right w:val="single" w:sz="2" w:space="0" w:color="FFFFFF"/>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334155"/>
                <w:sz w:val="28"/>
              </w:rPr>
              <w:t>↓</w:t>
            </w:r>
          </w:p>
        </w:tc>
      </w:tr>
      <w:tr>
        <w:trPr>
          <w:trHeight w:val="420" w:hRule="atLeast"/>
          <w:cantSplit/>
        </w:trPr>
        <w:tc>
          <w:tcPr>
            <w:tcW w:type="dxa" w:w="8051"/>
            <w:shd w:fill="E8F1FA" w:val="clear"/>
            <w:tcBorders>
              <w:top w:val="single" w:sz="12" w:space="0" w:color="1F4E79"/>
              <w:left w:val="single" w:sz="12" w:space="0" w:color="1F4E79"/>
              <w:bottom w:val="single" w:sz="12" w:space="0" w:color="1F4E79"/>
              <w:right w:val="single" w:sz="12" w:space="0" w:color="1F4E79"/>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0F2A44"/>
                <w:sz w:val="24"/>
              </w:rPr>
              <w:t>Sevkiyat ve Dağıtım</w:t>
            </w:r>
          </w:p>
        </w:tc>
      </w:tr>
      <w:tr>
        <w:trPr>
          <w:trHeight w:val="220" w:hRule="atLeast"/>
          <w:cantSplit/>
        </w:trPr>
        <w:tc>
          <w:tcPr>
            <w:tcW w:type="dxa" w:w="8051"/>
            <w:shd w:fill="FFFFFF" w:val="clear"/>
            <w:tcBorders>
              <w:top w:val="single" w:sz="2" w:space="0" w:color="FFFFFF"/>
              <w:left w:val="single" w:sz="2" w:space="0" w:color="FFFFFF"/>
              <w:bottom w:val="single" w:sz="2" w:space="0" w:color="FFFFFF"/>
              <w:right w:val="single" w:sz="2" w:space="0" w:color="FFFFFF"/>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334155"/>
                <w:sz w:val="28"/>
              </w:rPr>
              <w:t>↓</w:t>
            </w:r>
          </w:p>
        </w:tc>
      </w:tr>
      <w:tr>
        <w:trPr>
          <w:trHeight w:val="420" w:hRule="atLeast"/>
          <w:cantSplit/>
        </w:trPr>
        <w:tc>
          <w:tcPr>
            <w:tcW w:type="dxa" w:w="8051"/>
            <w:shd w:fill="E8F1FA" w:val="clear"/>
            <w:tcBorders>
              <w:top w:val="single" w:sz="12" w:space="0" w:color="1F4E79"/>
              <w:left w:val="single" w:sz="12" w:space="0" w:color="1F4E79"/>
              <w:bottom w:val="single" w:sz="12" w:space="0" w:color="1F4E79"/>
              <w:right w:val="single" w:sz="12" w:space="0" w:color="1F4E79"/>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0F2A44"/>
                <w:sz w:val="24"/>
              </w:rPr>
              <w:t>Müşteriye Teslimat</w:t>
            </w:r>
          </w:p>
        </w:tc>
      </w:tr>
      <w:tr>
        <w:trPr>
          <w:trHeight w:val="220" w:hRule="atLeast"/>
          <w:cantSplit/>
        </w:trPr>
        <w:tc>
          <w:tcPr>
            <w:tcW w:type="dxa" w:w="8051"/>
            <w:shd w:fill="FFFFFF" w:val="clear"/>
            <w:tcBorders>
              <w:top w:val="single" w:sz="2" w:space="0" w:color="FFFFFF"/>
              <w:left w:val="single" w:sz="2" w:space="0" w:color="FFFFFF"/>
              <w:bottom w:val="single" w:sz="2" w:space="0" w:color="FFFFFF"/>
              <w:right w:val="single" w:sz="2" w:space="0" w:color="FFFFFF"/>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334155"/>
                <w:sz w:val="28"/>
              </w:rPr>
              <w:t>↓</w:t>
            </w:r>
          </w:p>
        </w:tc>
      </w:tr>
      <w:tr>
        <w:trPr>
          <w:trHeight w:val="420" w:hRule="atLeast"/>
          <w:cantSplit/>
        </w:trPr>
        <w:tc>
          <w:tcPr>
            <w:tcW w:type="dxa" w:w="8051"/>
            <w:shd w:fill="E8F1FA" w:val="clear"/>
            <w:tcBorders>
              <w:top w:val="single" w:sz="12" w:space="0" w:color="1F4E79"/>
              <w:left w:val="single" w:sz="12" w:space="0" w:color="1F4E79"/>
              <w:bottom w:val="single" w:sz="12" w:space="0" w:color="1F4E79"/>
              <w:right w:val="single" w:sz="12" w:space="0" w:color="1F4E79"/>
            </w:tcBorders>
            <w:vAlign w:val="center"/>
            <w:tcMar>
              <w:top w:w="60" w:type="dxa"/>
              <w:left w:w="100" w:type="dxa"/>
              <w:bottom w:w="60" w:type="dxa"/>
              <w:right w:w="100" w:type="dxa"/>
            </w:tcMar>
          </w:tcPr>
          <w:p>
            <w:pPr>
              <w:spacing w:before="0" w:after="0"/>
              <w:jc w:val="center"/>
            </w:pPr>
            <w:r>
              <w:rPr>
                <w:rFonts w:ascii="Calibri" w:hAnsi="Calibri" w:cs="Calibri" w:eastAsia="Calibri"/>
                <w:b/>
                <w:i w:val="0"/>
                <w:color w:val="0F2A44"/>
                <w:sz w:val="24"/>
              </w:rPr>
              <w:t>Satış Sonrası Destek ve İade İşlemleri</w:t>
            </w:r>
          </w:p>
        </w:tc>
      </w:tr>
    </w:tbl>
    <w:p>
      <w:pPr>
        <w:spacing w:before="200" w:after="0" w:line="240" w:lineRule="auto"/>
        <w:jc w:val="center"/>
      </w:pPr>
      <w:r>
        <w:rPr>
          <w:rFonts w:ascii="Calibri" w:hAnsi="Calibri" w:cs="Calibri" w:eastAsia="Calibri"/>
          <w:b w:val="0"/>
          <w:i/>
          <w:color w:val="475569"/>
          <w:sz w:val="20"/>
        </w:rPr>
        <w:t>Faaliyette üretim yoktur. Akış; tedarik, mal kabul, depolama, sipariş, sevkiyat ve satış sonrası işlemlerden oluşur.</w:t>
      </w:r>
    </w:p>
    <w:sectPr w:rsidR="00FC693F" w:rsidRPr="0006063C" w:rsidSect="00034616">
      <w:headerReference w:type="default" r:id="rId9"/>
      <w:footerReference w:type="default" r:id="rId10"/>
      <w:pgSz w:w="11906" w:h="16838"/>
      <w:pgMar w:top="709" w:right="964" w:bottom="709" w:left="964"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eastAsia="Calibri"/>
        <w:b w:val="0"/>
        <w:i w:val="0"/>
        <w:color w:val="64748B"/>
        <w:sz w:val="16"/>
      </w:rPr>
      <w:t xml:space="preserve">İş Akım Şeması ve Proses Özeti  ·  Kaynak: İç tetkik raporu (02.01.2026)          </w:t>
    </w:r>
    <w:r>
      <w:rPr>
        <w:rFonts w:ascii="Calibri" w:hAnsi="Calibri" w:cs="Calibri" w:eastAsia="Calibri"/>
        <w:b w:val="0"/>
        <w:i w:val="0"/>
        <w:color w:val="64748B"/>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eastAsia="Calibri"/>
        <w:b/>
        <w:i w:val="0"/>
        <w:color w:val="0F2A44"/>
        <w:sz w:val="18"/>
      </w:rPr>
      <w:t>MERLAS OTO LASTİK ENDÜSTRİ SANAYİ VE TİCARET LİMİTED ŞİRKETİ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MERLAS – İş Akım Şeması ve Proses Özeti</dc:title>
  <dc:subject>Lastik ve jant toptan ticareti iş akım şeması ve proses özeti</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İş akım şeması</cp:category>
</cp:coreProperties>
</file>