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20" w:lineRule="exact"/>
        <w:ind w:firstLine="0"/>
        <w:jc w:val="center"/>
      </w:pPr>
      <w:r>
        <w:rPr>
          <w:rFonts w:ascii="Times New Roman" w:hAnsi="Times New Roman" w:eastAsia="Times New Roman"/>
          <w:b/>
          <w:sz w:val="28"/>
        </w:rPr>
        <w:t>PROJE ÖZETİ</w:t>
      </w:r>
    </w:p>
    <w:p>
      <w:pPr>
        <w:spacing w:before="200" w:after="80" w:line="320" w:lineRule="exact"/>
        <w:ind w:firstLine="0"/>
        <w:jc w:val="left"/>
      </w:pPr>
      <w:r>
        <w:rPr>
          <w:rFonts w:ascii="Times New Roman" w:hAnsi="Times New Roman" w:eastAsia="Times New Roman"/>
          <w:b/>
          <w:sz w:val="24"/>
        </w:rPr>
        <w:t>1. TESİSİN YERİ</w:t>
      </w:r>
    </w:p>
    <w:p>
      <w:pPr>
        <w:spacing w:before="0" w:after="120" w:line="320" w:lineRule="exact"/>
        <w:ind w:firstLine="283"/>
        <w:jc w:val="both"/>
      </w:pPr>
      <w:r>
        <w:rPr>
          <w:rFonts w:ascii="Times New Roman" w:hAnsi="Times New Roman" w:eastAsia="Times New Roman"/>
          <w:b/>
          <w:color w:val="C00000"/>
          <w:sz w:val="22"/>
          <w:highlight w:val="yellow"/>
        </w:rPr>
        <w:t>TESİS ADRESİNİ YAZINIZ</w:t>
      </w:r>
      <w:r>
        <w:rPr>
          <w:rFonts w:ascii="Times New Roman" w:hAnsi="Times New Roman" w:eastAsia="Times New Roman"/>
          <w:b w:val="0"/>
          <w:sz w:val="22"/>
        </w:rPr>
        <w:t xml:space="preserve"> adresinde, “Polietilen Poşet, Rafya İplik, Dokuma, Laminasyon (Kömür Torbası) ve Gübre Torbası Üretimi” faaliyetleri yapılması planlanmaktadır.</w:t>
      </w:r>
    </w:p>
    <w:p>
      <w:pPr>
        <w:spacing w:before="200" w:after="80" w:line="320" w:lineRule="exact"/>
        <w:ind w:firstLine="0"/>
        <w:jc w:val="left"/>
      </w:pPr>
      <w:r>
        <w:rPr>
          <w:rFonts w:ascii="Times New Roman" w:hAnsi="Times New Roman" w:eastAsia="Times New Roman"/>
          <w:b/>
          <w:sz w:val="24"/>
        </w:rPr>
        <w:t>2. PROJENİN TÜRÜ</w:t>
      </w:r>
    </w:p>
    <w:p>
      <w:pPr>
        <w:spacing w:before="0" w:after="120" w:line="320" w:lineRule="exact"/>
        <w:ind w:firstLine="283"/>
        <w:jc w:val="both"/>
      </w:pPr>
      <w:r>
        <w:rPr>
          <w:rFonts w:ascii="Times New Roman" w:hAnsi="Times New Roman" w:eastAsia="Times New Roman"/>
          <w:b w:val="0"/>
          <w:sz w:val="22"/>
        </w:rPr>
        <w:t>Polietilen poşet, rafya iplik, dokuma, laminasyon (kömür torbaları) ve gübre torbası üretim faaliyetleri yapılması planlanmaktadır. Aşağıda proses özeti belirtilmiştir.</w:t>
      </w:r>
    </w:p>
    <w:p>
      <w:pPr>
        <w:spacing w:before="120" w:after="40" w:line="320" w:lineRule="exact"/>
        <w:ind w:firstLine="0"/>
        <w:jc w:val="left"/>
      </w:pPr>
      <w:r>
        <w:rPr>
          <w:rFonts w:ascii="Times New Roman" w:hAnsi="Times New Roman" w:eastAsia="Times New Roman"/>
          <w:b/>
          <w:sz w:val="22"/>
        </w:rPr>
        <w:t>Polietilen Poşet, Rafya İplik, Dokuma ve Torba Üretimi;</w:t>
      </w:r>
    </w:p>
    <w:p>
      <w:pPr>
        <w:spacing w:before="0" w:after="120" w:line="320" w:lineRule="exact"/>
        <w:ind w:firstLine="283"/>
        <w:jc w:val="both"/>
      </w:pPr>
      <w:r>
        <w:rPr>
          <w:rFonts w:ascii="Times New Roman" w:hAnsi="Times New Roman" w:eastAsia="Times New Roman"/>
          <w:b w:val="0"/>
          <w:sz w:val="22"/>
        </w:rPr>
        <w:t>Firmanın işyerinde polietilen poşet, rafya iplik, dokuma kumaş, kömür torbası ve gübre torbası üretimi yapılmaktadır. Tesise gelen hammaddeler ilk olarak kantardan geçmekte olup tartım işlemi yapılmaktadır. Tartım işleminden sonra hammaddeler extruder hattında rafya iplik üretimine alınmaktadır. Üretilen iplikler dokuma ünitesinde kumaş haline getirilmektedir.</w:t>
      </w:r>
    </w:p>
    <w:p>
      <w:pPr>
        <w:spacing w:before="0" w:after="120" w:line="320" w:lineRule="exact"/>
        <w:ind w:firstLine="283"/>
        <w:jc w:val="both"/>
      </w:pPr>
      <w:r>
        <w:rPr>
          <w:rFonts w:ascii="Times New Roman" w:hAnsi="Times New Roman" w:eastAsia="Times New Roman"/>
          <w:b w:val="0"/>
          <w:sz w:val="22"/>
        </w:rPr>
        <w:t>Dokuma sonrası ürünler polietilen poşet üretimi, laminasyon (kömür torbaları) ve baskısız kumaş olarak konfeksiyon hatlarına yönlendirilmektedir. Laminasyon sonrası ürünler baskılı veya baskısız olarak konfeksiyon işlemine alınmaktadır. Konfeksiyon sonrası paketleme / ambalaj işlemi yapılmakta; gübre torbası için iç geçirme işlemi uygulanan ürünler ile birlikte sevkiyat gerçekleştirilmektedir.</w:t>
      </w:r>
    </w:p>
    <w:p>
      <w:pPr>
        <w:spacing w:before="200" w:after="80" w:line="320" w:lineRule="exact"/>
        <w:ind w:firstLine="0"/>
        <w:jc w:val="left"/>
      </w:pPr>
      <w:r>
        <w:rPr>
          <w:rFonts w:ascii="Times New Roman" w:hAnsi="Times New Roman" w:eastAsia="Times New Roman"/>
          <w:b/>
          <w:sz w:val="24"/>
        </w:rPr>
        <w:t>3. TESİSTE KAYNAKLANACAK SIVI ATIKLAR</w:t>
      </w:r>
    </w:p>
    <w:p>
      <w:pPr>
        <w:spacing w:before="0" w:after="120" w:line="320" w:lineRule="exact"/>
        <w:ind w:firstLine="283"/>
        <w:jc w:val="both"/>
      </w:pPr>
      <w:r>
        <w:rPr>
          <w:rFonts w:ascii="Times New Roman" w:hAnsi="Times New Roman" w:eastAsia="Times New Roman"/>
          <w:b w:val="0"/>
          <w:sz w:val="22"/>
        </w:rPr>
        <w:t>Tesiste çalışan personelden dolayı oluşacak atıksular, Belediyeye ait kanalizasyon sistemine verilmektedir. Tesiste endüstriyel nitelikli herhangi bir atıksu oluşmayacaktır.</w:t>
      </w:r>
    </w:p>
    <w:p>
      <w:pPr>
        <w:spacing w:before="200" w:after="80" w:line="320" w:lineRule="exact"/>
        <w:ind w:firstLine="0"/>
        <w:jc w:val="left"/>
      </w:pPr>
      <w:r>
        <w:rPr>
          <w:rFonts w:ascii="Times New Roman" w:hAnsi="Times New Roman" w:eastAsia="Times New Roman"/>
          <w:b/>
          <w:sz w:val="24"/>
        </w:rPr>
        <w:t>4. TESİSTE KAYNAKLANACAK EMİSYONLAR</w:t>
      </w:r>
    </w:p>
    <w:p>
      <w:pPr>
        <w:spacing w:before="0" w:after="120" w:line="320" w:lineRule="exact"/>
        <w:ind w:firstLine="283"/>
        <w:jc w:val="both"/>
      </w:pPr>
      <w:r>
        <w:rPr>
          <w:rFonts w:ascii="Times New Roman" w:hAnsi="Times New Roman" w:eastAsia="Times New Roman"/>
          <w:b w:val="0"/>
          <w:sz w:val="22"/>
        </w:rPr>
        <w:t>Tesiste ısınma ve sanayi amaçlı olarak elektrik enerjisi kullanılacaktır. Tesiste herhangi bir emisyon kaynağı olduğu taktirde SKHKKY hükümleri çerçevesinde gerekli ölçümler yaptırılıp söz konusu yönetmelikte belirtilen sınır değerleri sağlanacak, Çevre ve Şehircilik İl Müdürlüğü’ne bilgi verilecektir.</w:t>
      </w:r>
    </w:p>
    <w:p>
      <w:pPr>
        <w:spacing w:before="200" w:after="80" w:line="320" w:lineRule="exact"/>
        <w:ind w:firstLine="0"/>
        <w:jc w:val="left"/>
      </w:pPr>
      <w:r>
        <w:rPr>
          <w:rFonts w:ascii="Times New Roman" w:hAnsi="Times New Roman" w:eastAsia="Times New Roman"/>
          <w:b/>
          <w:sz w:val="24"/>
        </w:rPr>
        <w:t>5. TESİSTE KAYNAKLANACAK ATIKLAR</w:t>
      </w:r>
    </w:p>
    <w:p>
      <w:pPr>
        <w:spacing w:before="0" w:after="80" w:line="320" w:lineRule="exact"/>
        <w:ind w:firstLine="0"/>
        <w:jc w:val="both"/>
      </w:pPr>
      <w:r>
        <w:rPr>
          <w:rFonts w:ascii="Times New Roman" w:hAnsi="Times New Roman" w:eastAsia="Times New Roman"/>
          <w:b w:val="0"/>
          <w:sz w:val="22"/>
        </w:rPr>
        <w:t>Tesiste oluşabilecek atık kodları</w:t>
      </w:r>
    </w:p>
    <w:tbl>
      <w:tblPr>
        <w:tblW w:type="auto" w:w="0"/>
        <w:jc w:val="center"/>
        <w:tblLayout w:type="fixed"/>
        <w:tblLook w:firstColumn="1" w:firstRow="1" w:lastColumn="0" w:lastRow="0" w:noHBand="0" w:noVBand="1" w:val="04A0"/>
      </w:tblPr>
      <w:tblGrid>
        <w:gridCol w:w="4819"/>
        <w:gridCol w:w="4819"/>
      </w:tblGrid>
      <w:tr>
        <w:tc>
          <w:tcPr>
            <w:tcW w:type="dxa" w:w="1814"/>
            <w:shd w:fill="D9E2F3" w:val="clear"/>
            <w:tcBorders>
              <w:top w:val="single" w:sz="4" w:space="0" w:color="7F7F7F"/>
              <w:left w:val="single" w:sz="4" w:space="0" w:color="7F7F7F"/>
              <w:bottom w:val="single" w:sz="4" w:space="0" w:color="7F7F7F"/>
              <w:right w:val="single" w:sz="4" w:space="0" w:color="7F7F7F"/>
            </w:tcBorders>
          </w:tcPr>
          <w:p>
            <w:pPr>
              <w:spacing w:before="40" w:after="40" w:line="240" w:lineRule="exact"/>
              <w:jc w:val="center"/>
            </w:pPr>
            <w:r/>
            <w:r>
              <w:rPr>
                <w:rFonts w:ascii="Times New Roman" w:hAnsi="Times New Roman" w:eastAsia="Times New Roman"/>
                <w:b/>
                <w:sz w:val="18"/>
              </w:rPr>
              <w:t>ATIK KODU</w:t>
            </w:r>
          </w:p>
        </w:tc>
        <w:tc>
          <w:tcPr>
            <w:tcW w:type="dxa" w:w="7824"/>
            <w:shd w:fill="D9E2F3" w:val="clear"/>
            <w:tcBorders>
              <w:top w:val="single" w:sz="4" w:space="0" w:color="7F7F7F"/>
              <w:left w:val="single" w:sz="4" w:space="0" w:color="7F7F7F"/>
              <w:bottom w:val="single" w:sz="4" w:space="0" w:color="7F7F7F"/>
              <w:right w:val="single" w:sz="4" w:space="0" w:color="7F7F7F"/>
            </w:tcBorders>
          </w:tcPr>
          <w:p>
            <w:pPr>
              <w:spacing w:before="40" w:after="40" w:line="240" w:lineRule="exact"/>
              <w:jc w:val="center"/>
            </w:pPr>
            <w:r/>
            <w:r>
              <w:rPr>
                <w:rFonts w:ascii="Times New Roman" w:hAnsi="Times New Roman" w:eastAsia="Times New Roman"/>
                <w:b/>
                <w:sz w:val="18"/>
              </w:rPr>
              <w:t>ATIK KODU TANIMI</w:t>
            </w:r>
          </w:p>
        </w:tc>
      </w:tr>
      <w:tr>
        <w:tc>
          <w:tcPr>
            <w:tcW w:type="dxa" w:w="1814"/>
            <w:tcBorders>
              <w:top w:val="single" w:sz="4" w:space="0" w:color="7F7F7F"/>
              <w:left w:val="single" w:sz="4" w:space="0" w:color="7F7F7F"/>
              <w:bottom w:val="single" w:sz="4" w:space="0" w:color="7F7F7F"/>
              <w:right w:val="single" w:sz="4" w:space="0" w:color="7F7F7F"/>
            </w:tcBorders>
          </w:tcPr>
          <w:p>
            <w:pPr>
              <w:spacing w:before="40" w:after="40" w:line="240" w:lineRule="exact"/>
              <w:jc w:val="center"/>
            </w:pPr>
            <w:r/>
            <w:r>
              <w:rPr>
                <w:rFonts w:ascii="Times New Roman" w:hAnsi="Times New Roman" w:eastAsia="Times New Roman"/>
                <w:b/>
                <w:sz w:val="18"/>
              </w:rPr>
              <w:t>15 01 10*</w:t>
            </w:r>
          </w:p>
        </w:tc>
        <w:tc>
          <w:tcPr>
            <w:tcW w:type="dxa" w:w="7824"/>
            <w:tcBorders>
              <w:top w:val="single" w:sz="4" w:space="0" w:color="7F7F7F"/>
              <w:left w:val="single" w:sz="4" w:space="0" w:color="7F7F7F"/>
              <w:bottom w:val="single" w:sz="4" w:space="0" w:color="7F7F7F"/>
              <w:right w:val="single" w:sz="4" w:space="0" w:color="7F7F7F"/>
            </w:tcBorders>
          </w:tcPr>
          <w:p>
            <w:pPr>
              <w:spacing w:before="40" w:after="40" w:line="240" w:lineRule="exact"/>
              <w:jc w:val="left"/>
            </w:pPr>
            <w:r/>
            <w:r>
              <w:rPr>
                <w:rFonts w:ascii="Times New Roman" w:hAnsi="Times New Roman" w:eastAsia="Times New Roman"/>
                <w:b w:val="0"/>
                <w:sz w:val="18"/>
              </w:rPr>
              <w:t>Tehlikeli maddelerin kalıntılarını içeren ya da tehlikeli maddelerle kontamine olmuş ambalajlar</w:t>
            </w:r>
          </w:p>
        </w:tc>
      </w:tr>
      <w:tr>
        <w:tc>
          <w:tcPr>
            <w:tcW w:type="dxa" w:w="1814"/>
            <w:shd w:fill="F2F2F2" w:val="clear"/>
            <w:tcBorders>
              <w:top w:val="single" w:sz="4" w:space="0" w:color="7F7F7F"/>
              <w:left w:val="single" w:sz="4" w:space="0" w:color="7F7F7F"/>
              <w:bottom w:val="single" w:sz="4" w:space="0" w:color="7F7F7F"/>
              <w:right w:val="single" w:sz="4" w:space="0" w:color="7F7F7F"/>
            </w:tcBorders>
          </w:tcPr>
          <w:p>
            <w:pPr>
              <w:spacing w:before="40" w:after="40" w:line="240" w:lineRule="exact"/>
              <w:jc w:val="center"/>
            </w:pPr>
            <w:r/>
            <w:r>
              <w:rPr>
                <w:rFonts w:ascii="Times New Roman" w:hAnsi="Times New Roman" w:eastAsia="Times New Roman"/>
                <w:b/>
                <w:sz w:val="18"/>
              </w:rPr>
              <w:t>15 02 02*</w:t>
            </w:r>
          </w:p>
        </w:tc>
        <w:tc>
          <w:tcPr>
            <w:tcW w:type="dxa" w:w="7824"/>
            <w:shd w:fill="F2F2F2" w:val="clear"/>
            <w:tcBorders>
              <w:top w:val="single" w:sz="4" w:space="0" w:color="7F7F7F"/>
              <w:left w:val="single" w:sz="4" w:space="0" w:color="7F7F7F"/>
              <w:bottom w:val="single" w:sz="4" w:space="0" w:color="7F7F7F"/>
              <w:right w:val="single" w:sz="4" w:space="0" w:color="7F7F7F"/>
            </w:tcBorders>
          </w:tcPr>
          <w:p>
            <w:pPr>
              <w:spacing w:before="40" w:after="40" w:line="240" w:lineRule="exact"/>
              <w:jc w:val="left"/>
            </w:pPr>
            <w:r/>
            <w:r>
              <w:rPr>
                <w:rFonts w:ascii="Times New Roman" w:hAnsi="Times New Roman" w:eastAsia="Times New Roman"/>
                <w:b w:val="0"/>
                <w:sz w:val="18"/>
              </w:rPr>
              <w:t>Tehlikeli maddelerle kirlenmiş emiciler, filtre malzemeleri (başka şekilde tanımlanmamış ise yağ filtreleri), temizleme bezleri, koruyucu giysiler</w:t>
            </w:r>
          </w:p>
        </w:tc>
      </w:tr>
      <w:tr>
        <w:tc>
          <w:tcPr>
            <w:tcW w:type="dxa" w:w="1814"/>
            <w:tcBorders>
              <w:top w:val="single" w:sz="4" w:space="0" w:color="7F7F7F"/>
              <w:left w:val="single" w:sz="4" w:space="0" w:color="7F7F7F"/>
              <w:bottom w:val="single" w:sz="4" w:space="0" w:color="7F7F7F"/>
              <w:right w:val="single" w:sz="4" w:space="0" w:color="7F7F7F"/>
            </w:tcBorders>
          </w:tcPr>
          <w:p>
            <w:pPr>
              <w:spacing w:before="40" w:after="40" w:line="240" w:lineRule="exact"/>
              <w:jc w:val="center"/>
            </w:pPr>
            <w:r/>
            <w:r>
              <w:rPr>
                <w:rFonts w:ascii="Times New Roman" w:hAnsi="Times New Roman" w:eastAsia="Times New Roman"/>
                <w:b/>
                <w:sz w:val="18"/>
              </w:rPr>
              <w:t>20 01 21*</w:t>
            </w:r>
          </w:p>
        </w:tc>
        <w:tc>
          <w:tcPr>
            <w:tcW w:type="dxa" w:w="7824"/>
            <w:tcBorders>
              <w:top w:val="single" w:sz="4" w:space="0" w:color="7F7F7F"/>
              <w:left w:val="single" w:sz="4" w:space="0" w:color="7F7F7F"/>
              <w:bottom w:val="single" w:sz="4" w:space="0" w:color="7F7F7F"/>
              <w:right w:val="single" w:sz="4" w:space="0" w:color="7F7F7F"/>
            </w:tcBorders>
          </w:tcPr>
          <w:p>
            <w:pPr>
              <w:spacing w:before="40" w:after="40" w:line="240" w:lineRule="exact"/>
              <w:jc w:val="left"/>
            </w:pPr>
            <w:r/>
            <w:r>
              <w:rPr>
                <w:rFonts w:ascii="Times New Roman" w:hAnsi="Times New Roman" w:eastAsia="Times New Roman"/>
                <w:b w:val="0"/>
                <w:sz w:val="18"/>
              </w:rPr>
              <w:t>Fluoresan lambalar ve diğer cıva içeren atıklar</w:t>
            </w:r>
          </w:p>
        </w:tc>
      </w:tr>
      <w:tr>
        <w:tc>
          <w:tcPr>
            <w:tcW w:type="dxa" w:w="1814"/>
            <w:shd w:fill="F2F2F2" w:val="clear"/>
            <w:tcBorders>
              <w:top w:val="single" w:sz="4" w:space="0" w:color="7F7F7F"/>
              <w:left w:val="single" w:sz="4" w:space="0" w:color="7F7F7F"/>
              <w:bottom w:val="single" w:sz="4" w:space="0" w:color="7F7F7F"/>
              <w:right w:val="single" w:sz="4" w:space="0" w:color="7F7F7F"/>
            </w:tcBorders>
          </w:tcPr>
          <w:p>
            <w:pPr>
              <w:spacing w:before="40" w:after="40" w:line="240" w:lineRule="exact"/>
              <w:jc w:val="center"/>
            </w:pPr>
            <w:r/>
            <w:r>
              <w:rPr>
                <w:rFonts w:ascii="Times New Roman" w:hAnsi="Times New Roman" w:eastAsia="Times New Roman"/>
                <w:b/>
                <w:sz w:val="18"/>
              </w:rPr>
              <w:t>20 01 08</w:t>
            </w:r>
          </w:p>
        </w:tc>
        <w:tc>
          <w:tcPr>
            <w:tcW w:type="dxa" w:w="7824"/>
            <w:shd w:fill="F2F2F2" w:val="clear"/>
            <w:tcBorders>
              <w:top w:val="single" w:sz="4" w:space="0" w:color="7F7F7F"/>
              <w:left w:val="single" w:sz="4" w:space="0" w:color="7F7F7F"/>
              <w:bottom w:val="single" w:sz="4" w:space="0" w:color="7F7F7F"/>
              <w:right w:val="single" w:sz="4" w:space="0" w:color="7F7F7F"/>
            </w:tcBorders>
          </w:tcPr>
          <w:p>
            <w:pPr>
              <w:spacing w:before="40" w:after="40" w:line="240" w:lineRule="exact"/>
              <w:jc w:val="left"/>
            </w:pPr>
            <w:r/>
            <w:r>
              <w:rPr>
                <w:rFonts w:ascii="Times New Roman" w:hAnsi="Times New Roman" w:eastAsia="Times New Roman"/>
                <w:b w:val="0"/>
                <w:sz w:val="18"/>
              </w:rPr>
              <w:t>Biyolojik olarak bozunabilir mutfak ve kantin atıkları</w:t>
            </w:r>
          </w:p>
        </w:tc>
      </w:tr>
    </w:tbl>
    <w:p>
      <w:pPr>
        <w:spacing w:before="160" w:after="120" w:line="320" w:lineRule="exact"/>
        <w:ind w:firstLine="283"/>
        <w:jc w:val="both"/>
      </w:pPr>
      <w:r>
        <w:rPr>
          <w:rFonts w:ascii="Times New Roman" w:hAnsi="Times New Roman" w:eastAsia="Times New Roman"/>
          <w:b w:val="0"/>
          <w:sz w:val="22"/>
        </w:rPr>
        <w:t>Tehlikeli olmayan atıklar, Çevre, Şehircilik ve İklim Değişikliği Bakanlığı’ndan yetki almış geri dönüşüm/kazanım firmalarına verilecektir. Oluşabilecek tehlikeli atıklar ise, Çevre, Şehircilik ve İklim Değişikliği Bakanlığı’ndan yetki almış bertaraf/geri kazanım tesislerine gönderilecek ve bertarafı sağlanacaktır.</w:t>
      </w:r>
    </w:p>
    <w:p>
      <w:pPr>
        <w:spacing w:before="0" w:after="120" w:line="320" w:lineRule="exact"/>
        <w:ind w:firstLine="283"/>
        <w:jc w:val="both"/>
      </w:pPr>
      <w:r>
        <w:rPr>
          <w:rFonts w:ascii="Times New Roman" w:hAnsi="Times New Roman" w:eastAsia="Times New Roman"/>
          <w:b w:val="0"/>
          <w:sz w:val="22"/>
        </w:rPr>
        <w:t>Tesiste oluşacak evsel atıkların bertarafı, Belediye tarafından sağlanacaktır.</w:t>
      </w:r>
    </w:p>
    <w:p>
      <w:pPr>
        <w:spacing w:before="200" w:after="80" w:line="320" w:lineRule="exact"/>
        <w:ind w:firstLine="0"/>
        <w:jc w:val="left"/>
      </w:pPr>
      <w:r>
        <w:rPr>
          <w:rFonts w:ascii="Times New Roman" w:hAnsi="Times New Roman" w:eastAsia="Times New Roman"/>
          <w:b/>
          <w:sz w:val="24"/>
        </w:rPr>
        <w:t>6. TESİSTE KAYNAKLANACAK GÜRÜLTÜ</w:t>
      </w:r>
    </w:p>
    <w:p>
      <w:pPr>
        <w:spacing w:before="0" w:after="120" w:line="320" w:lineRule="exact"/>
        <w:ind w:firstLine="283"/>
        <w:jc w:val="both"/>
      </w:pPr>
      <w:r>
        <w:rPr>
          <w:rFonts w:ascii="Times New Roman" w:hAnsi="Times New Roman" w:eastAsia="Times New Roman"/>
          <w:b w:val="0"/>
          <w:sz w:val="22"/>
        </w:rPr>
        <w:t>Tesiste herhangi bir gürültü kaynağı mevcut değildir.</w:t>
      </w:r>
    </w:p>
    <w:p>
      <w:r>
        <w:br w:type="page"/>
      </w:r>
    </w:p>
    <w:p>
      <w:pPr>
        <w:spacing w:before="0" w:after="40" w:line="320" w:lineRule="exact"/>
        <w:ind w:firstLine="0"/>
        <w:jc w:val="center"/>
      </w:pPr>
      <w:r>
        <w:rPr>
          <w:rFonts w:ascii="Times New Roman" w:hAnsi="Times New Roman" w:eastAsia="Times New Roman"/>
          <w:b/>
          <w:sz w:val="24"/>
        </w:rPr>
        <w:t>YILPACK</w:t>
      </w:r>
    </w:p>
    <w:p>
      <w:pPr>
        <w:spacing w:before="0" w:after="40" w:line="320" w:lineRule="exact"/>
        <w:ind w:firstLine="0"/>
        <w:jc w:val="center"/>
      </w:pPr>
      <w:r>
        <w:rPr>
          <w:rFonts w:ascii="Times New Roman" w:hAnsi="Times New Roman" w:eastAsia="Times New Roman"/>
          <w:b/>
          <w:sz w:val="24"/>
        </w:rPr>
        <w:t>POLİETİLEN POŞET, RAFYA İPLİK, DOKUMA VE TORBA ÜRETİM TESİSİ</w:t>
      </w:r>
    </w:p>
    <w:p>
      <w:pPr>
        <w:spacing w:before="0" w:after="40" w:line="320" w:lineRule="exact"/>
        <w:ind w:firstLine="0"/>
        <w:jc w:val="center"/>
      </w:pPr>
      <w:r>
        <w:rPr>
          <w:rFonts w:ascii="Times New Roman" w:hAnsi="Times New Roman" w:eastAsia="Times New Roman"/>
          <w:b/>
          <w:sz w:val="24"/>
        </w:rPr>
        <w:t>İŞ AKIM ŞEMASI</w:t>
      </w:r>
    </w:p>
    <w:p>
      <w:pPr>
        <w:spacing w:before="120" w:after="0" w:line="240" w:lineRule="exact"/>
        <w:ind w:firstLine="0"/>
        <w:jc w:val="center"/>
      </w:pPr>
      <w:r>
        <w:drawing>
          <wp:inline xmlns:a="http://schemas.openxmlformats.org/drawingml/2006/main" xmlns:pic="http://schemas.openxmlformats.org/drawingml/2006/picture">
            <wp:extent cx="6048000" cy="6315774"/>
            <wp:docPr id="1" name="Picture 1"/>
            <wp:cNvGraphicFramePr>
              <a:graphicFrameLocks noChangeAspect="1"/>
            </wp:cNvGraphicFramePr>
            <a:graphic>
              <a:graphicData uri="http://schemas.openxmlformats.org/drawingml/2006/picture">
                <pic:pic>
                  <pic:nvPicPr>
                    <pic:cNvPr id="0" name="yilpack-is-akim-semasi.png"/>
                    <pic:cNvPicPr/>
                  </pic:nvPicPr>
                  <pic:blipFill>
                    <a:blip r:embed="rId9"/>
                    <a:stretch>
                      <a:fillRect/>
                    </a:stretch>
                  </pic:blipFill>
                  <pic:spPr>
                    <a:xfrm>
                      <a:off x="0" y="0"/>
                      <a:ext cx="6048000" cy="6315774"/>
                    </a:xfrm>
                    <a:prstGeom prst="rect"/>
                  </pic:spPr>
                </pic:pic>
              </a:graphicData>
            </a:graphic>
          </wp:inline>
        </w:drawing>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