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28"/>
        </w:rPr>
        <w:t>Boru Üretim Tesisi — Proses İş Akım Şeması</w:t>
      </w:r>
    </w:p>
    <w:p>
      <w:pPr>
        <w:spacing w:after="120"/>
        <w:jc w:val="center"/>
      </w:pPr>
      <w:r>
        <w:rPr>
          <w:rFonts w:ascii="Calibri" w:hAnsi="Calibri"/>
          <w:sz w:val="18"/>
        </w:rPr>
        <w:t>Winder, ODD tamir, kalibrasyon ve kaplin kanal açma adımlarına emisyon bacaları ok ile işlenmiştir.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75" cy="9036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u-uretim-is-akim-sem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75" cy="903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6"/>
        </w:rPr>
        <w:t>Bacalar: Stiren Emiş Bacası 1 (Winder) · ODD Tamir Proses Bacası · Kalibrasyon Proses Bacası · Kaplin Kanal Açma Proses Bacası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