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20" w:lineRule="exact"/>
        <w:ind w:firstLine="0"/>
        <w:jc w:val="center"/>
      </w:pPr>
      <w:r>
        <w:rPr>
          <w:rFonts w:ascii="Times New Roman" w:hAnsi="Times New Roman" w:eastAsia="Times New Roman"/>
          <w:b/>
          <w:sz w:val="28"/>
        </w:rPr>
        <w:t>PROJE ÖZETİ</w:t>
      </w:r>
    </w:p>
    <w:p>
      <w:pPr>
        <w:spacing w:before="200" w:after="80" w:line="320" w:lineRule="exact"/>
        <w:ind w:firstLine="0"/>
        <w:jc w:val="left"/>
      </w:pPr>
      <w:r>
        <w:rPr>
          <w:rFonts w:ascii="Times New Roman" w:hAnsi="Times New Roman" w:eastAsia="Times New Roman"/>
          <w:b/>
          <w:sz w:val="24"/>
        </w:rPr>
        <w:t>1. TESİSİN YERİ</w:t>
      </w:r>
    </w:p>
    <w:p>
      <w:pPr>
        <w:spacing w:before="0" w:after="120" w:line="320" w:lineRule="exact"/>
        <w:ind w:firstLine="283"/>
        <w:jc w:val="both"/>
      </w:pPr>
      <w:r>
        <w:rPr>
          <w:rFonts w:ascii="Times New Roman" w:hAnsi="Times New Roman" w:eastAsia="Times New Roman"/>
          <w:b w:val="0"/>
          <w:sz w:val="22"/>
        </w:rPr>
        <w:t>Adana İli, Sarıçam İlçesi, Acıdere OSB Mh. İnönü Blv. No:15 adresinde, “Tekstilden Çuval, P.P. den Mamül Çuval, Lamineli Çuval, PE Poşet Üretimi” faaliyetleri yapılması planlanmaktadır.</w:t>
      </w:r>
    </w:p>
    <w:p>
      <w:pPr>
        <w:spacing w:before="200" w:after="80" w:line="320" w:lineRule="exact"/>
        <w:ind w:firstLine="0"/>
        <w:jc w:val="left"/>
      </w:pPr>
      <w:r>
        <w:rPr>
          <w:rFonts w:ascii="Times New Roman" w:hAnsi="Times New Roman" w:eastAsia="Times New Roman"/>
          <w:b/>
          <w:sz w:val="24"/>
        </w:rPr>
        <w:t>2. PROJENİN TÜRÜ</w:t>
      </w:r>
    </w:p>
    <w:p>
      <w:pPr>
        <w:spacing w:before="0" w:after="120" w:line="320" w:lineRule="exact"/>
        <w:ind w:firstLine="283"/>
        <w:jc w:val="both"/>
      </w:pPr>
      <w:r>
        <w:rPr>
          <w:rFonts w:ascii="Times New Roman" w:hAnsi="Times New Roman" w:eastAsia="Times New Roman"/>
          <w:b w:val="0"/>
          <w:sz w:val="22"/>
        </w:rPr>
        <w:t>Tekstilden Çuval, P.P. den Mamül Çuval, Lamineli Çuval, PE Poşet Üretimi faaliyetleri yapılması planlanmaktadır. Aşağıda proses özeti belirtilmiştir.</w:t>
      </w:r>
    </w:p>
    <w:p>
      <w:pPr>
        <w:spacing w:before="120" w:after="40" w:line="320" w:lineRule="exact"/>
        <w:ind w:firstLine="0"/>
        <w:jc w:val="left"/>
      </w:pPr>
      <w:r>
        <w:rPr>
          <w:rFonts w:ascii="Times New Roman" w:hAnsi="Times New Roman" w:eastAsia="Times New Roman"/>
          <w:b/>
          <w:sz w:val="22"/>
        </w:rPr>
        <w:t>Tekstilden Çuval, P.P. den Mamül Çuval, Lamineli Çuval, PE Poşet Üretimi;</w:t>
      </w:r>
    </w:p>
    <w:p>
      <w:pPr>
        <w:spacing w:before="0" w:after="120" w:line="320" w:lineRule="exact"/>
        <w:ind w:firstLine="283"/>
        <w:jc w:val="both"/>
      </w:pPr>
      <w:r>
        <w:rPr>
          <w:rFonts w:ascii="Times New Roman" w:hAnsi="Times New Roman" w:eastAsia="Times New Roman"/>
          <w:b w:val="0"/>
          <w:sz w:val="22"/>
        </w:rPr>
        <w:t>Firmanın işyerinde tekstilden çuval, P.P. den mamül çuval, lamineli çuval ve PE poşet üretimi yapılmaktadır. Üretimde kullanılacak hammaddeler (PP, PE, Kalsit vb.) hammadde deposuna stoklanır. PP hammadde ve katkı maddeleri dozajlama ünitesinde karıştırılıp extruder makinesinde istenilen ebat ve kalınlıkta iplik haline getirilir. Üretilen PP ipler yuvarlak dokuma makinelerinde hortum kumaş olarak dokunur. Dokunan kumaşlar rulo halinde yarı mamül stok alanına alınır.</w:t>
      </w:r>
    </w:p>
    <w:p>
      <w:pPr>
        <w:spacing w:before="0" w:after="120" w:line="320" w:lineRule="exact"/>
        <w:ind w:firstLine="283"/>
        <w:jc w:val="both"/>
      </w:pPr>
      <w:r>
        <w:rPr>
          <w:rFonts w:ascii="Times New Roman" w:hAnsi="Times New Roman" w:eastAsia="Times New Roman"/>
          <w:b w:val="0"/>
          <w:sz w:val="22"/>
        </w:rPr>
        <w:t>Dokumadan çıkan kumaşlar müşteri talebine göre laminasyon ve baskı işlemine alınır. Baskı ve lamine işleminden geçen kumaşlar talep edilen boylarda kesilerek çuval haline getirilir. Çuvallar preslenerek balyalar halinde paketlenir, paletler üzerinde stoklanır ve sevkiyatı gerçekleştirilir.</w:t>
      </w:r>
    </w:p>
    <w:p>
      <w:pPr>
        <w:spacing w:before="200" w:after="80" w:line="320" w:lineRule="exact"/>
        <w:ind w:firstLine="0"/>
        <w:jc w:val="left"/>
      </w:pPr>
      <w:r>
        <w:rPr>
          <w:rFonts w:ascii="Times New Roman" w:hAnsi="Times New Roman" w:eastAsia="Times New Roman"/>
          <w:b/>
          <w:sz w:val="24"/>
        </w:rPr>
        <w:t>3. TESİSTE KAYNAKLANACAK SIVI ATIKLAR</w:t>
      </w:r>
    </w:p>
    <w:p>
      <w:pPr>
        <w:spacing w:before="0" w:after="120" w:line="320" w:lineRule="exact"/>
        <w:ind w:firstLine="283"/>
        <w:jc w:val="both"/>
      </w:pPr>
      <w:r>
        <w:rPr>
          <w:rFonts w:ascii="Times New Roman" w:hAnsi="Times New Roman" w:eastAsia="Times New Roman"/>
          <w:b w:val="0"/>
          <w:sz w:val="22"/>
        </w:rPr>
        <w:t>Tesiste personelden kaynaklı evsel nitelikli atıksu oluşmakta olup endüstriyel nitelikli atıksu oluşmamaktadır. Oluşan evsel nitelikli atıksular, OSB kanalizasyon sistemine verilmektedir.</w:t>
      </w:r>
    </w:p>
    <w:p>
      <w:pPr>
        <w:spacing w:before="200" w:after="80" w:line="320" w:lineRule="exact"/>
        <w:ind w:firstLine="0"/>
        <w:jc w:val="left"/>
      </w:pPr>
      <w:r>
        <w:rPr>
          <w:rFonts w:ascii="Times New Roman" w:hAnsi="Times New Roman" w:eastAsia="Times New Roman"/>
          <w:b/>
          <w:sz w:val="24"/>
        </w:rPr>
        <w:t>4. TESİSTE KAYNAKLANACAK EMİSYONLAR</w:t>
      </w:r>
    </w:p>
    <w:p>
      <w:pPr>
        <w:spacing w:before="0" w:after="120" w:line="320" w:lineRule="exact"/>
        <w:ind w:firstLine="283"/>
        <w:jc w:val="both"/>
      </w:pPr>
      <w:r>
        <w:rPr>
          <w:rFonts w:ascii="Times New Roman" w:hAnsi="Times New Roman" w:eastAsia="Times New Roman"/>
          <w:b w:val="0"/>
          <w:sz w:val="22"/>
        </w:rPr>
        <w:t>Tesiste baskı makinesinde boya kullanılmakta olup lamine çuvalların üstüne kaplama işlemi yapılmaktadır. Baskı ve lamina makinelerinden kaynaklı bacalar tesis içerisinde birleşerek bir adet emisyon çıkış bacası olarak dışarıya verilmektedir. Bahse konu makinelerde yakıt olarak elektrik enerjisi kullanılmaktadır. Tesiste herhangi bir emisyon kaynağı olduğu taktirde SKHKKY hükümleri çerçevesinde gerekli ölçümler yaptırılıp söz konusu yönetmelikte belirtilen sınır değerleri sağlanacak, Çevre ve Şehircilik İl Müdürlüğü’ne bilgi verilecektir.</w:t>
      </w:r>
    </w:p>
    <w:p>
      <w:pPr>
        <w:spacing w:before="200" w:after="80" w:line="320" w:lineRule="exact"/>
        <w:ind w:firstLine="0"/>
        <w:jc w:val="left"/>
      </w:pPr>
      <w:r>
        <w:rPr>
          <w:rFonts w:ascii="Times New Roman" w:hAnsi="Times New Roman" w:eastAsia="Times New Roman"/>
          <w:b/>
          <w:sz w:val="24"/>
        </w:rPr>
        <w:t>5. TESİSTE KAYNAKLANACAK ATIKLAR</w:t>
      </w:r>
    </w:p>
    <w:p>
      <w:pPr>
        <w:spacing w:before="0" w:after="80" w:line="320" w:lineRule="exact"/>
        <w:ind w:firstLine="0"/>
        <w:jc w:val="both"/>
      </w:pPr>
      <w:r>
        <w:rPr>
          <w:rFonts w:ascii="Times New Roman" w:hAnsi="Times New Roman" w:eastAsia="Times New Roman"/>
          <w:b w:val="0"/>
          <w:sz w:val="22"/>
        </w:rPr>
        <w:t>Tesiste oluşabilecek atık kodları</w:t>
      </w:r>
    </w:p>
    <w:tbl>
      <w:tblPr>
        <w:tblW w:type="auto" w:w="0"/>
        <w:jc w:val="center"/>
        <w:tblLayout w:type="fixed"/>
        <w:tblLook w:firstColumn="1" w:firstRow="1" w:lastColumn="0" w:lastRow="0" w:noHBand="0" w:noVBand="1" w:val="04A0"/>
      </w:tblPr>
      <w:tblGrid>
        <w:gridCol w:w="4819"/>
        <w:gridCol w:w="4819"/>
      </w:tblGrid>
      <w:tr>
        <w:tc>
          <w:tcPr>
            <w:tcW w:type="dxa" w:w="1814"/>
            <w:shd w:fill="D9E2F3"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ATIK KODU</w:t>
            </w:r>
          </w:p>
        </w:tc>
        <w:tc>
          <w:tcPr>
            <w:tcW w:type="dxa" w:w="7824"/>
            <w:shd w:fill="D9E2F3"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ATIK KODU TANIMI</w:t>
            </w:r>
          </w:p>
        </w:tc>
      </w:tr>
      <w:tr>
        <w:tc>
          <w:tcPr>
            <w:tcW w:type="dxa" w:w="1814"/>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15 02 02*</w:t>
            </w:r>
          </w:p>
        </w:tc>
        <w:tc>
          <w:tcPr>
            <w:tcW w:type="dxa" w:w="7824"/>
            <w:tcBorders>
              <w:top w:val="single" w:sz="4" w:space="0" w:color="7F7F7F"/>
              <w:left w:val="single" w:sz="4" w:space="0" w:color="7F7F7F"/>
              <w:bottom w:val="single" w:sz="4" w:space="0" w:color="7F7F7F"/>
              <w:right w:val="single" w:sz="4" w:space="0" w:color="7F7F7F"/>
            </w:tcBorders>
          </w:tcPr>
          <w:p>
            <w:pPr>
              <w:spacing w:before="40" w:after="40" w:line="240" w:lineRule="exact"/>
              <w:jc w:val="left"/>
            </w:pPr>
            <w:r/>
            <w:r>
              <w:rPr>
                <w:rFonts w:ascii="Times New Roman" w:hAnsi="Times New Roman" w:eastAsia="Times New Roman"/>
                <w:b w:val="0"/>
                <w:sz w:val="18"/>
              </w:rPr>
              <w:t>Tehlikeli maddelerle kirlenmiş emiciler, filtre malzemeleri (başka şekilde tanımlanmamış ise yağ filtreleri), temizleme bezleri, koruyucu giysiler</w:t>
            </w:r>
          </w:p>
        </w:tc>
      </w:tr>
      <w:tr>
        <w:tc>
          <w:tcPr>
            <w:tcW w:type="dxa" w:w="1814"/>
            <w:shd w:fill="F2F2F2"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15 01 10*</w:t>
            </w:r>
          </w:p>
        </w:tc>
        <w:tc>
          <w:tcPr>
            <w:tcW w:type="dxa" w:w="7824"/>
            <w:shd w:fill="F2F2F2"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left"/>
            </w:pPr>
            <w:r/>
            <w:r>
              <w:rPr>
                <w:rFonts w:ascii="Times New Roman" w:hAnsi="Times New Roman" w:eastAsia="Times New Roman"/>
                <w:b w:val="0"/>
                <w:sz w:val="18"/>
              </w:rPr>
              <w:t>Tehlikeli maddelerin kalıntılarını içeren ya da tehlikeli maddelerle kontamine olmuş ambalajlar</w:t>
            </w:r>
          </w:p>
        </w:tc>
      </w:tr>
      <w:tr>
        <w:tc>
          <w:tcPr>
            <w:tcW w:type="dxa" w:w="1814"/>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12 01 09*</w:t>
            </w:r>
          </w:p>
        </w:tc>
        <w:tc>
          <w:tcPr>
            <w:tcW w:type="dxa" w:w="7824"/>
            <w:tcBorders>
              <w:top w:val="single" w:sz="4" w:space="0" w:color="7F7F7F"/>
              <w:left w:val="single" w:sz="4" w:space="0" w:color="7F7F7F"/>
              <w:bottom w:val="single" w:sz="4" w:space="0" w:color="7F7F7F"/>
              <w:right w:val="single" w:sz="4" w:space="0" w:color="7F7F7F"/>
            </w:tcBorders>
          </w:tcPr>
          <w:p>
            <w:pPr>
              <w:spacing w:before="40" w:after="40" w:line="240" w:lineRule="exact"/>
              <w:jc w:val="left"/>
            </w:pPr>
            <w:r/>
            <w:r>
              <w:rPr>
                <w:rFonts w:ascii="Times New Roman" w:hAnsi="Times New Roman" w:eastAsia="Times New Roman"/>
                <w:b w:val="0"/>
                <w:sz w:val="18"/>
              </w:rPr>
              <w:t>Halojen içermeyen işleme emülsiyon ve solüsyonları</w:t>
            </w:r>
          </w:p>
        </w:tc>
      </w:tr>
      <w:tr>
        <w:tc>
          <w:tcPr>
            <w:tcW w:type="dxa" w:w="1814"/>
            <w:shd w:fill="F2F2F2"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15 01 01</w:t>
            </w:r>
          </w:p>
        </w:tc>
        <w:tc>
          <w:tcPr>
            <w:tcW w:type="dxa" w:w="7824"/>
            <w:shd w:fill="F2F2F2"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left"/>
            </w:pPr>
            <w:r/>
            <w:r>
              <w:rPr>
                <w:rFonts w:ascii="Times New Roman" w:hAnsi="Times New Roman" w:eastAsia="Times New Roman"/>
                <w:b w:val="0"/>
                <w:sz w:val="18"/>
              </w:rPr>
              <w:t>Kağıt ve karton ambalaj</w:t>
            </w:r>
          </w:p>
        </w:tc>
      </w:tr>
      <w:tr>
        <w:tc>
          <w:tcPr>
            <w:tcW w:type="dxa" w:w="1814"/>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20 01 33*</w:t>
            </w:r>
          </w:p>
        </w:tc>
        <w:tc>
          <w:tcPr>
            <w:tcW w:type="dxa" w:w="7824"/>
            <w:tcBorders>
              <w:top w:val="single" w:sz="4" w:space="0" w:color="7F7F7F"/>
              <w:left w:val="single" w:sz="4" w:space="0" w:color="7F7F7F"/>
              <w:bottom w:val="single" w:sz="4" w:space="0" w:color="7F7F7F"/>
              <w:right w:val="single" w:sz="4" w:space="0" w:color="7F7F7F"/>
            </w:tcBorders>
          </w:tcPr>
          <w:p>
            <w:pPr>
              <w:spacing w:before="40" w:after="40" w:line="240" w:lineRule="exact"/>
              <w:jc w:val="left"/>
            </w:pPr>
            <w:r/>
            <w:r>
              <w:rPr>
                <w:rFonts w:ascii="Times New Roman" w:hAnsi="Times New Roman" w:eastAsia="Times New Roman"/>
                <w:b w:val="0"/>
                <w:sz w:val="18"/>
              </w:rPr>
              <w:t>16 06 01, 16 06 02 veya 16 06 03’un altında geçen pil ve akümülatörler ve bu pilleri içeren sınıflandırılmamış karışık pil ve akümülatörler</w:t>
            </w:r>
          </w:p>
        </w:tc>
      </w:tr>
      <w:tr>
        <w:tc>
          <w:tcPr>
            <w:tcW w:type="dxa" w:w="1814"/>
            <w:shd w:fill="F2F2F2"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20 01 21*</w:t>
            </w:r>
          </w:p>
        </w:tc>
        <w:tc>
          <w:tcPr>
            <w:tcW w:type="dxa" w:w="7824"/>
            <w:shd w:fill="F2F2F2"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left"/>
            </w:pPr>
            <w:r/>
            <w:r>
              <w:rPr>
                <w:rFonts w:ascii="Times New Roman" w:hAnsi="Times New Roman" w:eastAsia="Times New Roman"/>
                <w:b w:val="0"/>
                <w:sz w:val="18"/>
              </w:rPr>
              <w:t>Flüoresan lambalar ve diğer cıva içeren atıklar</w:t>
            </w:r>
          </w:p>
        </w:tc>
      </w:tr>
      <w:tr>
        <w:tc>
          <w:tcPr>
            <w:tcW w:type="dxa" w:w="1814"/>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08 01 11*</w:t>
            </w:r>
          </w:p>
        </w:tc>
        <w:tc>
          <w:tcPr>
            <w:tcW w:type="dxa" w:w="7824"/>
            <w:tcBorders>
              <w:top w:val="single" w:sz="4" w:space="0" w:color="7F7F7F"/>
              <w:left w:val="single" w:sz="4" w:space="0" w:color="7F7F7F"/>
              <w:bottom w:val="single" w:sz="4" w:space="0" w:color="7F7F7F"/>
              <w:right w:val="single" w:sz="4" w:space="0" w:color="7F7F7F"/>
            </w:tcBorders>
          </w:tcPr>
          <w:p>
            <w:pPr>
              <w:spacing w:before="40" w:after="40" w:line="240" w:lineRule="exact"/>
              <w:jc w:val="left"/>
            </w:pPr>
            <w:r/>
            <w:r>
              <w:rPr>
                <w:rFonts w:ascii="Times New Roman" w:hAnsi="Times New Roman" w:eastAsia="Times New Roman"/>
                <w:b w:val="0"/>
                <w:sz w:val="18"/>
              </w:rPr>
              <w:t>Organik çözücüler ya da diğer tehlikeli maddeler içeren atık boya ve vernikler</w:t>
            </w:r>
          </w:p>
        </w:tc>
      </w:tr>
      <w:tr>
        <w:tc>
          <w:tcPr>
            <w:tcW w:type="dxa" w:w="1814"/>
            <w:shd w:fill="F2F2F2"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center"/>
            </w:pPr>
            <w:r/>
            <w:r>
              <w:rPr>
                <w:rFonts w:ascii="Times New Roman" w:hAnsi="Times New Roman" w:eastAsia="Times New Roman"/>
                <w:b/>
                <w:sz w:val="18"/>
              </w:rPr>
              <w:t>04 02 16*</w:t>
            </w:r>
          </w:p>
        </w:tc>
        <w:tc>
          <w:tcPr>
            <w:tcW w:type="dxa" w:w="7824"/>
            <w:shd w:fill="F2F2F2" w:val="clear"/>
            <w:tcBorders>
              <w:top w:val="single" w:sz="4" w:space="0" w:color="7F7F7F"/>
              <w:left w:val="single" w:sz="4" w:space="0" w:color="7F7F7F"/>
              <w:bottom w:val="single" w:sz="4" w:space="0" w:color="7F7F7F"/>
              <w:right w:val="single" w:sz="4" w:space="0" w:color="7F7F7F"/>
            </w:tcBorders>
          </w:tcPr>
          <w:p>
            <w:pPr>
              <w:spacing w:before="40" w:after="40" w:line="240" w:lineRule="exact"/>
              <w:jc w:val="left"/>
            </w:pPr>
            <w:r/>
            <w:r>
              <w:rPr>
                <w:rFonts w:ascii="Times New Roman" w:hAnsi="Times New Roman" w:eastAsia="Times New Roman"/>
                <w:b w:val="0"/>
                <w:sz w:val="18"/>
              </w:rPr>
              <w:t>Tehlikeli maddeler içeren boya maddeleri ve pigmentler</w:t>
            </w:r>
          </w:p>
        </w:tc>
      </w:tr>
    </w:tbl>
    <w:p>
      <w:pPr>
        <w:spacing w:before="160" w:after="120" w:line="320" w:lineRule="exact"/>
        <w:ind w:firstLine="283"/>
        <w:jc w:val="both"/>
      </w:pPr>
      <w:r>
        <w:rPr>
          <w:rFonts w:ascii="Times New Roman" w:hAnsi="Times New Roman" w:eastAsia="Times New Roman"/>
          <w:b w:val="0"/>
          <w:sz w:val="22"/>
        </w:rPr>
        <w:t>Tehlikeli olmayan atıklar, Çevre, Şehircilik ve İklim Değişikliği Bakanlığı’ndan yetki almış geri dönüşüm/kazanım firmalarına verilecektir. Oluşabilecek tehlikeli atıklar ise, Çevre, Şehircilik ve İklim Değişikliği Bakanlığı’ndan yetki almış bertaraf/geri kazanım tesislerine gönderilecek ve bertarafı sağlanacaktır.</w:t>
      </w:r>
    </w:p>
    <w:p>
      <w:pPr>
        <w:spacing w:before="200" w:after="80" w:line="320" w:lineRule="exact"/>
        <w:ind w:firstLine="0"/>
        <w:jc w:val="left"/>
      </w:pPr>
      <w:r>
        <w:rPr>
          <w:rFonts w:ascii="Times New Roman" w:hAnsi="Times New Roman" w:eastAsia="Times New Roman"/>
          <w:b/>
          <w:sz w:val="24"/>
        </w:rPr>
        <w:t>6. TESİSTE KAYNAKLANACAK GÜRÜLTÜ</w:t>
      </w:r>
    </w:p>
    <w:p>
      <w:pPr>
        <w:spacing w:before="0" w:after="120" w:line="320" w:lineRule="exact"/>
        <w:ind w:firstLine="283"/>
        <w:jc w:val="both"/>
      </w:pPr>
      <w:r>
        <w:rPr>
          <w:rFonts w:ascii="Times New Roman" w:hAnsi="Times New Roman" w:eastAsia="Times New Roman"/>
          <w:b w:val="0"/>
          <w:sz w:val="22"/>
        </w:rPr>
        <w:t>Tesiste herhangi bir gürültü kaynağı mevcut değildir.</w:t>
      </w:r>
    </w:p>
    <w:p>
      <w:r>
        <w:br w:type="page"/>
      </w:r>
    </w:p>
    <w:p>
      <w:pPr>
        <w:spacing w:before="0" w:after="40" w:line="320" w:lineRule="exact"/>
        <w:ind w:firstLine="0"/>
        <w:jc w:val="center"/>
      </w:pPr>
      <w:r>
        <w:rPr>
          <w:rFonts w:ascii="Times New Roman" w:hAnsi="Times New Roman" w:eastAsia="Times New Roman"/>
          <w:b/>
          <w:sz w:val="24"/>
        </w:rPr>
        <w:t>YILPACK AMBALAJ SAN. TİC. A.Ş. ADANA ŞB.</w:t>
      </w:r>
    </w:p>
    <w:p>
      <w:pPr>
        <w:spacing w:before="0" w:after="40" w:line="320" w:lineRule="exact"/>
        <w:ind w:firstLine="0"/>
        <w:jc w:val="center"/>
      </w:pPr>
      <w:r>
        <w:rPr>
          <w:rFonts w:ascii="Times New Roman" w:hAnsi="Times New Roman" w:eastAsia="Times New Roman"/>
          <w:b/>
          <w:sz w:val="22"/>
        </w:rPr>
        <w:t>TEKSTİLDEN ÇUVAL, P.P. DEN MAMÜL ÇUVAL, LAMİNELİ ÇUVAL, PE POŞET ÜRETİMİ</w:t>
      </w:r>
    </w:p>
    <w:p>
      <w:pPr>
        <w:spacing w:before="0" w:after="40" w:line="320" w:lineRule="exact"/>
        <w:ind w:firstLine="0"/>
        <w:jc w:val="center"/>
      </w:pPr>
      <w:r>
        <w:rPr>
          <w:rFonts w:ascii="Times New Roman" w:hAnsi="Times New Roman" w:eastAsia="Times New Roman"/>
          <w:b/>
          <w:sz w:val="24"/>
        </w:rPr>
        <w:t>İŞ AKIM ŞEMASI</w:t>
      </w:r>
    </w:p>
    <w:p>
      <w:pPr>
        <w:spacing w:before="120" w:after="0" w:line="240" w:lineRule="exact"/>
        <w:ind w:firstLine="0"/>
        <w:jc w:val="center"/>
      </w:pPr>
      <w:r>
        <w:drawing>
          <wp:inline xmlns:a="http://schemas.openxmlformats.org/drawingml/2006/main" xmlns:pic="http://schemas.openxmlformats.org/drawingml/2006/picture">
            <wp:extent cx="6048000" cy="6315774"/>
            <wp:docPr id="1" name="Picture 1"/>
            <wp:cNvGraphicFramePr>
              <a:graphicFrameLocks noChangeAspect="1"/>
            </wp:cNvGraphicFramePr>
            <a:graphic>
              <a:graphicData uri="http://schemas.openxmlformats.org/drawingml/2006/picture">
                <pic:pic>
                  <pic:nvPicPr>
                    <pic:cNvPr id="0" name="yilpack-is-akim-semasi.png"/>
                    <pic:cNvPicPr/>
                  </pic:nvPicPr>
                  <pic:blipFill>
                    <a:blip r:embed="rId9"/>
                    <a:stretch>
                      <a:fillRect/>
                    </a:stretch>
                  </pic:blipFill>
                  <pic:spPr>
                    <a:xfrm>
                      <a:off x="0" y="0"/>
                      <a:ext cx="6048000" cy="6315774"/>
                    </a:xfrm>
                    <a:prstGeom prst="rect"/>
                  </pic:spPr>
                </pic:pic>
              </a:graphicData>
            </a:graphic>
          </wp:inline>
        </w:drawing>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