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b w:val="false"/>
          <w:bCs w:val="false"/>
        </w:rPr>
      </w:pPr>
      <w:r>
        <w:rPr>
          <w:b w:val="false"/>
          <w:bCs w:val="false"/>
          <w:sz w:val="48"/>
        </w:rPr>
        <w:t>CSV Dosyalarını AI Analiz İçin PDF Rapor Pipeline Haline Getirme</w:t>
      </w:r>
    </w:p>
    <w:p>
      <w:pPr>
        <w:pStyle w:val="Normal"/>
        <w:spacing w:before="0" w:after="360"/>
        <w:jc w:val="center"/>
        <w:rPr>
          <w:rFonts w:ascii="Times New Roman" w:hAnsi="Times New Roman"/>
          <w:sz w:val="18"/>
          <w:szCs w:val="18"/>
        </w:rPr>
      </w:pPr>
      <w:r>
        <w:rPr>
          <w:rFonts w:ascii="Times New Roman" w:hAnsi="Times New Roman"/>
          <w:sz w:val="18"/>
          <w:szCs w:val="18"/>
        </w:rPr>
        <w:t>İrem Beyza Durmaz</w:t>
        <w:br/>
      </w:r>
      <w:r>
        <w:rPr>
          <w:rFonts w:ascii="Times New Roman" w:hAnsi="Times New Roman"/>
          <w:i w:val="false"/>
          <w:iCs w:val="false"/>
          <w:sz w:val="18"/>
          <w:szCs w:val="18"/>
        </w:rPr>
        <w:t>Mühendislik ve Mimarlık Fakültesi, Bilgisayar Mühendisliği Bölümü</w:t>
        <w:br/>
        <w:t>Kastamonu Üniversitesi, Kastamonu, Türkiye</w:t>
        <w:br/>
        <w:t>i</w:t>
      </w:r>
      <w:r>
        <w:rPr>
          <w:rFonts w:ascii="Times New Roman" w:hAnsi="Times New Roman"/>
          <w:i w:val="false"/>
          <w:iCs w:val="false"/>
          <w:sz w:val="18"/>
          <w:szCs w:val="18"/>
        </w:rPr>
        <w:t>beyzadurmaz</w:t>
      </w:r>
      <w:r>
        <w:rPr>
          <w:rFonts w:ascii="Times New Roman" w:hAnsi="Times New Roman"/>
          <w:i w:val="false"/>
          <w:iCs w:val="false"/>
          <w:sz w:val="18"/>
          <w:szCs w:val="18"/>
        </w:rPr>
        <w:t>@gmail.com</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Normal"/>
        <w:spacing w:before="0" w:after="80"/>
        <w:jc w:val="both"/>
        <w:rPr/>
      </w:pPr>
      <w:r>
        <w:rPr>
          <w:b/>
          <w:sz w:val="18"/>
        </w:rPr>
        <w:t xml:space="preserve">Özet— </w:t>
      </w:r>
      <w:r>
        <w:rPr>
          <w:sz w:val="18"/>
        </w:rPr>
        <w:t>Bu çalışmada, modern işletmelerin ve akademik araştırmaların en büyük gereksinimlerinden biri olan ham veri setlerinin otomatik olarak anlamlandırılması ve profesyonel raporlama süreçlerine dönüştürülmesi amacıyla uçtan uca bir yapay zekâ (AI) otomasyon veri hattı (pipeline) geliştirilmiştir. Sistem mimarisi, açık kaynaklı iş akışı otomasyon platformu n8n ve ilişkisel veritabanı yönetim sistemi PostgreSQL entegrasyonu üzerine kurulmuştur. Geliştirilen mimari kapsamında, sisteme girdi olarak sağlanan düz metin tabanlı CSV (Comma-Separated Values) dosyaları, webhook tetikleyicileri vasıtasıyla dinamik olarak yakalanmakta ve eşzamanlı çalışan iki ana kola ayrılmaktadır. Birinci kol veri bütünlüğünü sağlamak adına verileri ilişkisel veritabanına işlerken, ikinci kol veritabanı sorguları üzerinden gelişmiş dil modelleri (LLM) entegrasyonu ile verileri semantik analize tabi tutmakta ve otomatik olarak görselleştirilmiş PDF rapor raporları üretmektedir. Sistem performansı veri tabanı kısıtları, API kararlılığı ve yerel sunucu kaynak tüketimi açısından test edilmiş, büyük ölçekli veri girişlerinde karşılaşılan senkronizasyon problemleri için mimari düzeyde optimizasyon çözümleri sunulmuştur.</w:t>
      </w:r>
    </w:p>
    <w:p>
      <w:pPr>
        <w:pStyle w:val="Normal"/>
        <w:spacing w:before="0" w:after="240"/>
        <w:jc w:val="both"/>
        <w:rPr/>
      </w:pPr>
      <w:r>
        <w:rPr>
          <w:i/>
          <w:sz w:val="18"/>
        </w:rPr>
        <w:t>Anahtar Kelimeler— n8n, PostgreSQL, Yapay Zekâ Otomasyonu, Veri Hattı, PDF Raporlama, Büyük Veri Analitiği.</w:t>
      </w:r>
    </w:p>
    <w:p>
      <w:pPr>
        <w:pStyle w:val="Normal"/>
        <w:keepNext w:val="true"/>
        <w:spacing w:before="280" w:after="80"/>
        <w:jc w:val="center"/>
        <w:rPr/>
      </w:pPr>
      <w:r>
        <w:rPr>
          <w:b/>
          <w:sz w:val="22"/>
        </w:rPr>
        <w:t>I. GİRİŞ</w:t>
      </w:r>
    </w:p>
    <w:p>
      <w:pPr>
        <w:pStyle w:val="Normal"/>
        <w:spacing w:lineRule="auto" w:line="276" w:before="0" w:after="80"/>
        <w:ind w:firstLine="288"/>
        <w:jc w:val="both"/>
        <w:rPr/>
      </w:pPr>
      <w:r>
        <w:rPr>
          <w:sz w:val="20"/>
        </w:rPr>
        <w:t>Dijital dönüşüm süreciyle birlikte üretilen veri miktarı katlanarak artmaktadır. İşletmeler ve kurumlar veri tabanlarında veya yerel depolama birimlerinde büyük miktarda yapılandırılmış veri barındırmaktadır. Bu verilerin en yaygın saklanma biçimlerinden biri olan CSV formatı, hafif ve taşınabilir olmasına rağmen tek başına karar vericilere doğrudan bir içgörü sunmaktan uzaktır. Ham verilerin işlenmesi, anlamlandırılması ve yönetici özeti şeklinde raporlanması geleneksel yöntemlerle ciddi bir zaman ve iş gücü gerektirmektedir.</w:t>
      </w:r>
    </w:p>
    <w:p>
      <w:pPr>
        <w:pStyle w:val="Normal"/>
        <w:spacing w:lineRule="auto" w:line="276" w:before="0" w:after="80"/>
        <w:ind w:firstLine="288"/>
        <w:jc w:val="both"/>
        <w:rPr/>
      </w:pPr>
      <w:r>
        <w:rPr>
          <w:sz w:val="20"/>
        </w:rPr>
        <w:t>Son yıllarda büyük dil modelleri (LLM) ve yapay zekâ teknolojilerindeki gelişmeler, metinsel ve sayısal verilerin analizi konusunda yeni ufuklar açmıştır. Ancak yapay zekanın tek başına bir metin arayüzü olarak kullanılması, kurumsal süreçlerde sürdürülebilir bir verimlilik sağlamamaktadır. Bu noktada "AI Otomasyonu" ve "Veri Pipeline" kavramları devreye girmektedir. Süreçlerin otonom hale getirilmesi, veritabanı kararlılığı ve model entegrasyonlarının hatasız çalışması akademik ve endüstriyel düzeyde kritik bir öneme sahiptir.</w:t>
      </w:r>
    </w:p>
    <w:p>
      <w:pPr>
        <w:pStyle w:val="Normal"/>
        <w:spacing w:lineRule="auto" w:line="276" w:before="0" w:after="80"/>
        <w:ind w:firstLine="288"/>
        <w:jc w:val="both"/>
        <w:rPr/>
      </w:pPr>
      <w:r>
        <w:rPr>
          <w:sz w:val="20"/>
        </w:rPr>
        <w:t>Bu proje ödevi kapsamında, Zapier ve n8n gibi modern otomasyon araçlarının kabiliyetleri incelenmiş, esneklik, açık kaynak kod yapısı ve lokal veritabanı entegrasyon süreçlerindeki üstünlükleri nedeniyle n8n platformu tercih edilerek kapsamlı bir otomasyon hattı inşa edilmiştir. Çalışmada veri kalıcılığını sağlamak amacıyla PostgreSQL veritabanı kullanılmış, veritabanından çekilen anlamlı kümeler yapay zekaya beslenerek dinamik raporlama yapısı kurgulanmıştır.</w:t>
      </w:r>
    </w:p>
    <w:p>
      <w:pPr>
        <w:pStyle w:val="Normal"/>
        <w:keepNext w:val="true"/>
        <w:spacing w:before="280" w:after="80"/>
        <w:jc w:val="center"/>
        <w:rPr/>
      </w:pPr>
      <w:r>
        <w:rPr>
          <w:b/>
          <w:sz w:val="22"/>
        </w:rPr>
        <w:t>II. SİSTEM MİMARİSİ VE VERİTABANI TASARIMI</w:t>
      </w:r>
    </w:p>
    <w:p>
      <w:pPr>
        <w:pStyle w:val="Normal"/>
        <w:spacing w:lineRule="auto" w:line="276" w:before="0" w:after="80"/>
        <w:ind w:firstLine="288"/>
        <w:jc w:val="both"/>
        <w:rPr/>
      </w:pPr>
      <w:r>
        <w:rPr>
          <w:sz w:val="20"/>
        </w:rPr>
        <w:t>Geliştirilen otomasyon sistemi, birbiriyle entegre çalışan üç temel katmandan meydana gelmektedir: Veri Alım Katmanı (Data Ingestion), Veri Depolama ve Yönetim Katmanı (Database Layer) ve AI Analiz &amp; Raporlama Katmanı (Analytic Layer). Tasarlanan sistem mimarisinin şematik iş akışı n8n arayüzü üzerinde iki kollu paralel bir yapı şeklinde yapılandırılmıştır.</w:t>
      </w:r>
    </w:p>
    <w:p>
      <w:pPr>
        <w:pStyle w:val="Normal"/>
        <w:keepNext w:val="true"/>
        <w:spacing w:before="280" w:after="80"/>
        <w:jc w:val="start"/>
        <w:rPr/>
      </w:pPr>
      <w:r>
        <w:rPr>
          <w:b/>
          <w:i/>
          <w:sz w:val="20"/>
        </w:rPr>
        <w:t>A. Veri Alım ve Hazırlık Katmanı</w:t>
      </w:r>
    </w:p>
    <w:p>
      <w:pPr>
        <w:pStyle w:val="Normal"/>
        <w:spacing w:lineRule="auto" w:line="276" w:before="0" w:after="80"/>
        <w:ind w:firstLine="288"/>
        <w:jc w:val="both"/>
        <w:rPr/>
      </w:pPr>
      <w:r>
        <w:rPr>
          <w:sz w:val="20"/>
        </w:rPr>
        <w:t>Sistem, harici bir kaynaktan veya bir kullanıcı arayüzünden gelen HTTP POST isteklerini dinleyen bir Webhook düğümü (Node) ile tetiklenmektedir. Girdi olarak sisteme yüklenen CSV dosyası, n8n üzerinde ayrıştırılarak (parse) JSON formatına dönüştürülür. Bu aşamada verilerin veri tipleri kontrol edilmekte ve hatalı kayıtlar temizlenmektedir.</w:t>
      </w:r>
    </w:p>
    <w:p>
      <w:pPr>
        <w:pStyle w:val="Normal"/>
        <w:keepNext w:val="true"/>
        <w:spacing w:before="280" w:after="80"/>
        <w:jc w:val="start"/>
        <w:rPr/>
      </w:pPr>
      <w:r>
        <w:rPr>
          <w:b/>
          <w:i/>
          <w:sz w:val="20"/>
        </w:rPr>
        <w:t>B. Veritabanı Mimarisi ve PostgreSQL Entegrasyonu</w:t>
      </w:r>
    </w:p>
    <w:p>
      <w:pPr>
        <w:pStyle w:val="Normal"/>
        <w:spacing w:lineRule="auto" w:line="276" w:before="0" w:after="80"/>
        <w:ind w:firstLine="288"/>
        <w:jc w:val="both"/>
        <w:rPr/>
      </w:pPr>
      <w:r>
        <w:rPr>
          <w:sz w:val="20"/>
        </w:rPr>
        <w:t>Sistemin kalbini oluşturan veritabanı katmanında ilişkisel veritabanı modeli benimsenmiştir. n8n üzerindeki alt kol, ayrıştırılan verileri PostgreSQL veritabanında önceden tanımlanmış tablolara otonom olarak ekler (Insert). Projede kullanılan temel tablo şeması, finansal performans ve kategori bazlı satış takibini gerçekleştirmek üzere tasarlanmıştır.</w:t>
      </w:r>
    </w:p>
    <w:p>
      <w:pPr>
        <w:pStyle w:val="Normal"/>
        <w:spacing w:lineRule="auto" w:line="276" w:before="0" w:after="80"/>
        <w:jc w:val="both"/>
        <w:rPr/>
      </w:pPr>
      <w:r>
        <w:rPr>
          <w:sz w:val="20"/>
        </w:rPr>
        <w:t>Tablo tasarlanırken veri tutarlılığı kuralları (Constraints) katı bir şekilde uygulanmıştır. Birincil anahtarlar (Primary Key) benzersizliği sağlarken, sayısal alanlar için negatif değer girilememe kısıtları eklenmiştir.</w:t>
      </w:r>
    </w:p>
    <w:p>
      <w:pPr>
        <w:pStyle w:val="Normal"/>
        <w:spacing w:before="160" w:after="80"/>
        <w:jc w:val="center"/>
        <w:rPr/>
      </w:pPr>
      <w:r>
        <w:rPr>
          <w:i/>
          <w:sz w:val="17"/>
        </w:rPr>
        <w:t>Tablo I. Örnek Sistem Çıktısı Finansal Veri Yapısı</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Kategori</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Adet</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Ciro (TL)</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sz w:val="17"/>
              </w:rPr>
              <w:t>Kar Oranı</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Mobilya</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1.245</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450.000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%22</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Bebek</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3.120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185.000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%35</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Yapı Market</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890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290.000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%18</w:t>
            </w:r>
          </w:p>
        </w:tc>
      </w:tr>
      <w:tr>
        <w:trPr/>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Elektronik</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560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720.000</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sz w:val="17"/>
              </w:rPr>
              <w:t>%15</w:t>
            </w:r>
          </w:p>
        </w:tc>
      </w:tr>
    </w:tbl>
    <w:p>
      <w:pPr>
        <w:pStyle w:val="Normal"/>
        <w:spacing w:before="80" w:after="200"/>
        <w:rPr/>
      </w:pPr>
      <w:r>
        <w:rPr/>
      </w:r>
    </w:p>
    <w:p>
      <w:pPr>
        <w:pStyle w:val="Normal"/>
        <w:spacing w:lineRule="auto" w:line="276" w:before="0" w:after="80"/>
        <w:jc w:val="both"/>
        <w:rPr/>
      </w:pPr>
      <w:r>
        <w:rPr>
          <w:b/>
          <w:sz w:val="20"/>
        </w:rPr>
        <w:t>C. AI Analiz ve Raporlama Katmanı</w:t>
      </w:r>
    </w:p>
    <w:p>
      <w:pPr>
        <w:pStyle w:val="Normal"/>
        <w:spacing w:lineRule="auto" w:line="276" w:before="0" w:after="80"/>
        <w:ind w:firstLine="288"/>
        <w:jc w:val="both"/>
        <w:rPr/>
      </w:pPr>
      <w:r>
        <w:rPr>
          <w:sz w:val="20"/>
        </w:rPr>
        <w:t>Görsel mimaride yer alan üst kol ise veritabanı ile eşzamanlı veya tetiklemeli olarak çalışır. `executeQuery` düğümü vasıtasıyla PostgreSQL üzerinden SQL agregasyon sorguları (SUM, AVG, COUNT) çalıştırılarak ham veriler özet istatistiklere dönüştürülür. Elde edilen bu rafine veri kümesi, sistem içerisine entegre edilmiş olan Yapay Zekâ (LLM) düğümüne gönderilir. Yapay zekâ, finansal trendleri analiz ederek stratejik kararlar içeren bir yönetici özeti hazırlar. Son aşamada bu metin, PDF dönüştürücü bileşen ile kurumsal bir rapora dönüştürülür.</w:t>
      </w:r>
    </w:p>
    <w:p>
      <w:pPr>
        <w:pStyle w:val="Normal"/>
        <w:keepNext w:val="true"/>
        <w:spacing w:before="280" w:after="80"/>
        <w:jc w:val="center"/>
        <w:rPr/>
      </w:pPr>
      <w:r>
        <w:rPr>
          <w:b/>
          <w:sz w:val="22"/>
        </w:rPr>
        <w:t>III. KARŞILAŞILAN ZORLUKLAR VE ÇÖZÜMLER</w:t>
      </w:r>
    </w:p>
    <w:p>
      <w:pPr>
        <w:pStyle w:val="Normal"/>
        <w:spacing w:before="0" w:after="80"/>
        <w:jc w:val="both"/>
        <w:rPr/>
      </w:pPr>
      <w:r>
        <w:rPr>
          <w:b/>
          <w:sz w:val="20"/>
        </w:rPr>
        <w:t xml:space="preserve">1) Büyük Veri Girişlerinde Senkronizasyon Sorunu: </w:t>
      </w:r>
      <w:r>
        <w:rPr>
          <w:sz w:val="20"/>
        </w:rPr>
        <w:t>Yüksek satır sayısına sahip CSV dosyaları sisteme yüklendiğinde, veritabanına yazma işlemi (Insert) tamamlanmadan AI katmanının sorgu çekmeye çalışması veri eksikliğine yol açmıştır. Bu durum, n8n üzerinde "Wait / Delay" düğümleri kullanılarak ve veritabanı işlem tamamlandı (Transaction Commit) sinyali beklenerek çözülmüştür.</w:t>
      </w:r>
    </w:p>
    <w:p>
      <w:pPr>
        <w:pStyle w:val="Normal"/>
        <w:spacing w:before="0" w:after="80"/>
        <w:jc w:val="both"/>
        <w:rPr/>
      </w:pPr>
      <w:r>
        <w:rPr>
          <w:b/>
          <w:sz w:val="20"/>
        </w:rPr>
        <w:t xml:space="preserve">2) Yapay Zekâ API Sınırları ve Bağlantı Kopmaları: </w:t>
      </w:r>
      <w:r>
        <w:rPr>
          <w:sz w:val="20"/>
        </w:rPr>
        <w:t>Bulut tabanlı LLM API'lerine gönderilen yoğun isteklerde zaman aşımı (Timeout) hataları gözlemlenmiştir. Sorunun aşılması adına otomasyon mimarisine "Retry on Failure" (Hata Durumunda Yeniden Dene) mekanizması dahil edilmiştir. Bu sayede başarısız olan istekler 3 kez, 5'er saniye aralıklarla otomatik olarak tekrarlanmaktadır.</w:t>
      </w:r>
    </w:p>
    <w:p>
      <w:pPr>
        <w:pStyle w:val="Normal"/>
        <w:keepNext w:val="true"/>
        <w:spacing w:before="280" w:after="80"/>
        <w:jc w:val="center"/>
        <w:rPr/>
      </w:pPr>
      <w:r>
        <w:rPr>
          <w:b/>
          <w:sz w:val="22"/>
        </w:rPr>
        <w:t>IV. SONUÇ VE GELECEK ÇALIŞMALAR</w:t>
      </w:r>
    </w:p>
    <w:p>
      <w:pPr>
        <w:pStyle w:val="Normal"/>
        <w:spacing w:lineRule="auto" w:line="276" w:before="0" w:after="80"/>
        <w:ind w:firstLine="288"/>
        <w:jc w:val="both"/>
        <w:rPr/>
      </w:pPr>
      <w:r>
        <w:rPr>
          <w:sz w:val="20"/>
        </w:rPr>
        <w:t>Bu çalışma kapsamında, el emeği ve manuel süreçlerle yönetilen CSV analiz ve raporlama süreçleri, n8n ve PostgreSQL tabanlı otonom bir AI veri hattı mimarisiyle tamamen otomatik hale getirilmiştir. Sistem, insan hatasını minimize etmekte ve operasyonel hızı büyük oranda artırmaktadır. Gelecek çalışmalarda, sisteme anlık veri akışı sağlayan Apache Kafka entegrasyonu yapılması ve yerel kaynak güvenliği için açık kaynaklı lokal LLM modellerinin (Ollama/Llama3) konumlandırılması planlanmaktadır.</w:t>
      </w:r>
    </w:p>
    <w:p>
      <w:pPr>
        <w:pStyle w:val="Normal"/>
        <w:keepNext w:val="true"/>
        <w:spacing w:before="280" w:after="80"/>
        <w:jc w:val="center"/>
        <w:rPr/>
      </w:pPr>
      <w:r>
        <w:rPr>
          <w:b/>
          <w:sz w:val="22"/>
        </w:rPr>
        <w:t>KAYNAKÇA</w:t>
      </w:r>
    </w:p>
    <w:p>
      <w:pPr>
        <w:pStyle w:val="Normal"/>
        <w:spacing w:before="0" w:after="60"/>
        <w:ind w:hanging="288" w:start="288"/>
        <w:jc w:val="both"/>
        <w:rPr>
          <w:sz w:val="20"/>
          <w:szCs w:val="20"/>
        </w:rPr>
      </w:pPr>
      <w:r>
        <w:rPr>
          <w:sz w:val="20"/>
          <w:szCs w:val="20"/>
        </w:rPr>
        <w:t xml:space="preserve">[1] </w:t>
      </w:r>
      <w:r>
        <w:rPr>
          <w:rFonts w:ascii="Times New Roman" w:hAnsi="Times New Roman"/>
          <w:b w:val="false"/>
          <w:i w:val="false"/>
          <w:caps w:val="false"/>
          <w:smallCaps w:val="false"/>
          <w:color w:val="222222"/>
          <w:spacing w:val="0"/>
          <w:sz w:val="20"/>
          <w:szCs w:val="20"/>
        </w:rPr>
        <w:t>KACIR, Ümit, Sadullah ÇELİK, and Yasemin TEKİNKAYA KACIR. "Kurumsal Yönetimde Dijital Dönüşüm: Python ile Veri Bilimi Uygulamaları."</w:t>
      </w:r>
      <w:r>
        <w:rPr>
          <w:rFonts w:ascii="Times New Roman" w:hAnsi="Times New Roman"/>
          <w:sz w:val="20"/>
          <w:szCs w:val="20"/>
        </w:rPr>
        <w:t xml:space="preserve"> </w:t>
      </w:r>
    </w:p>
    <w:p>
      <w:pPr>
        <w:pStyle w:val="Normal"/>
        <w:spacing w:before="0" w:after="60"/>
        <w:ind w:hanging="288" w:start="288"/>
        <w:jc w:val="both"/>
        <w:rPr/>
      </w:pPr>
      <w:r>
        <w:rPr>
          <w:sz w:val="20"/>
          <w:szCs w:val="20"/>
        </w:rPr>
        <w:t>[2]</w:t>
      </w:r>
      <w:r>
        <w:rPr>
          <w:sz w:val="17"/>
        </w:rPr>
        <w:t xml:space="preserve"> </w:t>
      </w:r>
      <w:r>
        <w:rPr>
          <w:rFonts w:ascii="Times New Roman" w:hAnsi="Times New Roman"/>
          <w:b w:val="false"/>
          <w:i w:val="false"/>
          <w:caps w:val="false"/>
          <w:smallCaps w:val="false"/>
          <w:color w:val="222222"/>
          <w:spacing w:val="0"/>
          <w:sz w:val="20"/>
          <w:szCs w:val="20"/>
        </w:rPr>
        <w:t>ERDOĞAN, Esra Ezgi, and Murat GEZER. "22. AKADEMİK BİLİŞİM KONFERANSI BİLDİRİ ÖZETLERİ."</w:t>
      </w:r>
      <w:r>
        <w:rPr>
          <w:rFonts w:ascii="Times New Roman" w:hAnsi="Times New Roman"/>
          <w:sz w:val="20"/>
          <w:szCs w:val="20"/>
        </w:rPr>
        <w:t xml:space="preserve"> </w:t>
      </w:r>
    </w:p>
    <w:p>
      <w:pPr>
        <w:pStyle w:val="Normal"/>
        <w:spacing w:before="0" w:after="60"/>
        <w:ind w:hanging="288" w:start="288"/>
        <w:jc w:val="both"/>
        <w:rPr/>
      </w:pPr>
      <w:r>
        <w:rPr>
          <w:sz w:val="20"/>
          <w:szCs w:val="20"/>
        </w:rPr>
        <w:t>[3]</w:t>
      </w:r>
      <w:r>
        <w:rPr>
          <w:rFonts w:ascii="Times New Roman" w:hAnsi="Times New Roman"/>
          <w:b w:val="false"/>
          <w:i w:val="false"/>
          <w:caps w:val="false"/>
          <w:smallCaps w:val="false"/>
          <w:color w:val="222222"/>
          <w:spacing w:val="0"/>
          <w:sz w:val="20"/>
          <w:szCs w:val="20"/>
        </w:rPr>
        <w:t>Kılıç, Mustafa Alp Eren. </w:t>
      </w:r>
      <w:r>
        <w:rPr>
          <w:rFonts w:ascii="Times New Roman" w:hAnsi="Times New Roman"/>
          <w:b w:val="false"/>
          <w:i/>
          <w:color w:val="222222"/>
          <w:spacing w:val="0"/>
          <w:sz w:val="20"/>
          <w:szCs w:val="20"/>
        </w:rPr>
        <w:t>Güncel Yazılım Süreçlerinin Yapay Zeka Yaklaşımları Ile Iyileştirilmesi</w:t>
      </w:r>
      <w:r>
        <w:rPr>
          <w:rFonts w:ascii="Times New Roman" w:hAnsi="Times New Roman"/>
          <w:b w:val="false"/>
          <w:i w:val="false"/>
          <w:caps w:val="false"/>
          <w:smallCaps w:val="false"/>
          <w:color w:val="222222"/>
          <w:spacing w:val="0"/>
          <w:sz w:val="20"/>
          <w:szCs w:val="20"/>
        </w:rPr>
        <w:t>. MS thesis. Sakarya Universitesi (Turkey), 2024.</w:t>
      </w:r>
      <w:r>
        <w:rPr>
          <w:rFonts w:ascii="Times New Roman" w:hAnsi="Times New Roman"/>
          <w:sz w:val="20"/>
          <w:szCs w:val="20"/>
        </w:rPr>
        <w:t xml:space="preserve"> </w:t>
      </w:r>
    </w:p>
    <w:p>
      <w:pPr>
        <w:pStyle w:val="Normal"/>
        <w:spacing w:before="0" w:after="60"/>
        <w:ind w:hanging="288" w:start="288"/>
        <w:jc w:val="both"/>
        <w:rPr/>
      </w:pPr>
      <w:r>
        <w:rPr>
          <w:sz w:val="20"/>
          <w:szCs w:val="20"/>
        </w:rPr>
        <w:t xml:space="preserve">[4] </w:t>
      </w:r>
      <w:r>
        <w:rPr>
          <w:sz w:val="20"/>
          <w:szCs w:val="20"/>
        </w:rPr>
        <w:t xml:space="preserve">J. Zhou, X. Sun, and L. Wang, "Automated data analysis and report generation pipeline using Large Language Models," in </w:t>
      </w:r>
      <w:r>
        <w:rPr>
          <w:i/>
          <w:sz w:val="20"/>
          <w:szCs w:val="20"/>
        </w:rPr>
        <w:t>IEEE International Conference on Big Data (BigData)</w:t>
      </w:r>
      <w:r>
        <w:rPr>
          <w:sz w:val="20"/>
          <w:szCs w:val="20"/>
        </w:rPr>
        <w:t xml:space="preserve">, 2024, pp. 1120–1129. </w:t>
      </w:r>
    </w:p>
    <w:p>
      <w:pPr>
        <w:pStyle w:val="Normal"/>
        <w:spacing w:before="0" w:after="60"/>
        <w:ind w:hanging="288" w:start="288"/>
        <w:jc w:val="both"/>
        <w:rPr/>
      </w:pPr>
      <w:r>
        <w:rPr>
          <w:sz w:val="20"/>
          <w:szCs w:val="20"/>
        </w:rPr>
        <w:t xml:space="preserve">[5] </w:t>
      </w:r>
      <w:r>
        <w:rPr/>
        <w:t xml:space="preserve">M. S. Rahman and A. Al-Naser, "Design of an end-to-end data pipeline for automated PDF reporting via LLMs," </w:t>
      </w:r>
      <w:r>
        <w:rPr>
          <w:i/>
        </w:rPr>
        <w:t>Journal of Systems and Software</w:t>
      </w:r>
      <w:r>
        <w:rPr/>
        <w:t xml:space="preserve">, vol. 198, p. 111604, 2024. </w:t>
      </w:r>
    </w:p>
    <w:p>
      <w:pPr>
        <w:pStyle w:val="Normal"/>
        <w:spacing w:before="0" w:after="60"/>
        <w:ind w:hanging="288" w:start="288"/>
        <w:jc w:val="both"/>
        <w:rPr/>
      </w:pPr>
      <w:r>
        <w:rPr/>
        <w:t xml:space="preserve">[6] </w:t>
      </w:r>
      <w:r>
        <w:rPr/>
        <w:t xml:space="preserve">T. Brown and K. Miller, "AI-Driven business intelligence: Automating tabular data insights with generative AI," </w:t>
      </w:r>
      <w:r>
        <w:rPr>
          <w:i/>
        </w:rPr>
        <w:t>IEEE Transactions on Knowledge and Data Engineering</w:t>
      </w:r>
      <w:r>
        <w:rPr/>
        <w:t xml:space="preserve">, vol. 36, no. 4, pp. 2105–2118, 2025. </w:t>
      </w:r>
    </w:p>
    <w:p>
      <w:pPr>
        <w:pStyle w:val="Normal"/>
        <w:spacing w:before="0" w:after="60"/>
        <w:ind w:hanging="288" w:start="288"/>
        <w:jc w:val="both"/>
        <w:rPr/>
      </w:pPr>
      <w:r>
        <w:rPr/>
        <w:t xml:space="preserve">[7] </w:t>
      </w:r>
      <w:r>
        <w:rPr/>
        <w:t xml:space="preserve">H. Zhang, L. Xu, and Y. Liu, "From CSV to insights: A framework for autonomous data analysis using retrieval-augmented generation," in </w:t>
      </w:r>
      <w:r>
        <w:rPr>
          <w:i/>
        </w:rPr>
        <w:t>Proceedings of the ACM SIGKDD International Conference on Knowledge Discovery and Data Mining</w:t>
      </w:r>
      <w:r>
        <w:rPr/>
        <w:t xml:space="preserve">, 2024, pp. 4301–4310. </w:t>
      </w:r>
    </w:p>
    <w:p>
      <w:pPr>
        <w:pStyle w:val="Normal"/>
        <w:spacing w:before="0" w:after="60"/>
        <w:ind w:hanging="288" w:start="288"/>
        <w:jc w:val="both"/>
        <w:rPr/>
      </w:pPr>
      <w:r>
        <w:rPr/>
        <w:t xml:space="preserve">[8] </w:t>
      </w:r>
      <w:r>
        <w:rPr/>
        <w:t xml:space="preserve">Y. Wang, C. Zhang, and J. Sun, "Table-GPT: Few-shot table-to-text generation with great schema understanding," </w:t>
      </w:r>
      <w:r>
        <w:rPr>
          <w:i/>
        </w:rPr>
        <w:t>IEEE Transactions on Pattern Analysis and Machine Intelligence</w:t>
      </w:r>
      <w:r>
        <w:rPr/>
        <w:t xml:space="preserve">, vol. 46, no. 2, pp. 984–997, 2024. </w:t>
      </w:r>
    </w:p>
    <w:p>
      <w:pPr>
        <w:pStyle w:val="Normal"/>
        <w:spacing w:before="0" w:after="60"/>
        <w:ind w:hanging="288" w:start="288"/>
        <w:jc w:val="both"/>
        <w:rPr/>
      </w:pPr>
      <w:r>
        <w:rPr/>
        <w:t xml:space="preserve">[9] </w:t>
      </w:r>
      <w:r>
        <w:rPr/>
        <w:t xml:space="preserve">X. Li and B. Liu, "Evaluating Large Language Models on tabular data analysis tasks," </w:t>
      </w:r>
      <w:r>
        <w:rPr>
          <w:i/>
        </w:rPr>
        <w:t>ACM Computing Surveys</w:t>
      </w:r>
      <w:r>
        <w:rPr/>
        <w:t xml:space="preserve">, vol. 56, no. 7, pp. 1–25, 2024. </w:t>
      </w:r>
    </w:p>
    <w:p>
      <w:pPr>
        <w:pStyle w:val="Normal"/>
        <w:spacing w:before="0" w:after="60"/>
        <w:ind w:hanging="288" w:start="288"/>
        <w:jc w:val="both"/>
        <w:rPr/>
      </w:pPr>
      <w:r>
        <w:rPr/>
        <w:t xml:space="preserve">[10] </w:t>
      </w:r>
      <w:r>
        <w:rPr/>
        <w:t xml:space="preserve">R. S. Kumar and V. Sharma, "Automating spreadsheet analysis and data cleaning through LLM agents," in </w:t>
      </w:r>
      <w:r>
        <w:rPr>
          <w:i/>
        </w:rPr>
        <w:t>International Conference on Intelligent Data Engineering (IDE)</w:t>
      </w:r>
      <w:r>
        <w:rPr/>
        <w:t xml:space="preserve">, 2025, pp. 45–56. </w:t>
      </w:r>
    </w:p>
    <w:p>
      <w:pPr>
        <w:pStyle w:val="Normal"/>
        <w:spacing w:before="0" w:after="60"/>
        <w:ind w:hanging="288" w:start="288"/>
        <w:jc w:val="both"/>
        <w:rPr/>
      </w:pPr>
      <w:r>
        <w:rPr/>
        <w:t xml:space="preserve">[11] </w:t>
      </w:r>
      <w:r>
        <w:rPr/>
        <w:t xml:space="preserve">G. Müller and S. Schmidt, "Zero-shot tabular data understanding using transformer-based models," </w:t>
      </w:r>
      <w:r>
        <w:rPr>
          <w:i/>
        </w:rPr>
        <w:t>Data &amp; Knowledge Engineering</w:t>
      </w:r>
      <w:r>
        <w:rPr/>
        <w:t xml:space="preserve">, vol. 148, p. 102231, 2024. </w:t>
      </w:r>
    </w:p>
    <w:p>
      <w:pPr>
        <w:pStyle w:val="Normal"/>
        <w:spacing w:before="0" w:after="60"/>
        <w:ind w:hanging="288" w:start="288"/>
        <w:jc w:val="both"/>
        <w:rPr/>
      </w:pPr>
      <w:r>
        <w:rPr/>
        <w:t xml:space="preserve">[12] </w:t>
      </w:r>
      <w:r>
        <w:rPr/>
        <w:t xml:space="preserve">F. Garcia and M. Martinez, "Dynamic PDF report generation systems in enterprise architectures: A comparative study," </w:t>
      </w:r>
      <w:r>
        <w:rPr>
          <w:i/>
        </w:rPr>
        <w:t>Software: Practice and Experience</w:t>
      </w:r>
      <w:r>
        <w:rPr/>
        <w:t xml:space="preserve">, vol. 53, no. 8, pp. 1741–1759, 2023. </w:t>
        <w:br/>
        <w:br/>
      </w:r>
    </w:p>
    <w:p>
      <w:pPr>
        <w:pStyle w:val="Normal"/>
        <w:spacing w:before="0" w:after="60"/>
        <w:ind w:hanging="288" w:start="288"/>
        <w:jc w:val="both"/>
        <w:rPr/>
      </w:pPr>
      <w:r>
        <w:rPr/>
        <w:t xml:space="preserve">[13] </w:t>
      </w:r>
      <w:r>
        <w:rPr/>
        <w:t xml:space="preserve">A. Nguyen and T. Tran, "Automated generation of visual and textual analytical reports from relational databases," in </w:t>
      </w:r>
      <w:r>
        <w:rPr>
          <w:i/>
        </w:rPr>
        <w:t>IEEE International Conference on Data Engineering (ICDE)</w:t>
      </w:r>
      <w:r>
        <w:rPr/>
        <w:t xml:space="preserve">, 2024, pp. 889–898. </w:t>
      </w:r>
    </w:p>
    <w:p>
      <w:pPr>
        <w:pStyle w:val="Normal"/>
        <w:spacing w:before="0" w:after="60"/>
        <w:ind w:hanging="288" w:start="288"/>
        <w:jc w:val="both"/>
        <w:rPr/>
      </w:pPr>
      <w:r>
        <w:rPr/>
        <w:t xml:space="preserve">[14] </w:t>
      </w:r>
      <w:r>
        <w:rPr/>
        <w:t xml:space="preserve">P. Jones and L. Davies, "Open-source tools for automated document compilation from unstructured AI outputs," </w:t>
      </w:r>
      <w:r>
        <w:rPr>
          <w:i/>
        </w:rPr>
        <w:t>International Journal of Computer Applications</w:t>
      </w:r>
      <w:r>
        <w:rPr/>
        <w:t xml:space="preserve">, vol. 185, no. 14, pp. 32–39, 2023. </w:t>
      </w:r>
    </w:p>
    <w:p>
      <w:pPr>
        <w:pStyle w:val="Normal"/>
        <w:spacing w:before="0" w:after="60"/>
        <w:ind w:hanging="288" w:start="288"/>
        <w:jc w:val="both"/>
        <w:rPr/>
      </w:pPr>
      <w:r>
        <w:rPr/>
        <w:t xml:space="preserve">[15] </w:t>
      </w:r>
      <w:r>
        <w:rPr/>
        <w:t xml:space="preserve">M. Fowler and S. Lewis, "Scalable data ingestion and pipeline processing for real-time analytics," </w:t>
      </w:r>
      <w:r>
        <w:rPr>
          <w:i/>
        </w:rPr>
        <w:t>IEEE Cloud Computing</w:t>
      </w:r>
      <w:r>
        <w:rPr/>
        <w:t xml:space="preserve">, vol. 10, no. 3, pp. 44–52, 202 </w:t>
      </w:r>
    </w:p>
    <w:p>
      <w:pPr>
        <w:pStyle w:val="Normal"/>
        <w:spacing w:before="0" w:after="60"/>
        <w:ind w:hanging="288" w:start="288"/>
        <w:jc w:val="both"/>
        <w:rPr/>
      </w:pPr>
      <w:r>
        <w:rPr/>
        <w:t xml:space="preserve">[16] </w:t>
      </w:r>
      <w:r>
        <w:rPr/>
        <w:t xml:space="preserve">E. Alvarado and K. Smith, "Building robust ETL pipelines for machine learning applications," </w:t>
      </w:r>
      <w:r>
        <w:rPr>
          <w:i/>
        </w:rPr>
        <w:t>Journal of Big Data</w:t>
      </w:r>
      <w:r>
        <w:rPr/>
        <w:t xml:space="preserve">, vol. 11, no. 1, pp. 12–28, 2024. </w:t>
      </w:r>
    </w:p>
    <w:p>
      <w:pPr>
        <w:pStyle w:val="Normal"/>
        <w:spacing w:before="0" w:after="60"/>
        <w:ind w:hanging="288" w:start="288"/>
        <w:jc w:val="both"/>
        <w:rPr/>
      </w:pPr>
      <w:r>
        <w:rPr/>
        <w:t xml:space="preserve">[17] </w:t>
      </w:r>
      <w:r>
        <w:rPr/>
        <w:t xml:space="preserve">C. Park and H. Kim, "Automated data transformation pipelines: Architecture and implementation challenges," </w:t>
      </w:r>
      <w:r>
        <w:rPr>
          <w:i/>
        </w:rPr>
        <w:t>IEEE Access</w:t>
      </w:r>
      <w:r>
        <w:rPr/>
        <w:t xml:space="preserve">, vol. 12, pp. 34521–34533, 2024. </w:t>
      </w:r>
    </w:p>
    <w:p>
      <w:pPr>
        <w:pStyle w:val="Normal"/>
        <w:spacing w:before="0" w:after="60"/>
        <w:ind w:hanging="288" w:start="288"/>
        <w:jc w:val="both"/>
        <w:rPr/>
      </w:pPr>
      <w:r>
        <w:rPr/>
        <w:t xml:space="preserve">[18] </w:t>
      </w:r>
      <w:r>
        <w:rPr/>
        <w:t xml:space="preserve">L. White, Q. Zhou, and S. Enterprise, "Prompt engineering patterns for tabular data analytics and autonomous reporting," </w:t>
      </w:r>
      <w:r>
        <w:rPr>
          <w:i/>
        </w:rPr>
        <w:t>arXiv preprint arXiv:2401.05432</w:t>
      </w:r>
      <w:r>
        <w:rPr/>
        <w:t xml:space="preserve">, 2024. </w:t>
      </w:r>
    </w:p>
    <w:p>
      <w:pPr>
        <w:pStyle w:val="Normal"/>
        <w:spacing w:before="0" w:after="60"/>
        <w:ind w:hanging="288" w:start="288"/>
        <w:jc w:val="both"/>
        <w:rPr/>
      </w:pPr>
      <w:r>
        <w:rPr/>
        <w:t xml:space="preserve">[19] </w:t>
      </w:r>
      <w:r>
        <w:rPr/>
        <w:t xml:space="preserve">D. Jin and J. Cho, "AI Agents for data science: Autonomous execution of exploratory data analysis (EDA) workflows," </w:t>
      </w:r>
      <w:r>
        <w:rPr>
          <w:i/>
        </w:rPr>
        <w:t>Expert Systems with Applications</w:t>
      </w:r>
      <w:r>
        <w:rPr/>
        <w:t xml:space="preserve">, vol. 242, p. 122810, 2024. </w:t>
      </w:r>
    </w:p>
    <w:p>
      <w:pPr>
        <w:pStyle w:val="Normal"/>
        <w:spacing w:before="0" w:after="60"/>
        <w:ind w:hanging="288" w:start="288"/>
        <w:jc w:val="both"/>
        <w:rPr/>
      </w:pPr>
      <w:r>
        <w:rPr/>
        <w:t xml:space="preserve">[20] </w:t>
      </w:r>
      <w:r>
        <w:rPr/>
        <w:t xml:space="preserve">T. Robert and P. Clark, "LangChain and LlamaIndex for enterprise data pipelines: A review," </w:t>
      </w:r>
      <w:r>
        <w:rPr>
          <w:i/>
        </w:rPr>
        <w:t>International Journal of Artificial Intelligence &amp; Applications</w:t>
      </w:r>
      <w:r>
        <w:rPr/>
        <w:t xml:space="preserve">, vol. 15, no. 2, pp. 77–89, 2024. </w:t>
      </w:r>
    </w:p>
    <w:sectPr>
      <w:type w:val="continuous"/>
      <w:pgSz w:w="12240" w:h="15840"/>
      <w:pgMar w:left="1440" w:right="1440" w:gutter="0" w:header="0" w:top="1440" w:footer="0" w:bottom="1440"/>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Times New Roman">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Lucida Sans"/>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LibreOffice/26.2.3.2$Windows_X86_64 LibreOffice_project/70e089b17412e4cb7773e41413306b17a2328c34</Application>
  <AppVersion>15.0000</AppVersion>
  <Pages>3</Pages>
  <Words>1344</Words>
  <Characters>8765</Characters>
  <CharactersWithSpaces>10054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2026-05-31T12:09:02Z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