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jc w:val="center"/>
        <w:rPr>
          <w:b w:val="false"/>
          <w:bCs w:val="false"/>
        </w:rPr>
      </w:pPr>
      <w:r>
        <w:rPr>
          <w:b w:val="false"/>
          <w:bCs w:val="false"/>
          <w:sz w:val="48"/>
        </w:rPr>
        <w:t>Transforming CSV Files into PDF Report Pipelines for AI Analysis</w:t>
      </w:r>
    </w:p>
    <w:p>
      <w:pPr>
        <w:pStyle w:val="Normal"/>
        <w:spacing w:before="0" w:after="360"/>
        <w:jc w:val="center"/>
        <w:rPr>
          <w:rFonts w:ascii="Times New Roman" w:hAnsi="Times New Roman"/>
          <w:sz w:val="18"/>
          <w:szCs w:val="18"/>
        </w:rPr>
      </w:pPr>
      <w:r>
        <w:rPr>
          <w:rFonts w:ascii="Times New Roman" w:hAnsi="Times New Roman"/>
          <w:sz w:val="18"/>
          <w:szCs w:val="18"/>
        </w:rPr>
        <w:t>İrem Beyza Durmaz</w:t>
        <w:br/>
      </w:r>
      <w:r>
        <w:rPr>
          <w:rFonts w:ascii="Times New Roman" w:hAnsi="Times New Roman"/>
          <w:i w:val="false"/>
          <w:iCs w:val="false"/>
          <w:sz w:val="18"/>
          <w:szCs w:val="18"/>
        </w:rPr>
        <w:t>Faculty of Engineering and Architecture, Department of Computer Engineering</w:t>
        <w:br/>
        <w:t>Kastamonu University, Kastamonu, Turkey</w:t>
        <w:br/>
        <w:t>ibeyzadurmaz@gmail.com</w:t>
      </w:r>
    </w:p>
    <w:p>
      <w:pPr>
        <w:sectPr>
          <w:type w:val="nextPage"/>
          <w:pgSz w:w="12240" w:h="15840"/>
          <w:pgMar w:left="1440" w:right="1440" w:gutter="0" w:header="0" w:top="1440" w:footer="0" w:bottom="1440"/>
          <w:pgNumType w:fmt="decimal"/>
          <w:formProt w:val="false"/>
          <w:textDirection w:val="lrTb"/>
          <w:docGrid w:type="default" w:linePitch="360" w:charSpace="0"/>
        </w:sectPr>
      </w:pPr>
    </w:p>
    <w:p>
      <w:pPr>
        <w:pStyle w:val="Normal"/>
        <w:spacing w:before="0" w:after="80"/>
        <w:jc w:val="both"/>
        <w:rPr/>
      </w:pPr>
      <w:r>
        <w:rPr>
          <w:b/>
          <w:sz w:val="18"/>
        </w:rPr>
        <w:t xml:space="preserve">Abstract— </w:t>
      </w:r>
      <w:r>
        <w:rPr>
          <w:sz w:val="18"/>
        </w:rPr>
        <w:t>In this study, an end-to-end artificial intelligence (AI) automation data pipeline was developed to automatically interpret raw data sets and convert them into professional reporting processes, which is one of the most critical requirements of modern enterprises and academic research. The system architecture is built on the integration of n8n, an open-source workflow automation platform, and PostgreSQL, a relational database management system. Within the developed architecture, plain-text-based CSV (Comma-Separated Values) files provided as input are dynamically captured via webhook triggers and split into two parallel main branches. The first branch processes data into the relational database to ensure data integrity, while the second branch subjects the data to semantic analysis through advanced language model (LLM) integration over database queries and automatically generates visualized PDF reports. System performance was tested in terms of database constraints, API stability, and local server resource consumption, and architectural-level optimization solutions were proposed for synchronization problems encountered during large-scale data inputs.</w:t>
      </w:r>
    </w:p>
    <w:p>
      <w:pPr>
        <w:pStyle w:val="Normal"/>
        <w:spacing w:before="0" w:after="240"/>
        <w:jc w:val="both"/>
        <w:rPr/>
      </w:pPr>
      <w:r>
        <w:rPr>
          <w:i/>
          <w:sz w:val="18"/>
        </w:rPr>
        <w:t>Keywords— n8n, PostgreSQL, AI Automation, Data Pipeline, PDF Reporting, Big Data Analytics.</w:t>
      </w:r>
    </w:p>
    <w:p>
      <w:pPr>
        <w:pStyle w:val="Normal"/>
        <w:keepNext w:val="true"/>
        <w:spacing w:before="280" w:after="80"/>
        <w:jc w:val="center"/>
        <w:rPr/>
      </w:pPr>
      <w:r>
        <w:rPr>
          <w:b/>
          <w:sz w:val="22"/>
        </w:rPr>
        <w:t>I. INTRODUCTION</w:t>
      </w:r>
    </w:p>
    <w:p>
      <w:pPr>
        <w:pStyle w:val="Normal"/>
        <w:spacing w:lineRule="auto" w:line="276" w:before="0" w:after="80"/>
        <w:ind w:firstLine="288"/>
        <w:jc w:val="both"/>
        <w:rPr/>
      </w:pPr>
      <w:r>
        <w:rPr>
          <w:sz w:val="20"/>
        </w:rPr>
        <w:t>The amount of data produced has been growing exponentially with the digital transformation process. Businesses and institutions store large amounts of structured data in databases or local storage units. Although the CSV format, one of the most common ways to store such data, is lightweight and portable, it falls short of providing direct insights to decision-makers on its own. Processing, interpreting, and reporting raw data in the form of executive summaries requires significant time and labor with traditional methods.</w:t>
      </w:r>
    </w:p>
    <w:p>
      <w:pPr>
        <w:pStyle w:val="Normal"/>
        <w:spacing w:lineRule="auto" w:line="276" w:before="0" w:after="80"/>
        <w:ind w:firstLine="288"/>
        <w:jc w:val="both"/>
        <w:rPr/>
      </w:pPr>
      <w:r>
        <w:rPr>
          <w:sz w:val="20"/>
        </w:rPr>
        <w:t>Recent advances in large language models (LLMs) and artificial intelligence technologies have opened new horizons for the analysis of textual and numerical data. However, using AI solely as a text interface does not provide sustainable efficiency in enterprise processes. This is where the concepts of "AI Automation" and "Data Pipeline" come into play. Making processes autonomous, ensuring database stability, and the error-free operation of model integrations are of critical importance at both the academic and industrial levels.</w:t>
      </w:r>
    </w:p>
    <w:p>
      <w:pPr>
        <w:pStyle w:val="Normal"/>
        <w:spacing w:lineRule="auto" w:line="276" w:before="0" w:after="80"/>
        <w:ind w:firstLine="288"/>
        <w:jc w:val="both"/>
        <w:rPr/>
      </w:pPr>
      <w:r>
        <w:rPr>
          <w:sz w:val="20"/>
        </w:rPr>
        <w:t>Within the scope of this project assignment, the capabilities of modern automation tools such as Zapier and n8n were examined, and the n8n platform was preferred due to its flexibility, open-source code structure, and advantages in local database integration processes, leading to the construction of a comprehensive automation pipeline. PostgreSQL database was used to ensure data persistence, and meaningful clusters extracted from the database were fed into the AI to establish a dynamic reporting structure.</w:t>
      </w:r>
    </w:p>
    <w:p>
      <w:pPr>
        <w:pStyle w:val="Normal"/>
        <w:keepNext w:val="true"/>
        <w:spacing w:before="280" w:after="80"/>
        <w:jc w:val="center"/>
        <w:rPr/>
      </w:pPr>
      <w:r>
        <w:rPr>
          <w:b/>
          <w:sz w:val="22"/>
        </w:rPr>
        <w:t>II. SYSTEM ARCHITECTURE AND DATABASE DESIGN</w:t>
      </w:r>
    </w:p>
    <w:p>
      <w:pPr>
        <w:pStyle w:val="Normal"/>
        <w:spacing w:lineRule="auto" w:line="276" w:before="0" w:after="80"/>
        <w:ind w:firstLine="288"/>
        <w:jc w:val="both"/>
        <w:rPr/>
      </w:pPr>
      <w:r>
        <w:rPr>
          <w:sz w:val="20"/>
        </w:rPr>
        <w:t>The developed automation system consists of three fundamental layers working in integration: the Data Ingestion Layer, the Data Storage and Management Layer (Database Layer), and the AI Analysis &amp; Reporting Layer (Analytic Layer). The schematic workflow of the designed system architecture is configured as a two-branch parallel structure over the n8n interface.</w:t>
      </w:r>
    </w:p>
    <w:p>
      <w:pPr>
        <w:pStyle w:val="Normal"/>
        <w:keepNext w:val="true"/>
        <w:spacing w:before="280" w:after="80"/>
        <w:jc w:val="start"/>
        <w:rPr/>
      </w:pPr>
      <w:r>
        <w:rPr>
          <w:b/>
          <w:i/>
          <w:sz w:val="20"/>
        </w:rPr>
        <w:t>A. Data Ingestion and Preparation Layer</w:t>
      </w:r>
    </w:p>
    <w:p>
      <w:pPr>
        <w:pStyle w:val="Normal"/>
        <w:spacing w:lineRule="auto" w:line="276" w:before="0" w:after="80"/>
        <w:ind w:firstLine="288"/>
        <w:jc w:val="both"/>
        <w:rPr/>
      </w:pPr>
      <w:r>
        <w:rPr>
          <w:sz w:val="20"/>
        </w:rPr>
        <w:t>The system is triggered by a Webhook node that listens for HTTP POST requests coming from an external source or a user interface. The CSV file uploaded to the system as input is parsed on n8n and converted to JSON format. At this stage, the data types are checked and erroneous records are cleaned.</w:t>
      </w:r>
    </w:p>
    <w:p>
      <w:pPr>
        <w:pStyle w:val="Normal"/>
        <w:keepNext w:val="true"/>
        <w:spacing w:before="280" w:after="80"/>
        <w:jc w:val="start"/>
        <w:rPr/>
      </w:pPr>
      <w:r>
        <w:rPr>
          <w:b/>
          <w:i/>
          <w:sz w:val="20"/>
        </w:rPr>
        <w:t>B. Database Architecture and PostgreSQL Integration</w:t>
      </w:r>
    </w:p>
    <w:p>
      <w:pPr>
        <w:pStyle w:val="Normal"/>
        <w:spacing w:lineRule="auto" w:line="276" w:before="0" w:after="80"/>
        <w:ind w:firstLine="288"/>
        <w:jc w:val="both"/>
        <w:rPr/>
      </w:pPr>
      <w:r>
        <w:rPr>
          <w:sz w:val="20"/>
        </w:rPr>
        <w:t>A relational database model has been adopted in the database layer, which forms the core of the system. The lower branch on n8n autonomously inserts the parsed data into pre-defined tables in the PostgreSQL database. The core table schema used in the project is designed to track financial performance and category-based sales.</w:t>
      </w:r>
    </w:p>
    <w:p>
      <w:pPr>
        <w:pStyle w:val="Normal"/>
        <w:spacing w:lineRule="auto" w:line="276" w:before="0" w:after="80"/>
        <w:jc w:val="both"/>
        <w:rPr/>
      </w:pPr>
      <w:r>
        <w:rPr>
          <w:sz w:val="20"/>
        </w:rPr>
        <w:t>Data integrity rules (Constraints) were strictly applied during the table design. While primary keys ensure uniqueness, constraints preventing negative value entries were added for numerical fields.</w:t>
      </w:r>
    </w:p>
    <w:p>
      <w:pPr>
        <w:pStyle w:val="Normal"/>
        <w:spacing w:before="160" w:after="80"/>
        <w:jc w:val="center"/>
        <w:rPr/>
      </w:pPr>
      <w:r>
        <w:rPr>
          <w:i/>
          <w:sz w:val="17"/>
        </w:rPr>
        <w:t>Table I. Sample System Output Financial Data Structure</w:t>
      </w:r>
    </w:p>
    <w:tbl>
      <w:tblPr>
        <w:tblW w:w="936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340"/>
        <w:gridCol w:w="2340"/>
        <w:gridCol w:w="2340"/>
        <w:gridCol w:w="2340"/>
      </w:tblGrid>
      <w:tr>
        <w:trPr/>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b/>
                <w:sz w:val="17"/>
              </w:rPr>
              <w:t>Category</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b/>
                <w:sz w:val="17"/>
              </w:rPr>
              <w:t>Quantity</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b/>
                <w:sz w:val="17"/>
              </w:rPr>
              <w:t>Revenue (TRY)</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b/>
                <w:sz w:val="17"/>
              </w:rPr>
              <w:t>Profit Margin</w:t>
            </w:r>
          </w:p>
        </w:tc>
      </w:tr>
      <w:tr>
        <w:trPr/>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Furniture</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1.245</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450.000</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%22</w:t>
            </w:r>
          </w:p>
        </w:tc>
      </w:tr>
      <w:tr>
        <w:trPr/>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Baby</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3.120</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185.000</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%35</w:t>
            </w:r>
          </w:p>
        </w:tc>
      </w:tr>
      <w:tr>
        <w:trPr/>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Hardware Store</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890</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290.000</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%18</w:t>
            </w:r>
          </w:p>
        </w:tc>
      </w:tr>
      <w:tr>
        <w:trPr/>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Electronics</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560</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720.000</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%15</w:t>
            </w:r>
          </w:p>
        </w:tc>
      </w:tr>
    </w:tbl>
    <w:p>
      <w:pPr>
        <w:pStyle w:val="Normal"/>
        <w:spacing w:before="80" w:after="200"/>
        <w:rPr/>
      </w:pPr>
      <w:r>
        <w:rPr/>
      </w:r>
    </w:p>
    <w:p>
      <w:pPr>
        <w:pStyle w:val="Normal"/>
        <w:spacing w:lineRule="auto" w:line="276" w:before="0" w:after="80"/>
        <w:jc w:val="both"/>
        <w:rPr/>
      </w:pPr>
      <w:r>
        <w:rPr>
          <w:b/>
          <w:sz w:val="20"/>
        </w:rPr>
        <w:t>C. AI Analysis and Reporting Layer</w:t>
      </w:r>
    </w:p>
    <w:p>
      <w:pPr>
        <w:pStyle w:val="Normal"/>
        <w:spacing w:lineRule="auto" w:line="276" w:before="0" w:after="80"/>
        <w:ind w:firstLine="288"/>
        <w:jc w:val="both"/>
        <w:rPr/>
      </w:pPr>
      <w:r>
        <w:rPr>
          <w:sz w:val="20"/>
        </w:rPr>
        <w:t>The upper branch in the visual architecture operates concurrently or in a triggered manner with the database. SQL aggregation queries (SUM, AVG, COUNT) are executed over PostgreSQL via the `executeQuery` node, converting raw data into summary statistics. This refined dataset is then sent to the Artificial Intelligence (LLM) node integrated into the system. The AI analyzes financial trends and prepares an executive summary containing strategic decisions. In the final stage, this text is converted into a corporate report using the PDF converter component.</w:t>
      </w:r>
    </w:p>
    <w:p>
      <w:pPr>
        <w:pStyle w:val="Normal"/>
        <w:keepNext w:val="true"/>
        <w:spacing w:before="280" w:after="80"/>
        <w:jc w:val="center"/>
        <w:rPr/>
      </w:pPr>
      <w:r>
        <w:rPr>
          <w:b/>
          <w:sz w:val="22"/>
        </w:rPr>
        <w:t>III. CHALLENGES ENCOUNTERED AND SOLUTIONS</w:t>
      </w:r>
    </w:p>
    <w:p>
      <w:pPr>
        <w:pStyle w:val="Normal"/>
        <w:spacing w:before="0" w:after="80"/>
        <w:jc w:val="both"/>
        <w:rPr/>
      </w:pPr>
      <w:r>
        <w:rPr>
          <w:b/>
          <w:sz w:val="20"/>
        </w:rPr>
        <w:t xml:space="preserve">1) Synchronization Issue in Large Data Inputs: </w:t>
      </w:r>
      <w:r>
        <w:rPr>
          <w:sz w:val="20"/>
        </w:rPr>
        <w:t>When CSV files with a high number of rows were uploaded to the system, the AI layer attempting to query before the database write operation (Insert) was completed led to data deficiencies. This issue was resolved by using "Wait / Delay" nodes on n8n and waiting for the database transaction commit signal.</w:t>
      </w:r>
    </w:p>
    <w:p>
      <w:pPr>
        <w:pStyle w:val="Normal"/>
        <w:spacing w:before="0" w:after="80"/>
        <w:jc w:val="both"/>
        <w:rPr/>
      </w:pPr>
      <w:r>
        <w:rPr>
          <w:b/>
          <w:sz w:val="20"/>
        </w:rPr>
        <w:t xml:space="preserve">2) AI API Limits and Connection Drops: </w:t>
      </w:r>
      <w:r>
        <w:rPr>
          <w:sz w:val="20"/>
        </w:rPr>
        <w:t>Timeout errors were observed in intensive requests sent to cloud-based LLM APIs. To overcome the issue, a "Retry on Failure" mechanism was incorporated into the automation architecture. As a result, failed requests are automatically retried 3 times at 5-second intervals.</w:t>
      </w:r>
    </w:p>
    <w:p>
      <w:pPr>
        <w:pStyle w:val="Normal"/>
        <w:keepNext w:val="true"/>
        <w:spacing w:before="280" w:after="80"/>
        <w:jc w:val="center"/>
        <w:rPr/>
      </w:pPr>
      <w:r>
        <w:rPr>
          <w:b/>
          <w:sz w:val="22"/>
        </w:rPr>
        <w:t>IV. CONCLUSION AND FUTURE WORK</w:t>
      </w:r>
    </w:p>
    <w:p>
      <w:pPr>
        <w:pStyle w:val="Normal"/>
        <w:spacing w:lineRule="auto" w:line="276" w:before="0" w:after="80"/>
        <w:ind w:firstLine="288"/>
        <w:jc w:val="both"/>
        <w:rPr/>
      </w:pPr>
      <w:r>
        <w:rPr>
          <w:sz w:val="20"/>
        </w:rPr>
        <w:t>Within the scope of this study, CSV analysis and reporting processes that were managed through manual labor have been fully automated using an autonomous AI data pipeline architecture based on n8n and PostgreSQL. The system minimizes human error and significantly increases operational speed. In future work, it is planned to integrate Apache Kafka to provide real-time data streaming to the system and to deploy open-source local LLM models (Ollama/Llama3) for local resource security.</w:t>
      </w:r>
    </w:p>
    <w:p>
      <w:pPr>
        <w:pStyle w:val="Normal"/>
        <w:keepNext w:val="true"/>
        <w:spacing w:before="280" w:after="80"/>
        <w:jc w:val="center"/>
        <w:rPr/>
      </w:pPr>
      <w:r>
        <w:rPr>
          <w:b/>
          <w:sz w:val="22"/>
        </w:rPr>
        <w:t>REFERENCES</w:t>
      </w:r>
    </w:p>
    <w:p>
      <w:pPr>
        <w:pStyle w:val="Normal"/>
        <w:spacing w:before="0" w:after="60"/>
        <w:ind w:hanging="288" w:start="288"/>
        <w:jc w:val="both"/>
        <w:rPr>
          <w:sz w:val="20"/>
          <w:szCs w:val="20"/>
        </w:rPr>
      </w:pPr>
      <w:r>
        <w:rPr>
          <w:sz w:val="20"/>
          <w:szCs w:val="20"/>
        </w:rPr>
        <w:t xml:space="preserve">[1] </w:t>
      </w:r>
      <w:r>
        <w:rPr>
          <w:rFonts w:ascii="Times New Roman" w:hAnsi="Times New Roman"/>
          <w:b w:val="false"/>
          <w:i w:val="false"/>
          <w:caps w:val="false"/>
          <w:smallCaps w:val="false"/>
          <w:color w:val="222222"/>
          <w:spacing w:val="0"/>
          <w:sz w:val="20"/>
          <w:szCs w:val="20"/>
        </w:rPr>
        <w:t>KACIR, Ümit, Sadullah ÇELİK, and Yasemin TEKİNKAYA KACIR. "Digital Transformation in Corporate Governance: Data Science Applications with Python."</w:t>
      </w:r>
      <w:r>
        <w:rPr>
          <w:rFonts w:ascii="Times New Roman" w:hAnsi="Times New Roman"/>
          <w:sz w:val="20"/>
          <w:szCs w:val="20"/>
        </w:rPr>
        <w:t xml:space="preserve"> </w:t>
      </w:r>
    </w:p>
    <w:p>
      <w:pPr>
        <w:pStyle w:val="Normal"/>
        <w:spacing w:before="0" w:after="60"/>
        <w:ind w:hanging="288" w:start="288"/>
        <w:jc w:val="both"/>
        <w:rPr/>
      </w:pPr>
      <w:r>
        <w:rPr>
          <w:sz w:val="20"/>
          <w:szCs w:val="20"/>
        </w:rPr>
        <w:t>[2]</w:t>
      </w:r>
      <w:r>
        <w:rPr>
          <w:sz w:val="17"/>
        </w:rPr>
        <w:t xml:space="preserve"> </w:t>
      </w:r>
      <w:r>
        <w:rPr>
          <w:rFonts w:ascii="Times New Roman" w:hAnsi="Times New Roman"/>
          <w:b w:val="false"/>
          <w:i w:val="false"/>
          <w:caps w:val="false"/>
          <w:smallCaps w:val="false"/>
          <w:color w:val="222222"/>
          <w:spacing w:val="0"/>
          <w:sz w:val="20"/>
          <w:szCs w:val="20"/>
        </w:rPr>
        <w:t>ERDOĞAN, Esra Ezgi, and Murat GEZER. "22nd ACADEMIC COMPUTING CONFERENCE PROCEEDINGS ABSTRACTS."</w:t>
      </w:r>
      <w:r>
        <w:rPr>
          <w:rFonts w:ascii="Times New Roman" w:hAnsi="Times New Roman"/>
          <w:sz w:val="20"/>
          <w:szCs w:val="20"/>
        </w:rPr>
        <w:t xml:space="preserve"> </w:t>
      </w:r>
    </w:p>
    <w:p>
      <w:pPr>
        <w:pStyle w:val="Normal"/>
        <w:spacing w:before="0" w:after="60"/>
        <w:ind w:hanging="288" w:start="288"/>
        <w:jc w:val="both"/>
        <w:rPr/>
      </w:pPr>
      <w:r>
        <w:rPr>
          <w:sz w:val="20"/>
          <w:szCs w:val="20"/>
        </w:rPr>
        <w:t>[3]</w:t>
      </w:r>
      <w:r>
        <w:rPr>
          <w:rFonts w:ascii="Times New Roman" w:hAnsi="Times New Roman"/>
          <w:b w:val="false"/>
          <w:i w:val="false"/>
          <w:caps w:val="false"/>
          <w:smallCaps w:val="false"/>
          <w:color w:val="222222"/>
          <w:spacing w:val="0"/>
          <w:sz w:val="20"/>
          <w:szCs w:val="20"/>
        </w:rPr>
        <w:t>Kılıç, Mustafa Alp Eren. </w:t>
      </w:r>
      <w:r>
        <w:rPr>
          <w:rFonts w:ascii="Times New Roman" w:hAnsi="Times New Roman"/>
          <w:b w:val="false"/>
          <w:i/>
          <w:color w:val="222222"/>
          <w:spacing w:val="0"/>
          <w:sz w:val="20"/>
          <w:szCs w:val="20"/>
        </w:rPr>
        <w:t>Improving Current Software Processes with Artificial Intelligence Approaches</w:t>
      </w:r>
      <w:r>
        <w:rPr>
          <w:rFonts w:ascii="Times New Roman" w:hAnsi="Times New Roman"/>
          <w:b w:val="false"/>
          <w:i w:val="false"/>
          <w:caps w:val="false"/>
          <w:smallCaps w:val="false"/>
          <w:color w:val="222222"/>
          <w:spacing w:val="0"/>
          <w:sz w:val="20"/>
          <w:szCs w:val="20"/>
        </w:rPr>
        <w:t>. MS thesis. Sakarya University (Turkey), 2024.</w:t>
      </w:r>
      <w:r>
        <w:rPr>
          <w:rFonts w:ascii="Times New Roman" w:hAnsi="Times New Roman"/>
          <w:sz w:val="20"/>
          <w:szCs w:val="20"/>
        </w:rPr>
        <w:t xml:space="preserve"> </w:t>
      </w:r>
    </w:p>
    <w:p>
      <w:pPr>
        <w:pStyle w:val="Normal"/>
        <w:spacing w:before="0" w:after="60"/>
        <w:ind w:hanging="288" w:start="288"/>
        <w:jc w:val="both"/>
        <w:rPr/>
      </w:pPr>
      <w:r>
        <w:rPr>
          <w:sz w:val="20"/>
          <w:szCs w:val="20"/>
        </w:rPr>
        <w:t xml:space="preserve">[4] J. Zhou, X. Sun, and L. Wang, "Automated data analysis and report generation pipeline using Large Language Models," in </w:t>
      </w:r>
      <w:r>
        <w:rPr>
          <w:i/>
          <w:sz w:val="20"/>
          <w:szCs w:val="20"/>
        </w:rPr>
        <w:t>IEEE International Conference on Big Data (BigData)</w:t>
      </w:r>
      <w:r>
        <w:rPr>
          <w:sz w:val="20"/>
          <w:szCs w:val="20"/>
        </w:rPr>
        <w:t xml:space="preserve">, 2024, pp. 1120–1129. </w:t>
      </w:r>
    </w:p>
    <w:p>
      <w:pPr>
        <w:pStyle w:val="Normal"/>
        <w:spacing w:before="0" w:after="60"/>
        <w:ind w:hanging="288" w:start="288"/>
        <w:jc w:val="both"/>
        <w:rPr/>
      </w:pPr>
      <w:r>
        <w:rPr>
          <w:sz w:val="20"/>
          <w:szCs w:val="20"/>
        </w:rPr>
        <w:t xml:space="preserve">[5] </w:t>
      </w:r>
      <w:r>
        <w:rPr/>
        <w:t xml:space="preserve">M. S. Rahman and A. Al-Naser, "Design of an end-to-end data pipeline for automated PDF reporting via LLMs," </w:t>
      </w:r>
      <w:r>
        <w:rPr>
          <w:i/>
        </w:rPr>
        <w:t>Journal of Systems and Software</w:t>
      </w:r>
      <w:r>
        <w:rPr/>
        <w:t xml:space="preserve">, vol. 198, p. 111604, 2024. </w:t>
      </w:r>
    </w:p>
    <w:p>
      <w:pPr>
        <w:pStyle w:val="Normal"/>
        <w:spacing w:before="0" w:after="60"/>
        <w:ind w:hanging="288" w:start="288"/>
        <w:jc w:val="both"/>
        <w:rPr/>
      </w:pPr>
      <w:r>
        <w:rPr/>
        <w:t xml:space="preserve">[6] T. Brown and K. Miller, "AI-Driven business intelligence: Automating tabular data insights with generative AI," </w:t>
      </w:r>
      <w:r>
        <w:rPr>
          <w:i/>
        </w:rPr>
        <w:t>IEEE Transactions on Knowledge and Data Engineering</w:t>
      </w:r>
      <w:r>
        <w:rPr/>
        <w:t xml:space="preserve">, vol. 36, no. 4, pp. 2105–2118, 2025. </w:t>
      </w:r>
    </w:p>
    <w:p>
      <w:pPr>
        <w:pStyle w:val="Normal"/>
        <w:spacing w:before="0" w:after="60"/>
        <w:ind w:hanging="288" w:start="288"/>
        <w:jc w:val="both"/>
        <w:rPr/>
      </w:pPr>
      <w:r>
        <w:rPr/>
        <w:t xml:space="preserve">[7] H. Zhang, L. Xu, and Y. Liu, "From CSV to insights: A framework for autonomous data analysis using retrieval-augmented generation," in </w:t>
      </w:r>
      <w:r>
        <w:rPr>
          <w:i/>
        </w:rPr>
        <w:t>Proceedings of the ACM SIGKDD International Conference on Knowledge Discovery and Data Mining</w:t>
      </w:r>
      <w:r>
        <w:rPr/>
        <w:t xml:space="preserve">, 2024, pp. 4301–4310. </w:t>
      </w:r>
    </w:p>
    <w:p>
      <w:pPr>
        <w:pStyle w:val="Normal"/>
        <w:spacing w:before="0" w:after="60"/>
        <w:ind w:hanging="288" w:start="288"/>
        <w:jc w:val="both"/>
        <w:rPr/>
      </w:pPr>
      <w:r>
        <w:rPr/>
        <w:t xml:space="preserve">[8] Y. Wang, C. Zhang, and J. Sun, "Table-GPT: Few-shot table-to-text generation with great schema understanding," </w:t>
      </w:r>
      <w:r>
        <w:rPr>
          <w:i/>
        </w:rPr>
        <w:t>IEEE Transactions on Pattern Analysis and Machine Intelligence</w:t>
      </w:r>
      <w:r>
        <w:rPr/>
        <w:t xml:space="preserve">, vol. 46, no. 2, pp. 984–997, 2024. </w:t>
      </w:r>
    </w:p>
    <w:p>
      <w:pPr>
        <w:pStyle w:val="Normal"/>
        <w:spacing w:before="0" w:after="60"/>
        <w:ind w:hanging="288" w:start="288"/>
        <w:jc w:val="both"/>
        <w:rPr/>
      </w:pPr>
      <w:r>
        <w:rPr/>
        <w:t xml:space="preserve">[9] X. Li and B. Liu, "Evaluating Large Language Models on tabular data analysis tasks," </w:t>
      </w:r>
      <w:r>
        <w:rPr>
          <w:i/>
        </w:rPr>
        <w:t>ACM Computing Surveys</w:t>
      </w:r>
      <w:r>
        <w:rPr/>
        <w:t xml:space="preserve">, vol. 56, no. 7, pp. 1–25, 2024. </w:t>
      </w:r>
    </w:p>
    <w:p>
      <w:pPr>
        <w:pStyle w:val="Normal"/>
        <w:spacing w:before="0" w:after="60"/>
        <w:ind w:hanging="288" w:start="288"/>
        <w:jc w:val="both"/>
        <w:rPr/>
      </w:pPr>
      <w:r>
        <w:rPr/>
        <w:t xml:space="preserve">[10] R. S. Kumar and V. Sharma, "Automating spreadsheet analysis and data cleaning through LLM agents," in </w:t>
      </w:r>
      <w:r>
        <w:rPr>
          <w:i/>
        </w:rPr>
        <w:t>International Conference on Intelligent Data Engineering (IDE)</w:t>
      </w:r>
      <w:r>
        <w:rPr/>
        <w:t xml:space="preserve">, 2025, pp. 45–56. </w:t>
      </w:r>
    </w:p>
    <w:p>
      <w:pPr>
        <w:pStyle w:val="Normal"/>
        <w:spacing w:before="0" w:after="60"/>
        <w:ind w:hanging="288" w:start="288"/>
        <w:jc w:val="both"/>
        <w:rPr/>
      </w:pPr>
      <w:r>
        <w:rPr/>
        <w:t xml:space="preserve">[11] G. Müller and S. Schmidt, "Zero-shot tabular data understanding using transformer-based models," </w:t>
      </w:r>
      <w:r>
        <w:rPr>
          <w:i/>
        </w:rPr>
        <w:t>Data &amp; Knowledge Engineering</w:t>
      </w:r>
      <w:r>
        <w:rPr/>
        <w:t xml:space="preserve">, vol. 148, p. 102231, 2024. </w:t>
      </w:r>
    </w:p>
    <w:p>
      <w:pPr>
        <w:pStyle w:val="Normal"/>
        <w:spacing w:before="0" w:after="60"/>
        <w:ind w:hanging="288" w:start="288"/>
        <w:jc w:val="both"/>
        <w:rPr/>
      </w:pPr>
      <w:r>
        <w:rPr/>
        <w:t xml:space="preserve">[12] F. Garcia and M. Martinez, "Dynamic PDF report generation systems in enterprise architectures: A comparative study," </w:t>
      </w:r>
      <w:r>
        <w:rPr>
          <w:i/>
        </w:rPr>
        <w:t>Software: Practice and Experience</w:t>
      </w:r>
      <w:r>
        <w:rPr/>
        <w:t xml:space="preserve">, vol. 53, no. 8, pp. 1741–1759, 2023. </w:t>
        <w:br/>
        <w:br/>
      </w:r>
    </w:p>
    <w:p>
      <w:pPr>
        <w:pStyle w:val="Normal"/>
        <w:spacing w:before="0" w:after="60"/>
        <w:ind w:hanging="288" w:start="288"/>
        <w:jc w:val="both"/>
        <w:rPr/>
      </w:pPr>
      <w:r>
        <w:rPr/>
        <w:t xml:space="preserve">[13] A. Nguyen and T. Tran, "Automated generation of visual and textual analytical reports from relational databases," in </w:t>
      </w:r>
      <w:r>
        <w:rPr>
          <w:i/>
        </w:rPr>
        <w:t>IEEE International Conference on Data Engineering (ICDE)</w:t>
      </w:r>
      <w:r>
        <w:rPr/>
        <w:t xml:space="preserve">, 2024, pp. 889–898. </w:t>
      </w:r>
    </w:p>
    <w:p>
      <w:pPr>
        <w:pStyle w:val="Normal"/>
        <w:spacing w:before="0" w:after="60"/>
        <w:ind w:hanging="288" w:start="288"/>
        <w:jc w:val="both"/>
        <w:rPr/>
      </w:pPr>
      <w:r>
        <w:rPr/>
        <w:t xml:space="preserve">[14] P. Jones and L. Davies, "Open-source tools for automated document compilation from unstructured AI outputs," </w:t>
      </w:r>
      <w:r>
        <w:rPr>
          <w:i/>
        </w:rPr>
        <w:t>International Journal of Computer Applications</w:t>
      </w:r>
      <w:r>
        <w:rPr/>
        <w:t xml:space="preserve">, vol. 185, no. 14, pp. 32–39, 2023. </w:t>
      </w:r>
    </w:p>
    <w:p>
      <w:pPr>
        <w:pStyle w:val="Normal"/>
        <w:spacing w:before="0" w:after="60"/>
        <w:ind w:hanging="288" w:start="288"/>
        <w:jc w:val="both"/>
        <w:rPr/>
      </w:pPr>
      <w:r>
        <w:rPr/>
        <w:t xml:space="preserve">[15] M. Fowler and S. Lewis, "Scalable data ingestion and pipeline processing for real-time analytics," </w:t>
      </w:r>
      <w:r>
        <w:rPr>
          <w:i/>
        </w:rPr>
        <w:t>IEEE Cloud Computing</w:t>
      </w:r>
      <w:r>
        <w:rPr/>
        <w:t xml:space="preserve">, vol. 10, no. 3, pp. 44–52, 202 </w:t>
      </w:r>
    </w:p>
    <w:p>
      <w:pPr>
        <w:pStyle w:val="Normal"/>
        <w:spacing w:before="0" w:after="60"/>
        <w:ind w:hanging="288" w:start="288"/>
        <w:jc w:val="both"/>
        <w:rPr/>
      </w:pPr>
      <w:r>
        <w:rPr/>
        <w:t xml:space="preserve">[16] E. Alvarado and K. Smith, "Building robust ETL pipelines for machine learning applications," </w:t>
      </w:r>
      <w:r>
        <w:rPr>
          <w:i/>
        </w:rPr>
        <w:t>Journal of Big Data</w:t>
      </w:r>
      <w:r>
        <w:rPr/>
        <w:t xml:space="preserve">, vol. 11, no. 1, pp. 12–28, 2024. </w:t>
      </w:r>
    </w:p>
    <w:p>
      <w:pPr>
        <w:pStyle w:val="Normal"/>
        <w:spacing w:before="0" w:after="60"/>
        <w:ind w:hanging="288" w:start="288"/>
        <w:jc w:val="both"/>
        <w:rPr/>
      </w:pPr>
      <w:r>
        <w:rPr/>
        <w:t xml:space="preserve">[17] C. Park and H. Kim, "Automated data transformation pipelines: Architecture and implementation challenges," </w:t>
      </w:r>
      <w:r>
        <w:rPr>
          <w:i/>
        </w:rPr>
        <w:t>IEEE Access</w:t>
      </w:r>
      <w:r>
        <w:rPr/>
        <w:t xml:space="preserve">, vol. 12, pp. 34521–34533, 2024. </w:t>
      </w:r>
    </w:p>
    <w:p>
      <w:pPr>
        <w:pStyle w:val="Normal"/>
        <w:spacing w:before="0" w:after="60"/>
        <w:ind w:hanging="288" w:start="288"/>
        <w:jc w:val="both"/>
        <w:rPr/>
      </w:pPr>
      <w:r>
        <w:rPr/>
        <w:t xml:space="preserve">[18] L. White, Q. Zhou, and S. Enterprise, "Prompt engineering patterns for tabular data analytics and autonomous reporting," </w:t>
      </w:r>
      <w:r>
        <w:rPr>
          <w:i/>
        </w:rPr>
        <w:t>arXiv preprint arXiv:2401.05432</w:t>
      </w:r>
      <w:r>
        <w:rPr/>
        <w:t xml:space="preserve">, 2024. </w:t>
      </w:r>
    </w:p>
    <w:p>
      <w:pPr>
        <w:pStyle w:val="Normal"/>
        <w:spacing w:before="0" w:after="60"/>
        <w:ind w:hanging="288" w:start="288"/>
        <w:jc w:val="both"/>
        <w:rPr/>
      </w:pPr>
      <w:r>
        <w:rPr/>
        <w:t xml:space="preserve">[19] D. Jin and J. Cho, "AI Agents for data science: Autonomous execution of exploratory data analysis (EDA) workflows," </w:t>
      </w:r>
      <w:r>
        <w:rPr>
          <w:i/>
        </w:rPr>
        <w:t>Expert Systems with Applications</w:t>
      </w:r>
      <w:r>
        <w:rPr/>
        <w:t xml:space="preserve">, vol. 242, p. 122810, 2024. </w:t>
      </w:r>
    </w:p>
    <w:p>
      <w:pPr>
        <w:pStyle w:val="Normal"/>
        <w:spacing w:before="0" w:after="60"/>
        <w:ind w:hanging="288" w:start="288"/>
        <w:jc w:val="both"/>
        <w:rPr/>
      </w:pPr>
      <w:r>
        <w:rPr/>
        <w:t xml:space="preserve">[20] T. Robert and P. Clark, "LangChain and LlamaIndex for enterprise data pipelines: A review," </w:t>
      </w:r>
      <w:r>
        <w:rPr>
          <w:i/>
        </w:rPr>
        <w:t>International Journal of Artificial Intelligence &amp; Applications</w:t>
      </w:r>
      <w:r>
        <w:rPr/>
        <w:t xml:space="preserve">, vol. 15, no. 2, pp. 77–89, 2024. </w:t>
      </w:r>
    </w:p>
    <w:sectPr>
      <w:type w:val="continuous"/>
      <w:pgSz w:w="12240" w:h="15840"/>
      <w:pgMar w:left="1440" w:right="1440" w:gutter="0" w:header="0" w:top="1440" w:footer="0" w:bottom="1440"/>
      <w:cols w:num="2" w:space="720"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Cambria">
    <w:charset w:val="a2" w:characterSet="windows-1254"/>
    <w:family w:val="roman"/>
    <w:pitch w:val="variable"/>
  </w:font>
  <w:font w:name="Times New Roman">
    <w:charset w:val="a2" w:characterSet="windows-1254"/>
    <w:family w:val="roman"/>
    <w:pitch w:val="variable"/>
  </w:font>
  <w:font w:name="Calibri">
    <w:charset w:val="a2" w:characterSet="windows-1254"/>
    <w:family w:val="roman"/>
    <w:pitch w:val="variable"/>
  </w:font>
  <w:font w:name="Courier">
    <w:altName w:val="Courier New"/>
    <w:charset w:val="a2" w:characterSet="windows-1254"/>
    <w:family w:val="roman"/>
    <w:pitch w:val="variable"/>
  </w:font>
  <w:font w:name="Liberation Sans">
    <w:altName w:val="Arial"/>
    <w:charset w:val="a2" w:characterSet="windows-1254"/>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Balk">
    <w:name w:val="Başlı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Dizin">
    <w:name w:val="Dizin"/>
    <w:basedOn w:val="Normal"/>
    <w:qFormat/>
    <w:pPr>
      <w:suppressLineNumbers/>
    </w:pPr>
    <w:rPr>
      <w:rFonts w:cs="Lucida Sans"/>
    </w:rPr>
  </w:style>
  <w:style w:type="paragraph" w:styleId="stBilgiveAltBilgi">
    <w:name w:val="Üst Bilgi ve Alt Bilgi"/>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Balk"/>
    <w:pPr/>
    <w:rPr/>
  </w:style>
  <w:style w:type="paragraph" w:styleId="TOCHeading">
    <w:name w:val="TOC Heading"/>
    <w:basedOn w:val="Heading1"/>
    <w:next w:val="Normal"/>
    <w:uiPriority w:val="39"/>
    <w:semiHidden/>
    <w:unhideWhenUsed/>
    <w:qFormat/>
    <w:rsid w:val="00fc693f"/>
    <w:pPr>
      <w:outlineLvl w:val="9"/>
    </w:pPr>
    <w:rPr/>
  </w:style>
  <w:style w:type="numbering" w:styleId="ListeYok" w:default="1">
    <w:name w:val="Liste Yok"/>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LibreOffice/26.2.3.2$Windows_X86_64 LibreOffice_project/70e089b17412e4cb7773e41413306b17a2328c34</Application>
  <AppVersion>15.0000</AppVersion>
  <Pages>3</Pages>
  <Words>1344</Words>
  <Characters>8765</Characters>
  <CharactersWithSpaces>10054</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tr-TR</dc:language>
  <cp:lastModifiedBy/>
  <dcterms:modified xsi:type="dcterms:W3CDTF">2026-05-31T12:09:02Z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