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rial" w:hAnsi="Arial"/>
          <w:b/>
          <w:color w:val="1F497D"/>
          <w:sz w:val="44"/>
        </w:rPr>
        <w:t>TIERI v. KHO ET AL.</w:t>
      </w:r>
    </w:p>
    <w:p>
      <w:pPr>
        <w:jc w:val="center"/>
      </w:pPr>
      <w:r>
        <w:rPr>
          <w:rFonts w:ascii="Arial" w:hAnsi="Arial"/>
          <w:color w:val="404040"/>
          <w:sz w:val="24"/>
        </w:rPr>
        <w:t>MON-C-115-24 | Monmouth County Chancery Division</w:t>
      </w:r>
    </w:p>
    <w:p/>
    <w:p>
      <w:pPr>
        <w:pBdr>
          <w:bottom w:val="single" w:sz="6" w:space="1" w:color="1F497D"/>
        </w:pBdr>
      </w:pPr>
    </w:p>
    <w:p/>
    <w:p>
      <w:pPr>
        <w:jc w:val="center"/>
      </w:pPr>
      <w:r>
        <w:rPr>
          <w:rFonts w:ascii="Arial" w:hAnsi="Arial"/>
          <w:b/>
          <w:color w:val="2E74B5"/>
          <w:sz w:val="28"/>
        </w:rPr>
        <w:t>COMPREHENSIVE LEGAL ANALYSIS</w:t>
      </w:r>
    </w:p>
    <w:p>
      <w:pPr>
        <w:jc w:val="center"/>
      </w:pPr>
      <w:r>
        <w:rPr>
          <w:rFonts w:ascii="Arial" w:hAnsi="Arial"/>
          <w:sz w:val="22"/>
        </w:rPr>
        <w:t>May 22 Hearing | Trial | Likely Outcomes | Strategic Recommendations</w:t>
      </w:r>
    </w:p>
    <w:p/>
    <w:p>
      <w:pPr>
        <w:jc w:val="center"/>
      </w:pPr>
      <w:r>
        <w:rPr>
          <w:rFonts w:ascii="Arial" w:hAnsi="Arial"/>
          <w:color w:val="606060"/>
          <w:sz w:val="20"/>
        </w:rPr>
        <w:t>Prepared: May 5, 2026</w:t>
      </w:r>
    </w:p>
    <w:p>
      <w:r>
        <w:br w:type="page"/>
      </w:r>
    </w:p>
    <w:p>
      <w:pPr>
        <w:pStyle w:val="Heading1"/>
      </w:pPr>
      <w:r>
        <w:t>I. EXECUTIVE SUMMARY</w:t>
      </w:r>
    </w:p>
    <w:p>
      <w:pPr>
        <w:pStyle w:val="BodyText"/>
      </w:pPr>
      <w:r>
        <w:t>This report analyzes the complete record in Tieri v. Kho et al., MON-C-115-24, a Chancery Division easement and flooding dispute pending before Judge Mara Zazzali-Hogan in Monmouth County. The analysis covers all 23 filings (Documents 0-22) from inception through the most recent correspondence filed May 5, 2026, and provides projections for the May 22, 2026 summary judgment hearing, the July 21, 2026 trial, and likely final outcomes.</w:t>
      </w:r>
    </w:p>
    <w:p>
      <w:pPr>
        <w:pStyle w:val="BodyText"/>
      </w:pPr>
      <w:r>
        <w:t>Bottom-line assessment: The defense is in a moderately strong position heading into May 22. The Kho defendants will likely obtain summary judgment dismissing the trailer-launching claim and the 40-year non-use portions of the easement claims. However, the stairs-adequacy question, the flooding counts, and the Borough-ownership issue will survive to trial. The failed April 2025 settlement — in which both sides signed a stipulation agreeing the current stairs were insufficient and that an access gate was needed — is the single most damaging fact for the defense going into trial on the easement counts. The Borough's clean exit from the case has been substantially complicated by Guadagno's May 4, 2026 letter brief presenting an overwhelming three-point implied dedication argument supported by the Borough's own 2017 Municipal Public Access Plan.</w:t>
      </w:r>
    </w:p>
    <w:p>
      <w:pPr>
        <w:pStyle w:val="BodyText"/>
      </w:pPr>
      <w:r>
        <w:t>The trial will be a bench trial before Judge Zazzali-Hogan. The flooding counts are the most significant financial exposure. The easement counts, if they survive, will require the court to resolve a genuine factual dispute about pre-construction site conditions that neither side has fully established through admissible evidence.</w:t>
      </w:r>
    </w:p>
    <w:p/>
    <w:p>
      <w:pPr>
        <w:pStyle w:val="Heading1"/>
      </w:pPr>
      <w:r>
        <w:t>II. PARTIES AND COUNSEL</w:t>
      </w:r>
    </w:p>
    <w:tbl>
      <w:tblPr>
        <w:tblStyle w:val="TableGrid"/>
        <w:tblW w:type="auto" w:w="0"/>
        <w:tblLayout w:type="fixed"/>
        <w:tblLook w:firstColumn="1" w:firstRow="1" w:lastColumn="0" w:lastRow="0" w:noHBand="0" w:noVBand="1" w:val="04A0"/>
      </w:tblPr>
      <w:tblGrid>
        <w:gridCol w:w="2304"/>
        <w:gridCol w:w="3312"/>
        <w:gridCol w:w="3600"/>
      </w:tblGrid>
      <w:tr>
        <w:tc>
          <w:tcPr>
            <w:tcW w:type="dxa" w:w="3120"/>
            <w:shd w:val="clear" w:color="auto" w:fill="D5E8F0"/>
          </w:tcPr>
          <w:p>
            <w:r>
              <w:rPr>
                <w:rFonts w:ascii="Arial" w:hAnsi="Arial"/>
                <w:b/>
                <w:sz w:val="19"/>
              </w:rPr>
              <w:t>Party</w:t>
            </w:r>
          </w:p>
        </w:tc>
        <w:tc>
          <w:tcPr>
            <w:tcW w:type="dxa" w:w="3120"/>
            <w:shd w:val="clear" w:color="auto" w:fill="D5E8F0"/>
          </w:tcPr>
          <w:p>
            <w:r>
              <w:rPr>
                <w:rFonts w:ascii="Arial" w:hAnsi="Arial"/>
                <w:b/>
                <w:sz w:val="19"/>
              </w:rPr>
              <w:t>Property / Role</w:t>
            </w:r>
          </w:p>
        </w:tc>
        <w:tc>
          <w:tcPr>
            <w:tcW w:type="dxa" w:w="3120"/>
            <w:shd w:val="clear" w:color="auto" w:fill="D5E8F0"/>
          </w:tcPr>
          <w:p>
            <w:r>
              <w:rPr>
                <w:rFonts w:ascii="Arial" w:hAnsi="Arial"/>
                <w:b/>
                <w:sz w:val="19"/>
              </w:rPr>
              <w:t>Counsel</w:t>
            </w:r>
          </w:p>
        </w:tc>
      </w:tr>
      <w:tr>
        <w:tc>
          <w:tcPr>
            <w:tcW w:type="dxa" w:w="2304"/>
          </w:tcPr>
          <w:p>
            <w:r>
              <w:rPr>
                <w:rFonts w:ascii="Arial" w:hAnsi="Arial"/>
                <w:sz w:val="19"/>
              </w:rPr>
              <w:t>Faith G. Tieri (Plaintiff)</w:t>
            </w:r>
          </w:p>
        </w:tc>
        <w:tc>
          <w:tcPr>
            <w:tcW w:type="dxa" w:w="3312"/>
          </w:tcPr>
          <w:p>
            <w:r>
              <w:rPr>
                <w:rFonts w:ascii="Arial" w:hAnsi="Arial"/>
                <w:sz w:val="19"/>
              </w:rPr>
              <w:t>15 Riverview Road, Block 2, Lots 18 &amp; 2.01. Easement holder since 1964 through family chain of title.</w:t>
            </w:r>
          </w:p>
        </w:tc>
        <w:tc>
          <w:tcPr>
            <w:tcW w:type="dxa" w:w="3600"/>
          </w:tcPr>
          <w:p>
            <w:r>
              <w:rPr>
                <w:rFonts w:ascii="Arial" w:hAnsi="Arial"/>
                <w:sz w:val="19"/>
              </w:rPr>
              <w:t>Alan L. Poliner, Esq. / Davison, Eastman, Munoz, Paone, P.A.</w:t>
            </w:r>
          </w:p>
        </w:tc>
      </w:tr>
      <w:tr>
        <w:tc>
          <w:tcPr>
            <w:tcW w:type="dxa" w:w="2304"/>
          </w:tcPr>
          <w:p>
            <w:r>
              <w:rPr>
                <w:rFonts w:ascii="Arial" w:hAnsi="Arial"/>
                <w:sz w:val="19"/>
              </w:rPr>
              <w:t>David Kho &amp; Chi Hsu-Kho (Defendants)</w:t>
            </w:r>
          </w:p>
        </w:tc>
        <w:tc>
          <w:tcPr>
            <w:tcW w:type="dxa" w:w="3312"/>
          </w:tcPr>
          <w:p>
            <w:r>
              <w:rPr>
                <w:rFonts w:ascii="Arial" w:hAnsi="Arial"/>
                <w:sz w:val="19"/>
              </w:rPr>
              <w:t>19 Riverview Road, Block 2, Lots 1, 1.01, 19 (purchased 2022) and Lot 20 (purchased 2023). Owners of easement servient estate.</w:t>
            </w:r>
          </w:p>
        </w:tc>
        <w:tc>
          <w:tcPr>
            <w:tcW w:type="dxa" w:w="3600"/>
          </w:tcPr>
          <w:p>
            <w:r>
              <w:rPr>
                <w:rFonts w:ascii="Arial" w:hAnsi="Arial"/>
                <w:sz w:val="19"/>
              </w:rPr>
              <w:t>Kimberly M. Guadagno, Esq. / Connell Foley LLP</w:t>
            </w:r>
          </w:p>
        </w:tc>
      </w:tr>
      <w:tr>
        <w:tc>
          <w:tcPr>
            <w:tcW w:type="dxa" w:w="2304"/>
          </w:tcPr>
          <w:p>
            <w:r>
              <w:rPr>
                <w:rFonts w:ascii="Arial" w:hAnsi="Arial"/>
                <w:sz w:val="19"/>
              </w:rPr>
              <w:t>Twin Rivers Marine Construction, LLC (Defendant)</w:t>
            </w:r>
          </w:p>
        </w:tc>
        <w:tc>
          <w:tcPr>
            <w:tcW w:type="dxa" w:w="3312"/>
          </w:tcPr>
          <w:p>
            <w:r>
              <w:rPr>
                <w:rFonts w:ascii="Arial" w:hAnsi="Arial"/>
                <w:sz w:val="19"/>
              </w:rPr>
              <w:t>Contractor that built the bulkhead in August-September 2024.</w:t>
            </w:r>
          </w:p>
        </w:tc>
        <w:tc>
          <w:tcPr>
            <w:tcW w:type="dxa" w:w="3600"/>
          </w:tcPr>
          <w:p>
            <w:r>
              <w:rPr>
                <w:rFonts w:ascii="Arial" w:hAnsi="Arial"/>
                <w:sz w:val="19"/>
              </w:rPr>
              <w:t>Connell Foley LLP (same as Khos)</w:t>
            </w:r>
          </w:p>
        </w:tc>
      </w:tr>
      <w:tr>
        <w:tc>
          <w:tcPr>
            <w:tcW w:type="dxa" w:w="2304"/>
          </w:tcPr>
          <w:p>
            <w:r>
              <w:rPr>
                <w:rFonts w:ascii="Arial" w:hAnsi="Arial"/>
                <w:sz w:val="19"/>
              </w:rPr>
              <w:t>Borough of Monmouth Beach (Defendant)</w:t>
            </w:r>
          </w:p>
        </w:tc>
        <w:tc>
          <w:tcPr>
            <w:tcW w:type="dxa" w:w="3312"/>
          </w:tcPr>
          <w:p>
            <w:r>
              <w:rPr>
                <w:rFonts w:ascii="Arial" w:hAnsi="Arial"/>
                <w:sz w:val="19"/>
              </w:rPr>
              <w:t>Municipality. Added as defendant Feb 2025 based on Kho claim that red-area bulkhead section belongs to Borough.</w:t>
            </w:r>
          </w:p>
        </w:tc>
        <w:tc>
          <w:tcPr>
            <w:tcW w:type="dxa" w:w="3600"/>
          </w:tcPr>
          <w:p>
            <w:r>
              <w:rPr>
                <w:rFonts w:ascii="Arial" w:hAnsi="Arial"/>
                <w:sz w:val="19"/>
              </w:rPr>
              <w:t>Bruce W. Padula, Esq. / Padula Law Group, LLC</w:t>
            </w:r>
          </w:p>
        </w:tc>
      </w:tr>
    </w:tbl>
    <w:p/>
    <w:p>
      <w:pPr>
        <w:pStyle w:val="BodyText"/>
      </w:pPr>
      <w:r>
        <w:t>Note on counsel changes: Connell Foley LLP has remained defense counsel throughout, though individual attorneys have changed. Jeffrey D. Cheney substituted in January 2026; Meredith Sarah Rubin filed the April 28, 2026 cross-motion papers; Kimberly Guadagno personally signed the May 4, 2026 letter brief on Borough ownership — indicating the firm's senior partner is personally invested in that argument.</w:t>
      </w:r>
    </w:p>
    <w:p>
      <w:r>
        <w:br w:type="page"/>
      </w:r>
    </w:p>
    <w:p>
      <w:pPr>
        <w:pStyle w:val="Heading1"/>
      </w:pPr>
      <w:r>
        <w:t>III. COMPLETE CASE TIMELINE</w:t>
      </w:r>
    </w:p>
    <w:tbl>
      <w:tblPr>
        <w:tblStyle w:val="TableGrid"/>
        <w:tblW w:type="auto" w:w="0"/>
        <w:tblLayout w:type="fixed"/>
        <w:tblLook w:firstColumn="1" w:firstRow="1" w:lastColumn="0" w:lastRow="0" w:noHBand="0" w:noVBand="1" w:val="04A0"/>
      </w:tblPr>
      <w:tblGrid>
        <w:gridCol w:w="1872"/>
        <w:gridCol w:w="7488"/>
      </w:tblGrid>
      <w:tr>
        <w:tc>
          <w:tcPr>
            <w:tcW w:type="dxa" w:w="4680"/>
            <w:shd w:val="clear" w:color="auto" w:fill="D5E8F0"/>
          </w:tcPr>
          <w:p>
            <w:r>
              <w:rPr>
                <w:rFonts w:ascii="Arial" w:hAnsi="Arial"/>
                <w:b/>
                <w:sz w:val="18"/>
              </w:rPr>
              <w:t>Date</w:t>
            </w:r>
          </w:p>
        </w:tc>
        <w:tc>
          <w:tcPr>
            <w:tcW w:type="dxa" w:w="4680"/>
            <w:shd w:val="clear" w:color="auto" w:fill="D5E8F0"/>
          </w:tcPr>
          <w:p>
            <w:r>
              <w:rPr>
                <w:rFonts w:ascii="Arial" w:hAnsi="Arial"/>
                <w:b/>
                <w:sz w:val="18"/>
              </w:rPr>
              <w:t>Event</w:t>
            </w:r>
          </w:p>
        </w:tc>
      </w:tr>
      <w:tr>
        <w:tc>
          <w:tcPr>
            <w:tcW w:type="dxa" w:w="1872"/>
          </w:tcPr>
          <w:p>
            <w:r>
              <w:rPr>
                <w:rFonts w:ascii="Arial" w:hAnsi="Arial"/>
                <w:b/>
                <w:sz w:val="17"/>
              </w:rPr>
              <w:t>2022</w:t>
            </w:r>
          </w:p>
        </w:tc>
        <w:tc>
          <w:tcPr>
            <w:tcW w:type="dxa" w:w="7488"/>
          </w:tcPr>
          <w:p>
            <w:r>
              <w:rPr>
                <w:rFonts w:ascii="Arial" w:hAnsi="Arial"/>
                <w:sz w:val="17"/>
              </w:rPr>
              <w:t>Plaintiff warns Kho (by letter to Grace Cottage LLC) and Borough/Mayor Stickle that proposed bulkhead would violate easement rights. Kho does not respond.</w:t>
            </w:r>
          </w:p>
        </w:tc>
      </w:tr>
      <w:tr>
        <w:tc>
          <w:tcPr>
            <w:tcW w:type="dxa" w:w="1872"/>
          </w:tcPr>
          <w:p>
            <w:r>
              <w:rPr>
                <w:rFonts w:ascii="Arial" w:hAnsi="Arial"/>
                <w:b/>
                <w:sz w:val="17"/>
              </w:rPr>
              <w:t>Jun 14, 2022</w:t>
            </w:r>
          </w:p>
        </w:tc>
        <w:tc>
          <w:tcPr>
            <w:tcW w:type="dxa" w:w="7488"/>
          </w:tcPr>
          <w:p>
            <w:r>
              <w:rPr>
                <w:rFonts w:ascii="Arial" w:hAnsi="Arial"/>
                <w:sz w:val="17"/>
              </w:rPr>
              <w:t>Poliner sends cease-and-desist letter to Kho defendants concerning planned bulkhead construction.</w:t>
            </w:r>
          </w:p>
        </w:tc>
      </w:tr>
      <w:tr>
        <w:tc>
          <w:tcPr>
            <w:tcW w:type="dxa" w:w="1872"/>
          </w:tcPr>
          <w:p>
            <w:r>
              <w:rPr>
                <w:rFonts w:ascii="Arial" w:hAnsi="Arial"/>
                <w:b/>
                <w:sz w:val="17"/>
              </w:rPr>
              <w:t>Aug–Sep 2024</w:t>
            </w:r>
          </w:p>
        </w:tc>
        <w:tc>
          <w:tcPr>
            <w:tcW w:type="dxa" w:w="7488"/>
          </w:tcPr>
          <w:p>
            <w:r>
              <w:rPr>
                <w:rFonts w:ascii="Arial" w:hAnsi="Arial"/>
                <w:sz w:val="17"/>
              </w:rPr>
              <w:t>Kho defendants, through Twin Rivers Marine Construction, build bulkhead on Lot 20. Construction completed in September 2024. Stairs added after lawsuit filed (not part of original plans).</w:t>
            </w:r>
          </w:p>
        </w:tc>
      </w:tr>
      <w:tr>
        <w:tc>
          <w:tcPr>
            <w:tcW w:type="dxa" w:w="1872"/>
          </w:tcPr>
          <w:p>
            <w:r>
              <w:rPr>
                <w:rFonts w:ascii="Arial" w:hAnsi="Arial"/>
                <w:b/>
                <w:sz w:val="17"/>
              </w:rPr>
              <w:t>Aug 21, 2024</w:t>
            </w:r>
          </w:p>
        </w:tc>
        <w:tc>
          <w:tcPr>
            <w:tcW w:type="dxa" w:w="7488"/>
          </w:tcPr>
          <w:p>
            <w:r>
              <w:rPr>
                <w:rFonts w:ascii="Arial" w:hAnsi="Arial"/>
                <w:sz w:val="17"/>
              </w:rPr>
              <w:t>Tieri files Complaint; simultaneously files Motion for Order to Show Cause (TRO) to halt construction.</w:t>
            </w:r>
          </w:p>
        </w:tc>
      </w:tr>
      <w:tr>
        <w:tc>
          <w:tcPr>
            <w:tcW w:type="dxa" w:w="1872"/>
          </w:tcPr>
          <w:p>
            <w:r>
              <w:rPr>
                <w:rFonts w:ascii="Arial" w:hAnsi="Arial"/>
                <w:b/>
                <w:sz w:val="17"/>
              </w:rPr>
              <w:t>Sep 23, 2024</w:t>
            </w:r>
          </w:p>
        </w:tc>
        <w:tc>
          <w:tcPr>
            <w:tcW w:type="dxa" w:w="7488"/>
          </w:tcPr>
          <w:p>
            <w:r>
              <w:rPr>
                <w:rFonts w:ascii="Arial" w:hAnsi="Arial"/>
                <w:sz w:val="17"/>
              </w:rPr>
              <w:t>Poliner withdraws TRO — construction already complete.</w:t>
            </w:r>
          </w:p>
        </w:tc>
      </w:tr>
      <w:tr>
        <w:tc>
          <w:tcPr>
            <w:tcW w:type="dxa" w:w="1872"/>
          </w:tcPr>
          <w:p>
            <w:r>
              <w:rPr>
                <w:rFonts w:ascii="Arial" w:hAnsi="Arial"/>
                <w:b/>
                <w:sz w:val="17"/>
              </w:rPr>
              <w:t>Sep 27, 2024</w:t>
            </w:r>
          </w:p>
        </w:tc>
        <w:tc>
          <w:tcPr>
            <w:tcW w:type="dxa" w:w="7488"/>
          </w:tcPr>
          <w:p>
            <w:r>
              <w:rPr>
                <w:rFonts w:ascii="Arial" w:hAnsi="Arial"/>
                <w:sz w:val="17"/>
              </w:rPr>
              <w:t>Kho defendants file Answer.</w:t>
            </w:r>
          </w:p>
        </w:tc>
      </w:tr>
      <w:tr>
        <w:tc>
          <w:tcPr>
            <w:tcW w:type="dxa" w:w="1872"/>
          </w:tcPr>
          <w:p>
            <w:r>
              <w:rPr>
                <w:rFonts w:ascii="Arial" w:hAnsi="Arial"/>
                <w:b/>
                <w:sz w:val="17"/>
              </w:rPr>
              <w:t>Oct 22, 2024</w:t>
            </w:r>
          </w:p>
        </w:tc>
        <w:tc>
          <w:tcPr>
            <w:tcW w:type="dxa" w:w="7488"/>
          </w:tcPr>
          <w:p>
            <w:r>
              <w:rPr>
                <w:rFonts w:ascii="Arial" w:hAnsi="Arial"/>
                <w:sz w:val="17"/>
              </w:rPr>
              <w:t>Case Management Conference completed.</w:t>
            </w:r>
          </w:p>
        </w:tc>
      </w:tr>
      <w:tr>
        <w:tc>
          <w:tcPr>
            <w:tcW w:type="dxa" w:w="1872"/>
          </w:tcPr>
          <w:p>
            <w:r>
              <w:rPr>
                <w:rFonts w:ascii="Arial" w:hAnsi="Arial"/>
                <w:b/>
                <w:sz w:val="17"/>
              </w:rPr>
              <w:t>Nov 21, 2024</w:t>
            </w:r>
          </w:p>
        </w:tc>
        <w:tc>
          <w:tcPr>
            <w:tcW w:type="dxa" w:w="7488"/>
          </w:tcPr>
          <w:p>
            <w:r>
              <w:rPr>
                <w:rFonts w:ascii="Arial" w:hAnsi="Arial"/>
                <w:sz w:val="17"/>
              </w:rPr>
              <w:t>Settlement Conference — NO APPEAR (at least one party absent).</w:t>
            </w:r>
          </w:p>
        </w:tc>
      </w:tr>
      <w:tr>
        <w:tc>
          <w:tcPr>
            <w:tcW w:type="dxa" w:w="1872"/>
          </w:tcPr>
          <w:p>
            <w:r>
              <w:rPr>
                <w:rFonts w:ascii="Arial" w:hAnsi="Arial"/>
                <w:b/>
                <w:sz w:val="17"/>
              </w:rPr>
              <w:t>Dec 3, 2024</w:t>
            </w:r>
          </w:p>
        </w:tc>
        <w:tc>
          <w:tcPr>
            <w:tcW w:type="dxa" w:w="7488"/>
          </w:tcPr>
          <w:p>
            <w:r>
              <w:rPr>
                <w:rFonts w:ascii="Arial" w:hAnsi="Arial"/>
                <w:sz w:val="17"/>
              </w:rPr>
              <w:t>In-person Settlement Conference before Judge Zazzali-Hogan — NOT SETTLED.</w:t>
            </w:r>
          </w:p>
        </w:tc>
      </w:tr>
      <w:tr>
        <w:tc>
          <w:tcPr>
            <w:tcW w:type="dxa" w:w="1872"/>
          </w:tcPr>
          <w:p>
            <w:r>
              <w:rPr>
                <w:rFonts w:ascii="Arial" w:hAnsi="Arial"/>
                <w:b/>
                <w:sz w:val="17"/>
              </w:rPr>
              <w:t>Dec 16, 2024</w:t>
            </w:r>
          </w:p>
        </w:tc>
        <w:tc>
          <w:tcPr>
            <w:tcW w:type="dxa" w:w="7488"/>
          </w:tcPr>
          <w:p>
            <w:r>
              <w:rPr>
                <w:rFonts w:ascii="Arial" w:hAnsi="Arial"/>
                <w:sz w:val="17"/>
              </w:rPr>
              <w:t>Consent Order entered.</w:t>
            </w:r>
          </w:p>
        </w:tc>
      </w:tr>
      <w:tr>
        <w:tc>
          <w:tcPr>
            <w:tcW w:type="dxa" w:w="1872"/>
          </w:tcPr>
          <w:p>
            <w:r>
              <w:rPr>
                <w:rFonts w:ascii="Arial" w:hAnsi="Arial"/>
                <w:b/>
                <w:sz w:val="17"/>
              </w:rPr>
              <w:t>Dec 17, 2024</w:t>
            </w:r>
          </w:p>
        </w:tc>
        <w:tc>
          <w:tcPr>
            <w:tcW w:type="dxa" w:w="7488"/>
          </w:tcPr>
          <w:p>
            <w:r>
              <w:rPr>
                <w:rFonts w:ascii="Arial" w:hAnsi="Arial"/>
                <w:sz w:val="17"/>
              </w:rPr>
              <w:t>First Amended Complaint filed (adds Borough as defendant based on Kho claim about ownership of red-area bulkhead section).</w:t>
            </w:r>
          </w:p>
        </w:tc>
      </w:tr>
      <w:tr>
        <w:tc>
          <w:tcPr>
            <w:tcW w:type="dxa" w:w="1872"/>
          </w:tcPr>
          <w:p>
            <w:r>
              <w:rPr>
                <w:rFonts w:ascii="Arial" w:hAnsi="Arial"/>
                <w:b/>
                <w:sz w:val="17"/>
              </w:rPr>
              <w:t>Jan 2025</w:t>
            </w:r>
          </w:p>
        </w:tc>
        <w:tc>
          <w:tcPr>
            <w:tcW w:type="dxa" w:w="7488"/>
          </w:tcPr>
          <w:p>
            <w:r>
              <w:rPr>
                <w:rFonts w:ascii="Arial" w:hAnsi="Arial"/>
                <w:sz w:val="17"/>
              </w:rPr>
              <w:t>Poliner attempts to enter default against Khos — withdrawn after Answer filed.</w:t>
            </w:r>
          </w:p>
        </w:tc>
      </w:tr>
      <w:tr>
        <w:tc>
          <w:tcPr>
            <w:tcW w:type="dxa" w:w="1872"/>
          </w:tcPr>
          <w:p>
            <w:r>
              <w:rPr>
                <w:rFonts w:ascii="Arial" w:hAnsi="Arial"/>
                <w:b/>
                <w:sz w:val="17"/>
              </w:rPr>
              <w:t>Jan 27, 2025</w:t>
            </w:r>
          </w:p>
        </w:tc>
        <w:tc>
          <w:tcPr>
            <w:tcW w:type="dxa" w:w="7488"/>
          </w:tcPr>
          <w:p>
            <w:r>
              <w:rPr>
                <w:rFonts w:ascii="Arial" w:hAnsi="Arial"/>
                <w:sz w:val="17"/>
              </w:rPr>
              <w:t>Consent Order; Case Management Order.</w:t>
            </w:r>
          </w:p>
        </w:tc>
      </w:tr>
      <w:tr>
        <w:tc>
          <w:tcPr>
            <w:tcW w:type="dxa" w:w="1872"/>
          </w:tcPr>
          <w:p>
            <w:r>
              <w:rPr>
                <w:rFonts w:ascii="Arial" w:hAnsi="Arial"/>
                <w:b/>
                <w:sz w:val="17"/>
              </w:rPr>
              <w:t>Feb 3, 2025</w:t>
            </w:r>
          </w:p>
        </w:tc>
        <w:tc>
          <w:tcPr>
            <w:tcW w:type="dxa" w:w="7488"/>
          </w:tcPr>
          <w:p>
            <w:r>
              <w:rPr>
                <w:rFonts w:ascii="Arial" w:hAnsi="Arial"/>
                <w:sz w:val="17"/>
              </w:rPr>
              <w:t>Second Amended Complaint filed — formally names Borough of Monmouth Beach as defendant.</w:t>
            </w:r>
          </w:p>
        </w:tc>
      </w:tr>
      <w:tr>
        <w:tc>
          <w:tcPr>
            <w:tcW w:type="dxa" w:w="1872"/>
          </w:tcPr>
          <w:p>
            <w:r>
              <w:rPr>
                <w:rFonts w:ascii="Arial" w:hAnsi="Arial"/>
                <w:b/>
                <w:sz w:val="17"/>
              </w:rPr>
              <w:t>Feb 10, 2025</w:t>
            </w:r>
          </w:p>
        </w:tc>
        <w:tc>
          <w:tcPr>
            <w:tcW w:type="dxa" w:w="7488"/>
          </w:tcPr>
          <w:p>
            <w:r>
              <w:rPr>
                <w:rFonts w:ascii="Arial" w:hAnsi="Arial"/>
                <w:sz w:val="17"/>
              </w:rPr>
              <w:t>Summons served on Borough.</w:t>
            </w:r>
          </w:p>
        </w:tc>
      </w:tr>
      <w:tr>
        <w:tc>
          <w:tcPr>
            <w:tcW w:type="dxa" w:w="1872"/>
          </w:tcPr>
          <w:p>
            <w:r>
              <w:rPr>
                <w:rFonts w:ascii="Arial" w:hAnsi="Arial"/>
                <w:b/>
                <w:sz w:val="17"/>
              </w:rPr>
              <w:t>Feb 26, 2026 [sic: 2025]</w:t>
            </w:r>
          </w:p>
        </w:tc>
        <w:tc>
          <w:tcPr>
            <w:tcW w:type="dxa" w:w="7488"/>
          </w:tcPr>
          <w:p>
            <w:r>
              <w:rPr>
                <w:rFonts w:ascii="Arial" w:hAnsi="Arial"/>
                <w:sz w:val="17"/>
              </w:rPr>
              <w:t>Borough deposition (Stickle). When asked who owns Riverview Road, Stickle answers "I don't know the exact answer... you'd have to do a title search."</w:t>
            </w:r>
          </w:p>
        </w:tc>
      </w:tr>
      <w:tr>
        <w:tc>
          <w:tcPr>
            <w:tcW w:type="dxa" w:w="1872"/>
          </w:tcPr>
          <w:p>
            <w:r>
              <w:rPr>
                <w:rFonts w:ascii="Arial" w:hAnsi="Arial"/>
                <w:b/>
                <w:sz w:val="17"/>
              </w:rPr>
              <w:t>Mar 11, 2025</w:t>
            </w:r>
          </w:p>
        </w:tc>
        <w:tc>
          <w:tcPr>
            <w:tcW w:type="dxa" w:w="7488"/>
          </w:tcPr>
          <w:p>
            <w:r>
              <w:rPr>
                <w:rFonts w:ascii="Arial" w:hAnsi="Arial"/>
                <w:sz w:val="17"/>
              </w:rPr>
              <w:t>Borough Answer filed. Kho defendants file Answer/Counterclaim. Kho also produces tax maps (KHO 0204-0206) showing road parcel labeled "Right of Way," Block 2, Lot 13.</w:t>
            </w:r>
          </w:p>
        </w:tc>
      </w:tr>
      <w:tr>
        <w:tc>
          <w:tcPr>
            <w:tcW w:type="dxa" w:w="1872"/>
          </w:tcPr>
          <w:p>
            <w:r>
              <w:rPr>
                <w:rFonts w:ascii="Arial" w:hAnsi="Arial"/>
                <w:b/>
                <w:sz w:val="17"/>
              </w:rPr>
              <w:t>Apr 10, 2025</w:t>
            </w:r>
          </w:p>
        </w:tc>
        <w:tc>
          <w:tcPr>
            <w:tcW w:type="dxa" w:w="7488"/>
          </w:tcPr>
          <w:p>
            <w:r>
              <w:rPr>
                <w:rFonts w:ascii="Arial" w:hAnsi="Arial"/>
                <w:sz w:val="17"/>
              </w:rPr>
              <w:t>Settlement Conference before Hon. Dennis R. O'Brien (Ret.). Parties enter TENTATIVE SETTLEMENT: access gate between pilings #1 and #3 to be engineered; existing stairs to be reconstructed; case dismissed without prejudice pending gate installation.</w:t>
            </w:r>
          </w:p>
        </w:tc>
      </w:tr>
      <w:tr>
        <w:tc>
          <w:tcPr>
            <w:tcW w:type="dxa" w:w="1872"/>
          </w:tcPr>
          <w:p>
            <w:r>
              <w:rPr>
                <w:rFonts w:ascii="Arial" w:hAnsi="Arial"/>
                <w:b/>
                <w:sz w:val="17"/>
              </w:rPr>
              <w:t>Apr 15–Aug 2025</w:t>
            </w:r>
          </w:p>
        </w:tc>
        <w:tc>
          <w:tcPr>
            <w:tcW w:type="dxa" w:w="7488"/>
          </w:tcPr>
          <w:p>
            <w:r>
              <w:rPr>
                <w:rFonts w:ascii="Arial" w:hAnsi="Arial"/>
                <w:sz w:val="17"/>
              </w:rPr>
              <w:t>Poliner sends 9+ status-update requests to Kho counsel. Kho gives sporadic responses promising to follow up with engineers. Borough gives NO response.</w:t>
            </w:r>
          </w:p>
        </w:tc>
      </w:tr>
      <w:tr>
        <w:tc>
          <w:tcPr>
            <w:tcW w:type="dxa" w:w="1872"/>
          </w:tcPr>
          <w:p>
            <w:r>
              <w:rPr>
                <w:rFonts w:ascii="Arial" w:hAnsi="Arial"/>
                <w:b/>
                <w:sz w:val="17"/>
              </w:rPr>
              <w:t>Sep 2, 2025</w:t>
            </w:r>
          </w:p>
        </w:tc>
        <w:tc>
          <w:tcPr>
            <w:tcW w:type="dxa" w:w="7488"/>
          </w:tcPr>
          <w:p>
            <w:r>
              <w:rPr>
                <w:rFonts w:ascii="Arial" w:hAnsi="Arial"/>
                <w:sz w:val="17"/>
              </w:rPr>
              <w:t>Borough formally issues correspondence refusing to approve gate installation on bulkhead.</w:t>
            </w:r>
          </w:p>
        </w:tc>
      </w:tr>
      <w:tr>
        <w:tc>
          <w:tcPr>
            <w:tcW w:type="dxa" w:w="1872"/>
          </w:tcPr>
          <w:p>
            <w:r>
              <w:rPr>
                <w:rFonts w:ascii="Arial" w:hAnsi="Arial"/>
                <w:b/>
                <w:sz w:val="17"/>
              </w:rPr>
              <w:t>Sep 5–16, 2025</w:t>
            </w:r>
          </w:p>
        </w:tc>
        <w:tc>
          <w:tcPr>
            <w:tcW w:type="dxa" w:w="7488"/>
          </w:tcPr>
          <w:p>
            <w:r>
              <w:rPr>
                <w:rFonts w:ascii="Arial" w:hAnsi="Arial"/>
                <w:sz w:val="17"/>
              </w:rPr>
              <w:t>Poliner demands compliance with settlement or consent to reinstate. Kho counsel disagrees with characterization. Poliner proposes canal-lock style gate.</w:t>
            </w:r>
          </w:p>
        </w:tc>
      </w:tr>
      <w:tr>
        <w:tc>
          <w:tcPr>
            <w:tcW w:type="dxa" w:w="1872"/>
          </w:tcPr>
          <w:p>
            <w:r>
              <w:rPr>
                <w:rFonts w:ascii="Arial" w:hAnsi="Arial"/>
                <w:b/>
                <w:sz w:val="17"/>
              </w:rPr>
              <w:t>Oct 24, 2025</w:t>
            </w:r>
          </w:p>
        </w:tc>
        <w:tc>
          <w:tcPr>
            <w:tcW w:type="dxa" w:w="7488"/>
          </w:tcPr>
          <w:p>
            <w:r>
              <w:rPr>
                <w:rFonts w:ascii="Arial" w:hAnsi="Arial"/>
                <w:sz w:val="17"/>
              </w:rPr>
              <w:t>Poliner files Motion to Reinstate Case. Case has been in limbo since April dismissal.</w:t>
            </w:r>
          </w:p>
        </w:tc>
      </w:tr>
      <w:tr>
        <w:tc>
          <w:tcPr>
            <w:tcW w:type="dxa" w:w="1872"/>
          </w:tcPr>
          <w:p>
            <w:r>
              <w:rPr>
                <w:rFonts w:ascii="Arial" w:hAnsi="Arial"/>
                <w:b/>
                <w:sz w:val="17"/>
              </w:rPr>
              <w:t>Nov 24, 2025</w:t>
            </w:r>
          </w:p>
        </w:tc>
        <w:tc>
          <w:tcPr>
            <w:tcW w:type="dxa" w:w="7488"/>
          </w:tcPr>
          <w:p>
            <w:r>
              <w:rPr>
                <w:rFonts w:ascii="Arial" w:hAnsi="Arial"/>
                <w:sz w:val="17"/>
              </w:rPr>
              <w:t>Judge Zazzali-Hogan GRANTS Order to Reinstate Case.</w:t>
            </w:r>
          </w:p>
        </w:tc>
      </w:tr>
      <w:tr>
        <w:tc>
          <w:tcPr>
            <w:tcW w:type="dxa" w:w="1872"/>
          </w:tcPr>
          <w:p>
            <w:r>
              <w:rPr>
                <w:rFonts w:ascii="Arial" w:hAnsi="Arial"/>
                <w:b/>
                <w:sz w:val="17"/>
              </w:rPr>
              <w:t>Dec 8, 2025</w:t>
            </w:r>
          </w:p>
        </w:tc>
        <w:tc>
          <w:tcPr>
            <w:tcW w:type="dxa" w:w="7488"/>
          </w:tcPr>
          <w:p>
            <w:r>
              <w:rPr>
                <w:rFonts w:ascii="Arial" w:hAnsi="Arial"/>
                <w:sz w:val="17"/>
              </w:rPr>
              <w:t>CMO entered; trial set for June 2, 2026 (later moved).</w:t>
            </w:r>
          </w:p>
        </w:tc>
      </w:tr>
      <w:tr>
        <w:tc>
          <w:tcPr>
            <w:tcW w:type="dxa" w:w="1872"/>
          </w:tcPr>
          <w:p>
            <w:r>
              <w:rPr>
                <w:rFonts w:ascii="Arial" w:hAnsi="Arial"/>
                <w:b/>
                <w:sz w:val="17"/>
              </w:rPr>
              <w:t>Jan 21, 2026</w:t>
            </w:r>
          </w:p>
        </w:tc>
        <w:tc>
          <w:tcPr>
            <w:tcW w:type="dxa" w:w="7488"/>
          </w:tcPr>
          <w:p>
            <w:r>
              <w:rPr>
                <w:rFonts w:ascii="Arial" w:hAnsi="Arial"/>
                <w:sz w:val="17"/>
              </w:rPr>
              <w:t>Jeffrey D. Cheney substitutes as Kho defense counsel.</w:t>
            </w:r>
          </w:p>
        </w:tc>
      </w:tr>
      <w:tr>
        <w:tc>
          <w:tcPr>
            <w:tcW w:type="dxa" w:w="1872"/>
          </w:tcPr>
          <w:p>
            <w:r>
              <w:rPr>
                <w:rFonts w:ascii="Arial" w:hAnsi="Arial"/>
                <w:b/>
                <w:sz w:val="17"/>
              </w:rPr>
              <w:t>Jan 23, 2026</w:t>
            </w:r>
          </w:p>
        </w:tc>
        <w:tc>
          <w:tcPr>
            <w:tcW w:type="dxa" w:w="7488"/>
          </w:tcPr>
          <w:p>
            <w:r>
              <w:rPr>
                <w:rFonts w:ascii="Arial" w:hAnsi="Arial"/>
                <w:sz w:val="17"/>
              </w:rPr>
              <w:t>Trial moved to June 15, then June 16, 2026.</w:t>
            </w:r>
          </w:p>
        </w:tc>
      </w:tr>
      <w:tr>
        <w:tc>
          <w:tcPr>
            <w:tcW w:type="dxa" w:w="1872"/>
          </w:tcPr>
          <w:p>
            <w:r>
              <w:rPr>
                <w:rFonts w:ascii="Arial" w:hAnsi="Arial"/>
                <w:b/>
                <w:sz w:val="17"/>
              </w:rPr>
              <w:t>Feb 9, 2026</w:t>
            </w:r>
          </w:p>
        </w:tc>
        <w:tc>
          <w:tcPr>
            <w:tcW w:type="dxa" w:w="7488"/>
          </w:tcPr>
          <w:p>
            <w:r>
              <w:rPr>
                <w:rFonts w:ascii="Arial" w:hAnsi="Arial"/>
                <w:sz w:val="17"/>
              </w:rPr>
              <w:t>Status Conference completed.</w:t>
            </w:r>
          </w:p>
        </w:tc>
      </w:tr>
      <w:tr>
        <w:tc>
          <w:tcPr>
            <w:tcW w:type="dxa" w:w="1872"/>
          </w:tcPr>
          <w:p>
            <w:r>
              <w:rPr>
                <w:rFonts w:ascii="Arial" w:hAnsi="Arial"/>
                <w:b/>
                <w:sz w:val="17"/>
              </w:rPr>
              <w:t>Apr 9, 2026</w:t>
            </w:r>
          </w:p>
        </w:tc>
        <w:tc>
          <w:tcPr>
            <w:tcW w:type="dxa" w:w="7488"/>
          </w:tcPr>
          <w:p>
            <w:r>
              <w:rPr>
                <w:rFonts w:ascii="Arial" w:hAnsi="Arial"/>
                <w:sz w:val="17"/>
              </w:rPr>
              <w:t>Meredith Sarah Rubin enters appearance for Kho defendants (Connell Foley).</w:t>
            </w:r>
          </w:p>
        </w:tc>
      </w:tr>
      <w:tr>
        <w:tc>
          <w:tcPr>
            <w:tcW w:type="dxa" w:w="1872"/>
          </w:tcPr>
          <w:p>
            <w:r>
              <w:rPr>
                <w:rFonts w:ascii="Arial" w:hAnsi="Arial"/>
                <w:b/>
                <w:sz w:val="17"/>
              </w:rPr>
              <w:t>Apr 10, 2026</w:t>
            </w:r>
          </w:p>
        </w:tc>
        <w:tc>
          <w:tcPr>
            <w:tcW w:type="dxa" w:w="7488"/>
          </w:tcPr>
          <w:p>
            <w:r>
              <w:rPr>
                <w:rFonts w:ascii="Arial" w:hAnsi="Arial"/>
                <w:sz w:val="17"/>
              </w:rPr>
              <w:t>Poliner files Motion for Partial Summary Judgment on Counts 1-5.</w:t>
            </w:r>
          </w:p>
        </w:tc>
      </w:tr>
      <w:tr>
        <w:tc>
          <w:tcPr>
            <w:tcW w:type="dxa" w:w="1872"/>
          </w:tcPr>
          <w:p>
            <w:r>
              <w:rPr>
                <w:rFonts w:ascii="Arial" w:hAnsi="Arial"/>
                <w:b/>
                <w:sz w:val="17"/>
              </w:rPr>
              <w:t>Apr 28, 2026</w:t>
            </w:r>
          </w:p>
        </w:tc>
        <w:tc>
          <w:tcPr>
            <w:tcW w:type="dxa" w:w="7488"/>
          </w:tcPr>
          <w:p>
            <w:r>
              <w:rPr>
                <w:rFonts w:ascii="Arial" w:hAnsi="Arial"/>
                <w:sz w:val="17"/>
              </w:rPr>
              <w:t>Kho defendants file cross-motion for partial summary judgment (504 pages). Borough files cross-motion.</w:t>
            </w:r>
          </w:p>
        </w:tc>
      </w:tr>
      <w:tr>
        <w:tc>
          <w:tcPr>
            <w:tcW w:type="dxa" w:w="1872"/>
          </w:tcPr>
          <w:p>
            <w:r>
              <w:rPr>
                <w:rFonts w:ascii="Arial" w:hAnsi="Arial"/>
                <w:b/>
                <w:sz w:val="17"/>
              </w:rPr>
              <w:t>Apr 29, 2026</w:t>
            </w:r>
          </w:p>
        </w:tc>
        <w:tc>
          <w:tcPr>
            <w:tcW w:type="dxa" w:w="7488"/>
          </w:tcPr>
          <w:p>
            <w:r>
              <w:rPr>
                <w:rFonts w:ascii="Arial" w:hAnsi="Arial"/>
                <w:sz w:val="17"/>
              </w:rPr>
              <w:t>Second Settlement Conference before Hon. Chad N. Cagan — NOT SETTLED. All parties agree to adjourn motions and trial. Trial moved to July 21, 2026.</w:t>
            </w:r>
          </w:p>
        </w:tc>
      </w:tr>
      <w:tr>
        <w:tc>
          <w:tcPr>
            <w:tcW w:type="dxa" w:w="1872"/>
          </w:tcPr>
          <w:p>
            <w:r>
              <w:rPr>
                <w:rFonts w:ascii="Arial" w:hAnsi="Arial"/>
                <w:b/>
                <w:sz w:val="17"/>
              </w:rPr>
              <w:t>May 1, 2026</w:t>
            </w:r>
          </w:p>
        </w:tc>
        <w:tc>
          <w:tcPr>
            <w:tcW w:type="dxa" w:w="7488"/>
          </w:tcPr>
          <w:p>
            <w:r>
              <w:rPr>
                <w:rFonts w:ascii="Arial" w:hAnsi="Arial"/>
                <w:sz w:val="17"/>
              </w:rPr>
              <w:t>All summary judgment motions rescheduled to May 22, 2026.</w:t>
            </w:r>
          </w:p>
        </w:tc>
      </w:tr>
      <w:tr>
        <w:tc>
          <w:tcPr>
            <w:tcW w:type="dxa" w:w="1872"/>
          </w:tcPr>
          <w:p>
            <w:r>
              <w:rPr>
                <w:rFonts w:ascii="Arial" w:hAnsi="Arial"/>
                <w:b/>
                <w:sz w:val="17"/>
              </w:rPr>
              <w:t>May 4, 2026</w:t>
            </w:r>
          </w:p>
        </w:tc>
        <w:tc>
          <w:tcPr>
            <w:tcW w:type="dxa" w:w="7488"/>
          </w:tcPr>
          <w:p>
            <w:r>
              <w:rPr>
                <w:rFonts w:ascii="Arial" w:hAnsi="Arial"/>
                <w:sz w:val="17"/>
              </w:rPr>
              <w:t>Guadagno files 5-page letter brief arguing Borough owns Riverview Road by implied dedication, open dominion, and equitable estoppel, attaching 2017 Municipal Public Access Plan (34 pages).</w:t>
            </w:r>
          </w:p>
        </w:tc>
      </w:tr>
      <w:tr>
        <w:tc>
          <w:tcPr>
            <w:tcW w:type="dxa" w:w="1872"/>
          </w:tcPr>
          <w:p>
            <w:r>
              <w:rPr>
                <w:rFonts w:ascii="Arial" w:hAnsi="Arial"/>
                <w:b/>
                <w:sz w:val="17"/>
              </w:rPr>
              <w:t>May 5, 2026</w:t>
            </w:r>
          </w:p>
        </w:tc>
        <w:tc>
          <w:tcPr>
            <w:tcW w:type="dxa" w:w="7488"/>
          </w:tcPr>
          <w:p>
            <w:r>
              <w:rPr>
                <w:rFonts w:ascii="Arial" w:hAnsi="Arial"/>
                <w:sz w:val="17"/>
              </w:rPr>
              <w:t>Poliner files 2-page opposition to Guadagno's letter brief, arguing it violates R. 4:46-1 and raises no new issue.</w:t>
            </w:r>
          </w:p>
        </w:tc>
      </w:tr>
      <w:tr>
        <w:tc>
          <w:tcPr>
            <w:tcW w:type="dxa" w:w="1872"/>
          </w:tcPr>
          <w:p>
            <w:r>
              <w:rPr>
                <w:rFonts w:ascii="Arial" w:hAnsi="Arial"/>
                <w:b/>
                <w:sz w:val="17"/>
              </w:rPr>
              <w:t>May 22, 2026</w:t>
            </w:r>
          </w:p>
        </w:tc>
        <w:tc>
          <w:tcPr>
            <w:tcW w:type="dxa" w:w="7488"/>
          </w:tcPr>
          <w:p>
            <w:r>
              <w:rPr>
                <w:rFonts w:ascii="Arial" w:hAnsi="Arial"/>
                <w:sz w:val="17"/>
              </w:rPr>
              <w:t>PENDING: Summary judgment hearing (video).</w:t>
            </w:r>
          </w:p>
        </w:tc>
      </w:tr>
      <w:tr>
        <w:tc>
          <w:tcPr>
            <w:tcW w:type="dxa" w:w="1872"/>
          </w:tcPr>
          <w:p>
            <w:r>
              <w:rPr>
                <w:rFonts w:ascii="Arial" w:hAnsi="Arial"/>
                <w:b/>
                <w:sz w:val="17"/>
              </w:rPr>
              <w:t>Jul 21, 2026</w:t>
            </w:r>
          </w:p>
        </w:tc>
        <w:tc>
          <w:tcPr>
            <w:tcW w:type="dxa" w:w="7488"/>
          </w:tcPr>
          <w:p>
            <w:r>
              <w:rPr>
                <w:rFonts w:ascii="Arial" w:hAnsi="Arial"/>
                <w:sz w:val="17"/>
              </w:rPr>
              <w:t>PENDING: Trial date (HOR — in person).</w:t>
            </w:r>
          </w:p>
        </w:tc>
      </w:tr>
    </w:tbl>
    <w:p>
      <w:r>
        <w:br w:type="page"/>
      </w:r>
    </w:p>
    <w:p>
      <w:pPr>
        <w:pStyle w:val="Heading1"/>
      </w:pPr>
      <w:r>
        <w:t>IV. THE EASEMENT: CHAIN OF TITLE AND DEED LANGUAGE</w:t>
      </w:r>
    </w:p>
    <w:p>
      <w:pPr>
        <w:pStyle w:val="Heading2"/>
      </w:pPr>
      <w:r>
        <w:t>A. The 1929 Dillon Deed — The Source Document</w:t>
      </w:r>
    </w:p>
    <w:p>
      <w:pPr>
        <w:pStyle w:val="BodyText"/>
      </w:pPr>
      <w:r>
        <w:t>The express easement at issue originates in the May 3, 1929 deed from Gertrude K. Dillon to Gotthelf F. Kurrle, Mary E. Kurrle, James T. Reynolds, and Florentina E. Reynolds (recorded Book 1488, Page 34). The relevant language reads:</w:t>
      </w:r>
    </w:p>
    <w:p>
      <w:pPr>
        <w:pStyle w:val="BodyText"/>
        <w:ind w:left="432"/>
      </w:pPr>
      <w:r>
        <w:t>"ALSO, the right to the grantees and their successors in title to use a plot of ground thirty-five feet in width and fifty feet in depth on the bank of the creek or river on the north side of the said driveway for the purpose of landing boats in common with the owners and occupants of said property including the grantor. Said plot of ground being thirty five feet in width from the river bank and fifty feet in depth, the easterly line of said plot being at right angles to said driveway."</w:t>
      </w:r>
    </w:p>
    <w:p>
      <w:pPr>
        <w:pStyle w:val="BodyText"/>
      </w:pPr>
      <w:r>
        <w:t>Critical observations about this language: (1) The deed says "landing boats" — not "launching," not "launching and landing," not "boating access" generally. (2) The right runs "in common with the owners and occupants of said property including the grantor" — a shared right, not exclusive. (3) The grant is 35 feet wide by 50 feet deep from the river bank, easterly line at right angles to what was then called the driveway (now Riverview Road). This is Block 2, Lot 20 in current tax map parlance.</w:t>
      </w:r>
    </w:p>
    <w:p>
      <w:pPr>
        <w:pStyle w:val="Heading2"/>
      </w:pPr>
      <w:r>
        <w:t>B. Chain of Title to Tieri</w:t>
      </w:r>
    </w:p>
    <w:p>
      <w:pPr>
        <w:pStyle w:val="BodyText"/>
      </w:pPr>
      <w:r>
        <w:t>The full chain runs: Dixon (1924 source parcel) → Dillon (1924 deed) → Kurrle/Reynolds (1929 easement grant) → [intervening conveyances] → Salvatore E. Tieri and Rosemarie V. Tieri (July 14, 1964, Book 3342, Page 356) → Rosemarie Tieri Irrevocable Trust (October 18, 1999, Book 5910, Page 958) → Faith G. Tieri (July 30, 2002, Book 8131, Page 3966). Each conveyance carried the easement by express grant and/or operation of law under N.J.S.A. 46:3-13. Tieri's property (15 Riverview Road, Block 2, Lots 18 and 2.01) has been in her family since 1964.</w:t>
      </w:r>
    </w:p>
    <w:p>
      <w:pPr>
        <w:pStyle w:val="Heading2"/>
      </w:pPr>
      <w:r>
        <w:t>C. Chain of Title to Kho</w:t>
      </w:r>
    </w:p>
    <w:p>
      <w:pPr>
        <w:pStyle w:val="BodyText"/>
      </w:pPr>
      <w:r>
        <w:t>David Kho and Chi Hsu-Kho purchased Block 2, Lots 19, 1, and 1.01 in 2022 (DB OR-9625, Page 3500). They purchased Block 2, Lot 20 — the servient parcel carrying the easement burden — in 2023 (DB OR-9643, Page 8104). Kho's own deed contains language confirming the right of way and easement. The Kho purchase in 2023 of Lot 20 specifically is what enabled construction of the bulkhead that forms the subject of this litigation. Critically, Kho purchased Lot 20 with full notice: Plaintiff had sent formal warning letters in 2022 to both David Kho personally and to Kho's predecessor entity Grace Cottage LLC.</w:t>
      </w:r>
    </w:p>
    <w:p>
      <w:pPr>
        <w:pStyle w:val="Heading2"/>
      </w:pPr>
      <w:r>
        <w:t>D. Second Deed Language in Kho's Chain of Title</w:t>
      </w:r>
    </w:p>
    <w:p>
      <w:pPr>
        <w:pStyle w:val="BodyText"/>
      </w:pPr>
      <w:r>
        <w:t>The Second Amended Complaint at paragraph 21 recites easement language from Kho's Lot 20 deed:</w:t>
      </w:r>
    </w:p>
    <w:p>
      <w:pPr>
        <w:pStyle w:val="BodyText"/>
        <w:ind w:left="432"/>
      </w:pPr>
      <w:r>
        <w:t>"Together with a right of way over a 25 foot wide road called River View Road leading easterly to Ocean Avenue, and together with the right to use a right of way over and upon a strip of land 10 feet wide running from Ocean Avenue to the Atlantic Ocean for the benefit of the entire tract of which this is a part, and together with the right to use Lot No. 20 in Block 2 abutting the Shrewsbury River in common with all others entitled to the use thereof, and together with a right of way leading to the Shrewsbury River."</w:t>
      </w:r>
    </w:p>
    <w:p>
      <w:pPr>
        <w:pStyle w:val="BodyText"/>
      </w:pPr>
      <w:r>
        <w:t>The phrase "in common with all others entitled to the use thereof" expressly acknowledges that third parties, including Tieri as successor-in-title to the original grantees, have rights to use Lot 20. The defense cannot plausibly claim Kho acquired Lot 20 without notice of these shared rights.</w:t>
      </w:r>
    </w:p>
    <w:p>
      <w:r>
        <w:br w:type="page"/>
      </w:r>
    </w:p>
    <w:p>
      <w:pPr>
        <w:pStyle w:val="Heading1"/>
      </w:pPr>
      <w:r>
        <w:t>V. KEY PHYSICAL FACTS AND DISPUTED CONDITIONS</w:t>
      </w:r>
    </w:p>
    <w:p>
      <w:pPr>
        <w:pStyle w:val="Heading2"/>
      </w:pPr>
      <w:r>
        <w:t>A. Pre-Construction Site Conditions (Disputed)</w:t>
      </w:r>
    </w:p>
    <w:p>
      <w:pPr>
        <w:pStyle w:val="BodyText"/>
      </w:pPr>
      <w:r>
        <w:t>The most contested factual question in the case is what the site looked like before the 2024 bulkhead was built. This matters because it determines whether the current stairway is an adequate substitute for whatever access the easement historically afforded.</w:t>
      </w:r>
    </w:p>
    <w:p>
      <w:pPr>
        <w:pStyle w:val="BodyText"/>
      </w:pPr>
      <w:r>
        <w:t>Plaintiff's position (SAC ¶45): "Before the bulkhead, the Shrewsbury River was accessible from the north side of Riverview Road, onto the easement area on Lot 20, then into the river by simply walking. The ground level between the north side of Riverview Road and Lot 20 was relatively level and even. The ground on Lot 20 had a gradual slope to the river." Plaintiff has sworn this under penalty of perjury in the Second Amended Complaint.</w:t>
      </w:r>
    </w:p>
    <w:p>
      <w:pPr>
        <w:pStyle w:val="BodyText"/>
      </w:pPr>
      <w:r>
        <w:t>Defense position (Rioux Deposition, pp. 62-93; Rioux Expert Report pp. 14-16): Aerial photographs suggest a pre-existing parallel structure existed near the waterline that already made trailer-based boat launching difficult or impossible before 2024. The shoreline was rocky and uneven. No boat ramp or trailer launch infrastructure existed. Stokes Dep. 76:2-77:10 states that the pre-existing bulkhead was "to the west of Lot 20" — potentially meaning the Lot 20 waterfront itself was not previously bulkheaded.</w:t>
      </w:r>
    </w:p>
    <w:p>
      <w:pPr>
        <w:pStyle w:val="BodyText"/>
      </w:pPr>
      <w:r>
        <w:t>Critical problem for the defense: SAC ¶56 swears that "prior to the bulkhead constructed in 2024, there has never been any bulkheading at the orange area... red area... yellow area" — flatly contradicting any defense narrative that a pre-existing structure already limited access. SAC ¶49 also alleges Twin Rivers responded to a cease-and-desist letter on August 15, 2024, "by lying, claiming that only the pre-existing bulkhead was being replaced." This allegation, if believed at trial, goes to credibility of the entire defense construction narrative.</w:t>
      </w:r>
    </w:p>
    <w:p>
      <w:pPr>
        <w:pStyle w:val="BodyText"/>
      </w:pPr>
      <w:r>
        <w:t>The photographic record available as of this analysis includes: (1) MLS listing photo from 2024 showing rocky, jagged shoreline at Lot 20; (2) 2018 Monmouth Ocean Regional Realtors photo showing deteriorated wooden pilings and broken infrastructure near the waterline; (3) foggy-day aerial showing sloped terrain; (4) 1977 aerial showing the Riverview Road area without any clearly identifiable parallel wall at the Lot 20 waterfront. None of these photos definitively establishes what the ground conditions were during Tieri's family's period of active use in the 1960s-1980s.</w:t>
      </w:r>
    </w:p>
    <w:p>
      <w:pPr>
        <w:pStyle w:val="Heading2"/>
      </w:pPr>
      <w:r>
        <w:t>B. The 2024 Bulkhead</w:t>
      </w:r>
    </w:p>
    <w:p>
      <w:pPr>
        <w:pStyle w:val="BodyText"/>
      </w:pPr>
      <w:r>
        <w:t>Defendants began construction in August 2024 and completed it in September 2024. The bulkhead has three color-coded sections: an orange section (perpendicular to Riverview Road), a red section (parallel to Riverview Road — this is the section the Borough claims it owns), and a yellow section. The red parallel section is over three feet high (SAC ¶56) and runs along the waterfront side of Lot 20. After the lawsuit was filed, and not as part of the original construction plans, defendants added stairs to go up and over the bulkhead (SAC ¶62-63).</w:t>
      </w:r>
    </w:p>
    <w:p>
      <w:pPr>
        <w:pStyle w:val="BodyText"/>
      </w:pPr>
      <w:r>
        <w:t>NJDEP/CAFRA issue: The Kho property is in a CAFRA zone and a water development area. Defendants did not obtain NJDEP permits before beginning construction. They filed a permit application on August 21, 2024 — after receiving the warning letters. NJDEP will not process the application because it is "not administratively and technically complete," specifically because NJDEP requires the consent and signature of all easement holders, and Plaintiff has withheld consent. The bulkhead is therefore currently an unpermitted structure in a CAFRA zone.</w:t>
      </w:r>
    </w:p>
    <w:p>
      <w:pPr>
        <w:pStyle w:val="Heading2"/>
      </w:pPr>
      <w:r>
        <w:t>C. The Current Stairway</w:t>
      </w:r>
    </w:p>
    <w:p>
      <w:pPr>
        <w:pStyle w:val="BodyText"/>
      </w:pPr>
      <w:r>
        <w:t>The stairs over the bulkhead were added after the lawsuit was filed. They were not part of the original construction design. The settlement stipulation signed April 10, 2025 — to which both Poliner and Guadagno signed — expressly acknowledged that "existing steps will be reconstructed to comply with engineering design" as part of the gate-installation remedy. This is a party admission by the defense that the current stairs, even as of April 2025, were not yet in adequate condition.</w:t>
      </w:r>
    </w:p>
    <w:p>
      <w:pPr>
        <w:pStyle w:val="BodyText"/>
      </w:pPr>
      <w:r>
        <w:t>Plaintiff's position (SAC ¶64-67): The stairs are not an adequate substitute; they do not allow anyone with mobility issues to access Lot 20; a wheelchair cannot be used; boats cannot be wheeled over the stairs.</w:t>
      </w:r>
    </w:p>
    <w:p>
      <w:pPr>
        <w:pStyle w:val="BodyText"/>
      </w:pPr>
      <w:r>
        <w:t>Defense position (Hsu-Kho Dep. 38:3-14; Natasi Dep. 31:5-10): Kayaks are carriable over the stairs. The stairs provide a means of foot access to the easement area sufficient for the only use the easement grants — landing boats.</w:t>
      </w:r>
    </w:p>
    <w:p>
      <w:pPr>
        <w:pStyle w:val="Heading2"/>
      </w:pPr>
      <w:r>
        <w:t>D. Flooding</w:t>
      </w:r>
    </w:p>
    <w:p>
      <w:pPr>
        <w:pStyle w:val="BodyText"/>
      </w:pPr>
      <w:r>
        <w:t>Plaintiff alleges (SAC ¶74-77): Before the bulkhead, heavy rains and storm surges quickly drained into the Shrewsbury River. Now the bulkhead acts as a dam, trapping water on Plaintiff's property. Defense discovery revealed (Stokes Dep. 74:16-75:7) that during construction, workers discovered a disconnected/plugged municipal storm drain that was subsequently repaired. The drain had apparently been blocked for some time before construction. The September 2024 flooding event occurred after construction was completed but before the drain was repaired. The critical factual question is whether the September 2024 flooding was caused by the bulkhead acting as a dam, by the pre-existing plugged drain, or by both acting simultaneously.</w:t>
      </w:r>
    </w:p>
    <w:p>
      <w:pPr>
        <w:pStyle w:val="BodyText"/>
      </w:pPr>
      <w:r>
        <w:t>Plaintiff also has photographic evidence of: (a) the O'Brien Realty YouTube video (December 11, 2019) showing standing water at the Riverview Road terminus, suggesting pre-construction flooding patterns; (b) photos showing water pooling on Tieri's lawn after flooding receded; (c) evidence that flooding occurred before the drain was repaired, meaning the bulkhead and plugged drain were co-existing causes.</w:t>
      </w:r>
    </w:p>
    <w:p>
      <w:r>
        <w:br w:type="page"/>
      </w:r>
    </w:p>
    <w:p>
      <w:pPr>
        <w:pStyle w:val="Heading1"/>
      </w:pPr>
      <w:r>
        <w:t>VI. CLAIMS ANALYSIS — SECOND AMENDED COMPLAINT</w:t>
      </w:r>
    </w:p>
    <w:p>
      <w:pPr>
        <w:pStyle w:val="Heading2"/>
      </w:pPr>
      <w:r>
        <w:t>Count 1: Declaratory Judgment — Easement Rights</w:t>
      </w:r>
    </w:p>
    <w:p>
      <w:pPr>
        <w:pStyle w:val="BodyText"/>
      </w:pPr>
      <w:r>
        <w:t>Plaintiff seeks: a declaration that she holds a valid easement over Lot 20 for the purpose of landing boats and river access; that the easement includes the right to physically cross Lot 20 to the water at grade level; that the 1929 Dillon deed conveys implied rights to launch as well as land; and that the stairs are an inadequate substitute.</w:t>
      </w:r>
    </w:p>
    <w:p>
      <w:pPr>
        <w:pStyle w:val="BodyText"/>
      </w:pPr>
      <w:r>
        <w:t>Defense position: The easement right is limited to "landing boats" as expressly stated; no implied launching right exists because launching requires a ramp or specialized infrastructure not contemplated by a pre-motorized-boat 1929 deed; Tieri's own forty-year non-use (Tieri Dep. 19:13-20:1) and admitted use of stairs for kayaks (Hsu-Kho Dep. 38) demonstrate the stairs are adequate for the only use actually exercised.</w:t>
      </w:r>
    </w:p>
    <w:p>
      <w:pPr>
        <w:pStyle w:val="BodyText"/>
      </w:pPr>
      <w:r>
        <w:t>Assessment: Defense wins on launching. The deed says "landing," not "launching." Courts in New Jersey strictly construe express easement language, and launching is a materially different action requiring specialized equipment (ramps, trailers) not contemplated in a 1929 deed for "landing boats" — which would have referred to rowing and paddling craft brought to the bank by water. Under Man v. Vockroth, 94 N.J. Eq. 511 (1923), ambiguities are construed in favor of the grantee as to the right's existence but not in favor of expanding the scope beyond what is "reasonably necessary for complete enjoyment" under Tide-Water Pipe Co. Landing does not require trailer access. Defense likely wins summary judgment on the launching scope. The stairs-adequacy question as to landing rights (walking to the water's edge) is a genuine disputed issue of fact.</w:t>
      </w:r>
    </w:p>
    <w:p>
      <w:pPr>
        <w:pStyle w:val="Heading2"/>
      </w:pPr>
      <w:r>
        <w:t>Count 2: Trespass</w:t>
      </w:r>
    </w:p>
    <w:p>
      <w:pPr>
        <w:pStyle w:val="BodyText"/>
      </w:pPr>
      <w:r>
        <w:t>Plaintiff alleges the bulkhead constitutes a continuing trespass on her easement rights. Defense responds that the easement is limited in scope; within that limited scope, the stairs provide adequate access; and Tieri has demonstrated zero monetary damages — no rental income loss (Tieri Dep. 33:25-34:2), no premium pricing lost (Tieri Dep. 68:1-12).</w:t>
      </w:r>
    </w:p>
    <w:p>
      <w:pPr>
        <w:pStyle w:val="BodyText"/>
      </w:pPr>
      <w:r>
        <w:t>Assessment: This count is in trouble for Plaintiff. Trespass requires an actual invasion of a legally protected property interest that causes actual harm. If the judge grants summary judgment on the launching scope, the only remaining trespass theory is interference with the landing right — and that requires a finding that stairs are inadequate for landing a kayak or canoe. The monetary damages vacuum is a serious problem. Tieri's counsel has reserved argument that loss of ability to "advertise river access" when seeking summer tenants constitutes actual harm (SAC ¶68), but this is speculative without a specific dollar amount supported by evidence.</w:t>
      </w:r>
    </w:p>
    <w:p>
      <w:pPr>
        <w:pStyle w:val="Heading2"/>
      </w:pPr>
      <w:r>
        <w:t>Count 3: Nuisance</w:t>
      </w:r>
    </w:p>
    <w:p>
      <w:pPr>
        <w:pStyle w:val="BodyText"/>
      </w:pPr>
      <w:r>
        <w:t>Plaintiff alleges the bulkhead unreasonably interferes with her use and enjoyment of her property. Assessment: Same fundamental problems as trespass. Nuisance requires unreasonable interference. If the stairs provide reasonable access for the limited easement right of landing non-motorized boats, the nuisance claim fails on the merits. The NJDEP permit gap — building in a CAFRA zone without consent of easement holders — may support a nuisance theory, but that has not been developed in Poliner's briefs.</w:t>
      </w:r>
    </w:p>
    <w:p>
      <w:pPr>
        <w:pStyle w:val="Heading2"/>
      </w:pPr>
      <w:r>
        <w:t>Count 4: Violation of Plaintiff's Riparian Rights / Public Trust Doctrine</w:t>
      </w:r>
    </w:p>
    <w:p>
      <w:pPr>
        <w:pStyle w:val="BodyText"/>
      </w:pPr>
      <w:r>
        <w:t>Plaintiff claims riparian rights to Shrewsbury River access under the Public Trust Doctrine as articulated in Matthews v. Bay Head. Assessment: This count is significantly weakened by Moran v. NJ DEP, 263 N.J. 71 (2026), which appears to narrow the Public Trust Doctrine's application to private property interference claims. The Public Trust Doctrine protects public rights, not individual private landowner rights against a neighboring private property owner. Poliner's motion attempts to use this doctrine to expand the easement rights, but the legal foundation has shifted. Defense likely obtains summary judgment on Count 4.</w:t>
      </w:r>
    </w:p>
    <w:p>
      <w:pPr>
        <w:pStyle w:val="Heading2"/>
      </w:pPr>
      <w:r>
        <w:t>Count 5: Injunctive Relief</w:t>
      </w:r>
    </w:p>
    <w:p>
      <w:pPr>
        <w:pStyle w:val="BodyText"/>
      </w:pPr>
      <w:r>
        <w:t>Plaintiff seeks an order removing 15-18 feet of the parallel (red) section of bulkhead and requiring it to be made "flat and level" or buried. This is the most aggressive remedy requested and is unlikely to succeed in full. A Chancery court's equitable powers allow it to craft a remedy proportionate to the violation found. Even if Plaintiff prevails on the stairs-adequacy question, the more proportionate remedy would be construction of an engineered gate between pilings (as the parties themselves agreed in April 2025) rather than wholesale demolition of flood-protection infrastructure. The Stickle deposition (66:2-9) testified that the Borough authorized the bulkhead to keep rising tides out of the street — meaning the structure serves a flood-protection function for the entire neighborhood.</w:t>
      </w:r>
    </w:p>
    <w:p>
      <w:pPr>
        <w:pStyle w:val="Heading2"/>
      </w:pPr>
      <w:r>
        <w:t>Count 6: Inverse Condemnation (Against Borough)</w:t>
      </w:r>
    </w:p>
    <w:p>
      <w:pPr>
        <w:pStyle w:val="BodyText"/>
      </w:pPr>
      <w:r>
        <w:t>Plaintiff claims the Borough's actions or inactions amount to a regulatory taking. Assessment: This count is the weakest against the Borough. Inverse condemnation requires affirmative governmental action that destroys property value. The Borough's failure to enforce easement rights is not affirmative action. However, the Borough's formal vote to approve bulkhead construction could be characterized as affirmative action. This is a thin theory but not entirely without merit given the approval vote.</w:t>
      </w:r>
    </w:p>
    <w:p>
      <w:pPr>
        <w:pStyle w:val="Heading2"/>
      </w:pPr>
      <w:r>
        <w:t>Flooding Counts (Against All Defendants)</w:t>
      </w:r>
    </w:p>
    <w:p>
      <w:pPr>
        <w:pStyle w:val="BodyText"/>
      </w:pPr>
      <w:r>
        <w:t>Plaintiff alleges the bulkhead, acting as a dam, caused flooding that damaged her property. Assessment: These are the most financially significant counts and will definitely survive to trial. The causation dispute — bulkhead vs. plugged drain vs. both — is a genuine factual issue for the factfinder. The defense argument that the municipal drain was the "but-for" cause is strong for the period before drain repair but does not explain any post-repair flooding, nor does it fully address the theory that the bulkhead contributed to flooding even with a functioning drain by blocking the secondary drainage path that historically existed over Lot 20.</w:t>
      </w:r>
    </w:p>
    <w:p>
      <w:r>
        <w:br w:type="page"/>
      </w:r>
    </w:p>
    <w:p>
      <w:pPr>
        <w:pStyle w:val="Heading1"/>
      </w:pPr>
      <w:r>
        <w:t>VII. THE FAILED APRIL 2025 SETTLEMENT AND ITS LEGAL CONSEQUENCES</w:t>
      </w:r>
    </w:p>
    <w:p>
      <w:pPr>
        <w:pStyle w:val="BodyText"/>
      </w:pPr>
      <w:r>
        <w:t>The April 10, 2025 Stipulation of Tentative Settlement is the most important document in the case that is not a formal legal brief. Both Poliner and Guadagno personally signed a handwritten stipulation before the mediator, Hon. Dennis R. O'Brien (Ret.), agreeing:</w:t>
      </w:r>
    </w:p>
    <w:p>
      <w:pPr>
        <w:pStyle w:val="BodyText"/>
        <w:ind w:left="432"/>
      </w:pPr>
      <w:r>
        <w:t>"Parties agree to tentative settlement pending engineering review/design that provides an access gate from Riverview Road between bulkhead pilings #1 and #3 for ingress to Lot 20. So existing steps will be reconstructed to comply with engineering design. Parties agree to dismissal without prejudice pursuant to above conditions. Should those conditions not be met, parties agree to file a consent order to reinstate the case."</w:t>
      </w:r>
    </w:p>
    <w:p>
      <w:pPr>
        <w:pStyle w:val="BodyText"/>
      </w:pPr>
      <w:r>
        <w:t>This stipulation has three critical implications for the defense:</w:t>
      </w:r>
    </w:p>
    <w:p>
      <w:pPr>
        <w:pStyle w:val="BodyText"/>
      </w:pPr>
      <w:r>
        <w:t>First, the defense effectively conceded through their counsel's signature that the current stairway was insufficient and needed to be "reconstructed to comply with engineering design." If the stairs were adequate, there would have been no need to include the reconstruction requirement. Poliner will argue this is a binding party admission that the current stairs do not provide adequate easement access.</w:t>
      </w:r>
    </w:p>
    <w:p>
      <w:pPr>
        <w:pStyle w:val="BodyText"/>
      </w:pPr>
      <w:r>
        <w:t>Second, the parties agreed that a physical gate through the bulkhead was the necessary remediation — not merely better stairs. The gate between pilings #1 and #3 would provide ground-level or near-ground-level access through the bulkhead, suggesting both parties understood that the easement right requires something closer to ground-level passage than a stairway over the top of a structure.</w:t>
      </w:r>
    </w:p>
    <w:p>
      <w:pPr>
        <w:pStyle w:val="BodyText"/>
      </w:pPr>
      <w:r>
        <w:t>Third, the settlement fell apart because the Borough refused to approve the gate on September 2, 2025 — not because the Kho defendants refused. This is potentially important for purposes of comparative fault. The Kho defendants were, at least between April and September 2025, attempting to implement the agreed remedy. The Borough's refusal torpedoed the settlement. Combined with the Borough's formal vote approving original construction and its 60 years of exercising dominion over Riverview Road, the Borough's conduct is difficult to explain on any theory other than litigation avoidance.</w:t>
      </w:r>
    </w:p>
    <w:p>
      <w:pPr>
        <w:pStyle w:val="BodyText"/>
      </w:pPr>
      <w:r>
        <w:t>For purposes of the frivolous litigation fee-shifting analysis under N.J.S.A. 2A:15-59.1 and R. 1:4-8: the fact that a settlement was reached and documented, and that the case had to be reinstated due to one defendant's refusal to cooperate, strengthens any post-trial fee application.</w:t>
      </w:r>
    </w:p>
    <w:p>
      <w:r>
        <w:br w:type="page"/>
      </w:r>
    </w:p>
    <w:p>
      <w:pPr>
        <w:pStyle w:val="Heading1"/>
      </w:pPr>
      <w:r>
        <w:t>VIII. PENDING MOTIONS BEFORE THE COURT</w:t>
      </w:r>
    </w:p>
    <w:p>
      <w:pPr>
        <w:pStyle w:val="Heading2"/>
      </w:pPr>
      <w:r>
        <w:t>A. Plaintiff's Motion for Partial Summary Judgment (Filed April 10, 2026)</w:t>
      </w:r>
    </w:p>
    <w:p>
      <w:pPr>
        <w:pStyle w:val="BodyText"/>
      </w:pPr>
      <w:r>
        <w:t>Poliner moves for summary judgment on Counts 1-5 on two grounds: (1) the easement is valid and the bulkhead unlawfully interferes with it, entitling Plaintiff to injunctive relief requiring removal of the parallel section and restoration of grade-level access; (2) the Public Trust Doctrine independently entitles Plaintiff to riverfront access. The proposed order requests 15-18 feet of the parallel bulkhead section be removed or buried and the area made "flat and level." The motion relies heavily on: historical deed chain; SAC ¶45 swearing to pre-construction grade-level access; and the general principle that easement holders cannot be denied reasonable access.</w:t>
      </w:r>
    </w:p>
    <w:p>
      <w:pPr>
        <w:pStyle w:val="Heading2"/>
      </w:pPr>
      <w:r>
        <w:t>B. Kho Defendants' Cross-Motion for Partial Summary Judgment (Filed April 28, 2026)</w:t>
      </w:r>
    </w:p>
    <w:p>
      <w:pPr>
        <w:pStyle w:val="BodyText"/>
      </w:pPr>
      <w:r>
        <w:t>The 504-page cross-motion package moves to dismiss Counts 1-5 and proposes the court declare: the easement is limited to "landing boats" as expressed; no implied launching right exists; Tieri's 40 years of non-use is relevant to practical construction of the easement; the stairway provides adequate access for the only use the easement grants; Public Trust Doctrine does not apply to private easement disputes. Key deposition support: Tieri Dep. 19:13-20:1 (40-year non-use); Rioux Dep. 62-93 (pre-existing conditions, rocky shoreline); Hsu-Kho and Natasi depositions (kayaks carriable over stairs).</w:t>
      </w:r>
    </w:p>
    <w:p>
      <w:pPr>
        <w:pStyle w:val="Heading2"/>
      </w:pPr>
      <w:r>
        <w:t>C. Borough Cross-Motion for Summary Judgment (Filed April 28, 2026)</w:t>
      </w:r>
    </w:p>
    <w:p>
      <w:pPr>
        <w:pStyle w:val="BodyText"/>
      </w:pPr>
      <w:r>
        <w:t>Padula moves to dismiss all counts against Borough on five grounds: (1) Brill standard not met — no genuine issue of material fact; (2) Borough does not own Riverview Road or the bulkhead; (3) Borough lacks authority to remove a structure on private property it does not own; (4) TCA immunity under N.J.S.A. 59:2-4 and 59:2-6 (failure to enforce/condition of private property); (5) No inverse condemnation — no affirmative governmental taking. Supporting document: Resolution R-144-2024 disclaiming ownership of road and bulkhead.</w:t>
      </w:r>
    </w:p>
    <w:p>
      <w:pPr>
        <w:pStyle w:val="Heading2"/>
      </w:pPr>
      <w:r>
        <w:t>D. Guadagno's Letter Brief on Borough Ownership (Filed May 4, 2026)</w:t>
      </w:r>
    </w:p>
    <w:p>
      <w:pPr>
        <w:pStyle w:val="BodyText"/>
      </w:pPr>
      <w:r>
        <w:t>In response to the Borough's cross-motion, Guadagno filed a 5-page letter brief (with 34-page attachment — the 2017 Municipal Public Access Plan) arguing the Borough owns Riverview Road and the bulkhead at its terminus through three independent theories:</w:t>
      </w:r>
    </w:p>
    <w:p>
      <w:pPr>
        <w:pStyle w:val="BodyText"/>
      </w:pPr>
      <w:r>
        <w:t>Point I — Implied dedication: 60+ years of municipal services (paving since 2005, plowing, policing, trash collection) constitute acceptance of implied dedication under Velasco, National Paving, Home Builders League, Koch v. Seaside Heights, and N.J.S.A. 2A:14-30 (30 years of continuous public use vests title).</w:t>
      </w:r>
    </w:p>
    <w:p>
      <w:pPr>
        <w:pStyle w:val="BodyText"/>
      </w:pPr>
      <w:r>
        <w:t>Point II — No private tax assessments + municipal infrastructure: No private tax bill generated for Block 2, Lot 13 (the road parcel). Borough installed and maintains subsurface sewage infrastructure under the road. The 2017 MPAP — submitted by the Borough to NJDEP — explicitly identifies "Riverview Road (Access Point 20 on map)" as a municipal public access point to the Shrewsbury River. Paving has been part of Borough plan since at least 2005. Recent (within last year) maintenance on a sewage line the Borough installed decades ago.</w:t>
      </w:r>
    </w:p>
    <w:p>
      <w:pPr>
        <w:pStyle w:val="BodyText"/>
      </w:pPr>
      <w:r>
        <w:t>Point III — Equitable estoppel: David Kho approached Borough officials, offered to repair the bulkhead at no cost, received official approval and expressed appreciation. Borough then formally voted to approve construction. To now claim "someone else" owns the road — without identifying who that owner is — violates Winters v. N. Hudson (equitable estoppel), Knorr v. Smeal (detrimental reliance), and Matter of Borough of Englewood Cliffs (collateral estoppel).</w:t>
      </w:r>
    </w:p>
    <w:p>
      <w:pPr>
        <w:pStyle w:val="Heading2"/>
      </w:pPr>
      <w:r>
        <w:t>E. Poliner's Opposition to Guadagno's Letter Brief (Filed May 5, 2026)</w:t>
      </w:r>
    </w:p>
    <w:p>
      <w:pPr>
        <w:pStyle w:val="BodyText"/>
      </w:pPr>
      <w:r>
        <w:t>Poliner argues: (1) R. 4:46-1 permits only one motion, one opposition/cross-motion, one reply — Guadagno's brief is none of these; (2) Borough ownership was not a new issue — defense produced tax maps in March 2025 and the Borough deposition covered the same ground in February 2026; (3) Stickle's "I don't know" deposition testimony was already part of the record; (4) leave to file should be denied. This is a pure procedural objection with no substantive response to any of Guadagno's three legal arguments.</w:t>
      </w:r>
    </w:p>
    <w:p>
      <w:r>
        <w:br w:type="page"/>
      </w:r>
    </w:p>
    <w:p>
      <w:pPr>
        <w:pStyle w:val="Heading1"/>
      </w:pPr>
      <w:r>
        <w:t>IX. MAY 22, 2026 HEARING — PREDICTED OUTCOME</w:t>
      </w:r>
    </w:p>
    <w:p>
      <w:pPr>
        <w:pStyle w:val="Heading2"/>
      </w:pPr>
      <w:r>
        <w:t>A. Procedural Posture</w:t>
      </w:r>
    </w:p>
    <w:p>
      <w:pPr>
        <w:pStyle w:val="BodyText"/>
      </w:pPr>
      <w:r>
        <w:t>The May 22 video hearing before Judge Zazzali-Hogan will address three simultaneous cross-motions for summary judgment under the Brill v. Guardian Life standard (142 N.J. 520): Poliner's April 10 motion, the Kho defendants' April 28 cross-motion, and the Borough's April 28 cross-motion. The judge will also rule on the threshold question of whether to accept Guadagno's May 4 letter brief. Three sets of counsel will appear, making this a moderately complex oral argument. On video, the judge can easily control speaking time. Expect 90-120 minutes total.</w:t>
      </w:r>
    </w:p>
    <w:p>
      <w:pPr>
        <w:pStyle w:val="Heading2"/>
      </w:pPr>
      <w:r>
        <w:t>B. Threshold Issue: Guadagno's Letter Brief</w:t>
      </w:r>
    </w:p>
    <w:p>
      <w:pPr>
        <w:pStyle w:val="BodyText"/>
      </w:pPr>
      <w:r>
        <w:t>The judge will almost certainly allow Guadagno's letter brief. The Borough's cross-motion argued it does not own Riverview Road — a position that directly affects the Kho defendants' authorization defense and the overall liability picture. Guadagno's response to that cross-motion is legally substantive and factually necessary for a complete record. While Poliner's R. 4:46-1 argument is technically correct as to the rule's structure, a Chancery judge exercising equitable discretion will not exclude a 5-page brief that raises documented legal authority, especially when the attachment (the 2017 MPAP) is a government document already in the case record. Poliner's objection is noted but will be overruled.</w:t>
      </w:r>
    </w:p>
    <w:p>
      <w:pPr>
        <w:pStyle w:val="Heading2"/>
      </w:pPr>
      <w:r>
        <w:t>C. The Borough's Cross-Motion — Predicted Outcome: DENIED</w:t>
      </w:r>
    </w:p>
    <w:p>
      <w:pPr>
        <w:pStyle w:val="BodyText"/>
      </w:pPr>
      <w:r>
        <w:t>The Borough will not get out of this case at summary judgment. The 2017 MPAP is devastating: the Borough itself, in a submission to the State of New Jersey, listed "Riverview Road (Access Point 20)" as a municipal public access point under Borough stewardship. Mayor Stickle's "I don't know" deposition testimony about who owns the road — after 60 years of providing municipal services on it — will not satisfy a Chancery judge's Brill analysis. The equitable estoppel argument is compelling: the Borough approved construction, accepted gratuitous repair of what it now claims is "someone else's" bulkhead, and Resolution R-144-2024 was adopted in August 2024 — two months after construction began and the lawsuit was filed. The judge will see that resolution as litigation-motivated, not a good-faith ownership disclaimer.</w:t>
      </w:r>
    </w:p>
    <w:p>
      <w:pPr>
        <w:pStyle w:val="BodyText"/>
      </w:pPr>
      <w:r>
        <w:t>Most likely outcome on Borough motion: DENIED in full. Borough remains in the case. The ownership question is reserved for trial or, potentially, for a separate summary judgment motion after additional title research. TCA immunity may be partially granted as to the failure-to-enforce theory but denied as to the formal-approval-vote theory.</w:t>
      </w:r>
    </w:p>
    <w:p>
      <w:pPr>
        <w:pStyle w:val="Heading2"/>
      </w:pPr>
      <w:r>
        <w:t>D. Easement Scope — Launching vs. Landing</w:t>
      </w:r>
    </w:p>
    <w:p>
      <w:pPr>
        <w:pStyle w:val="BodyText"/>
      </w:pPr>
      <w:r>
        <w:t>The defense will win summary judgment on trailer-boat launching. The deed says "landing boats." Tieri admitted 40 years of personal non-use. The historical use involved physically carrying or paddling boats to the bank. The implied rights doctrine (Tide-Water Pipe Co.) extends easement rights only to what is "reasonably necessary for complete enjoyment" of the express grant — landing a kayak or canoe by hand does not require a trailer ramp or grade-level wheeling surface designed for motorized boat launching. Predicted outcome: GRANTED for defense on launching theory.</w:t>
      </w:r>
    </w:p>
    <w:p>
      <w:pPr>
        <w:pStyle w:val="Heading2"/>
      </w:pPr>
      <w:r>
        <w:t>E. Stairs Adequacy — Predicted Outcome: SENT TO TRIAL</w:t>
      </w:r>
    </w:p>
    <w:p>
      <w:pPr>
        <w:pStyle w:val="BodyText"/>
      </w:pPr>
      <w:r>
        <w:t>This is the central disputed question and the judge will not resolve it at summary judgment. Plaintiff's SAC ¶45 swears under penalty of perjury that the ground was "relatively level and even" before the bulkhead. The defense has competing evidence from Rioux suggesting a pre-existing parallel structure and rocky terrain. Under Brill, the judge must draw all reasonable inferences in favor of the non-moving party on each party's motion. On Poliner's motion, the judge accepts the defense's terrain evidence — ruling against Poliner on stairs adequacy. On the defense cross-motion, the judge accepts Plaintiff's sworn allegation of pre-existing level access — ruling against the defense. Both motions therefore fail on this issue, which goes to trial. The April 2025 settlement stipulation acknowledging stairs needed reconstruction is an additional reason for the judge to see a genuine factual dispute.</w:t>
      </w:r>
    </w:p>
    <w:p>
      <w:pPr>
        <w:pStyle w:val="Heading2"/>
      </w:pPr>
      <w:r>
        <w:t>F. Flooding Counts — Predicted Outcome: SURVIVE TO TRIAL</w:t>
      </w:r>
    </w:p>
    <w:p>
      <w:pPr>
        <w:pStyle w:val="BodyText"/>
      </w:pPr>
      <w:r>
        <w:t>No court will grant summary judgment on a flooding causation question involving: a construction-period discovery of a plugged municipal storm drain; September 2024 flooding before drain repair; photographic evidence of pre-construction flooding patterns; and competing expert positions on whether the bulkhead acting as a dam is an independent cause. All flooding counts survive.</w:t>
      </w:r>
    </w:p>
    <w:p>
      <w:pPr>
        <w:pStyle w:val="Heading2"/>
      </w:pPr>
      <w:r>
        <w:t>G. Trespass and Nuisance — Predicted Outcome: PARTIALLY DISMISSED</w:t>
      </w:r>
    </w:p>
    <w:p>
      <w:pPr>
        <w:pStyle w:val="BodyText"/>
      </w:pPr>
      <w:r>
        <w:t>The trespass and nuisance counts to the extent they rest on the trailer-launching theory will be dismissed. The nuisance count based on flooding will survive. The trespass count based on interference with landing rights is uncertain — Poliner will need the stairs-adequacy factual finding to survive, so these will be sent to trial along with the stairs question.</w:t>
      </w:r>
    </w:p>
    <w:p>
      <w:pPr>
        <w:pStyle w:val="Heading2"/>
      </w:pPr>
      <w:r>
        <w:t>H. Public Trust Doctrine — Predicted Outcome: DISMISSED</w:t>
      </w:r>
    </w:p>
    <w:p>
      <w:pPr>
        <w:pStyle w:val="BodyText"/>
      </w:pPr>
      <w:r>
        <w:t>Given Moran v. NJ DEP (2026), the Public Trust Doctrine theory is too fragile to survive summary judgment in this private easement context. The doctrine protects public rights in tidal waters, not individual private property owners' rights to traverse a neighboring private lot. Predicted outcome: GRANTED for defense. Count 4 dismissed.</w:t>
      </w:r>
    </w:p>
    <w:p>
      <w:pPr>
        <w:pStyle w:val="Heading2"/>
      </w:pPr>
      <w:r>
        <w:t>I. Summary of May 22 Predicted Rulings</w:t>
      </w:r>
    </w:p>
    <w:tbl>
      <w:tblPr>
        <w:tblStyle w:val="TableGrid"/>
        <w:tblW w:type="auto" w:w="0"/>
        <w:tblLayout w:type="fixed"/>
        <w:tblLook w:firstColumn="1" w:firstRow="1" w:lastColumn="0" w:lastRow="0" w:noHBand="0" w:noVBand="1" w:val="04A0"/>
      </w:tblPr>
      <w:tblGrid>
        <w:gridCol w:w="3168"/>
        <w:gridCol w:w="3600"/>
        <w:gridCol w:w="2592"/>
      </w:tblGrid>
      <w:tr>
        <w:tc>
          <w:tcPr>
            <w:tcW w:type="dxa" w:w="3120"/>
            <w:shd w:val="clear" w:color="auto" w:fill="D5E8F0"/>
          </w:tcPr>
          <w:p>
            <w:r>
              <w:rPr>
                <w:rFonts w:ascii="Arial" w:hAnsi="Arial"/>
                <w:b/>
                <w:sz w:val="18"/>
              </w:rPr>
              <w:t>Issue</w:t>
            </w:r>
          </w:p>
        </w:tc>
        <w:tc>
          <w:tcPr>
            <w:tcW w:type="dxa" w:w="3120"/>
            <w:shd w:val="clear" w:color="auto" w:fill="D5E8F0"/>
          </w:tcPr>
          <w:p>
            <w:r>
              <w:rPr>
                <w:rFonts w:ascii="Arial" w:hAnsi="Arial"/>
                <w:b/>
                <w:sz w:val="18"/>
              </w:rPr>
              <w:t>Analysis</w:t>
            </w:r>
          </w:p>
        </w:tc>
        <w:tc>
          <w:tcPr>
            <w:tcW w:type="dxa" w:w="3120"/>
            <w:shd w:val="clear" w:color="auto" w:fill="D5E8F0"/>
          </w:tcPr>
          <w:p>
            <w:r>
              <w:rPr>
                <w:rFonts w:ascii="Arial" w:hAnsi="Arial"/>
                <w:b/>
                <w:sz w:val="18"/>
              </w:rPr>
              <w:t>Predicted Ruling</w:t>
            </w:r>
          </w:p>
        </w:tc>
      </w:tr>
      <w:tr>
        <w:tc>
          <w:tcPr>
            <w:tcW w:type="dxa" w:w="3168"/>
          </w:tcPr>
          <w:p>
            <w:r>
              <w:rPr>
                <w:rFonts w:ascii="Arial" w:hAnsi="Arial"/>
                <w:sz w:val="17"/>
              </w:rPr>
              <w:t>Guadagno letter brief accepted</w:t>
            </w:r>
          </w:p>
        </w:tc>
        <w:tc>
          <w:tcPr>
            <w:tcW w:type="dxa" w:w="3600"/>
          </w:tcPr>
          <w:p>
            <w:r>
              <w:rPr>
                <w:rFonts w:ascii="Arial" w:hAnsi="Arial"/>
                <w:sz w:val="17"/>
              </w:rPr>
              <w:t>Substantive and necessary; equitable discretion favors hearing it</w:t>
            </w:r>
          </w:p>
        </w:tc>
        <w:tc>
          <w:tcPr>
            <w:tcW w:type="dxa" w:w="2592"/>
          </w:tcPr>
          <w:p>
            <w:r>
              <w:rPr>
                <w:rFonts w:ascii="Arial" w:hAnsi="Arial"/>
                <w:color w:val="206020"/>
                <w:sz w:val="17"/>
              </w:rPr>
              <w:t>ACCEPTED</w:t>
            </w:r>
          </w:p>
        </w:tc>
      </w:tr>
      <w:tr>
        <w:tc>
          <w:tcPr>
            <w:tcW w:type="dxa" w:w="3168"/>
          </w:tcPr>
          <w:p>
            <w:r>
              <w:rPr>
                <w:rFonts w:ascii="Arial" w:hAnsi="Arial"/>
                <w:sz w:val="17"/>
              </w:rPr>
              <w:t>Borough cross-motion</w:t>
            </w:r>
          </w:p>
        </w:tc>
        <w:tc>
          <w:tcPr>
            <w:tcW w:type="dxa" w:w="3600"/>
          </w:tcPr>
          <w:p>
            <w:r>
              <w:rPr>
                <w:rFonts w:ascii="Arial" w:hAnsi="Arial"/>
                <w:sz w:val="17"/>
              </w:rPr>
              <w:t>2017 MPAP + 60 years of services = genuine ownership issue</w:t>
            </w:r>
          </w:p>
        </w:tc>
        <w:tc>
          <w:tcPr>
            <w:tcW w:type="dxa" w:w="2592"/>
          </w:tcPr>
          <w:p>
            <w:r>
              <w:rPr>
                <w:rFonts w:ascii="Arial" w:hAnsi="Arial"/>
                <w:color w:val="703030"/>
                <w:sz w:val="17"/>
              </w:rPr>
              <w:t>DENIED — Borough stays in case</w:t>
            </w:r>
          </w:p>
        </w:tc>
      </w:tr>
      <w:tr>
        <w:tc>
          <w:tcPr>
            <w:tcW w:type="dxa" w:w="3168"/>
          </w:tcPr>
          <w:p>
            <w:r>
              <w:rPr>
                <w:rFonts w:ascii="Arial" w:hAnsi="Arial"/>
                <w:sz w:val="17"/>
              </w:rPr>
              <w:t>TCA immunity (failure to enforce)</w:t>
            </w:r>
          </w:p>
        </w:tc>
        <w:tc>
          <w:tcPr>
            <w:tcW w:type="dxa" w:w="3600"/>
          </w:tcPr>
          <w:p>
            <w:r>
              <w:rPr>
                <w:rFonts w:ascii="Arial" w:hAnsi="Arial"/>
                <w:sz w:val="17"/>
              </w:rPr>
              <w:t>Failure to act = immunity under 59:2-4</w:t>
            </w:r>
          </w:p>
        </w:tc>
        <w:tc>
          <w:tcPr>
            <w:tcW w:type="dxa" w:w="2592"/>
          </w:tcPr>
          <w:p>
            <w:r>
              <w:rPr>
                <w:rFonts w:ascii="Arial" w:hAnsi="Arial"/>
                <w:color w:val="206020"/>
                <w:sz w:val="17"/>
              </w:rPr>
              <w:t>PARTIALLY GRANTED</w:t>
            </w:r>
          </w:p>
        </w:tc>
      </w:tr>
      <w:tr>
        <w:tc>
          <w:tcPr>
            <w:tcW w:type="dxa" w:w="3168"/>
          </w:tcPr>
          <w:p>
            <w:r>
              <w:rPr>
                <w:rFonts w:ascii="Arial" w:hAnsi="Arial"/>
                <w:sz w:val="17"/>
              </w:rPr>
              <w:t>TCA immunity (formal approval vote)</w:t>
            </w:r>
          </w:p>
        </w:tc>
        <w:tc>
          <w:tcPr>
            <w:tcW w:type="dxa" w:w="3600"/>
          </w:tcPr>
          <w:p>
            <w:r>
              <w:rPr>
                <w:rFonts w:ascii="Arial" w:hAnsi="Arial"/>
                <w:sz w:val="17"/>
              </w:rPr>
              <w:t>Affirmative governmental action = no immunity</w:t>
            </w:r>
          </w:p>
        </w:tc>
        <w:tc>
          <w:tcPr>
            <w:tcW w:type="dxa" w:w="2592"/>
          </w:tcPr>
          <w:p>
            <w:r>
              <w:rPr>
                <w:rFonts w:ascii="Arial" w:hAnsi="Arial"/>
                <w:color w:val="703030"/>
                <w:sz w:val="17"/>
              </w:rPr>
              <w:t>DENIED</w:t>
            </w:r>
          </w:p>
        </w:tc>
      </w:tr>
      <w:tr>
        <w:tc>
          <w:tcPr>
            <w:tcW w:type="dxa" w:w="3168"/>
          </w:tcPr>
          <w:p>
            <w:r>
              <w:rPr>
                <w:rFonts w:ascii="Arial" w:hAnsi="Arial"/>
                <w:sz w:val="17"/>
              </w:rPr>
              <w:t>Launching scope of easement</w:t>
            </w:r>
          </w:p>
        </w:tc>
        <w:tc>
          <w:tcPr>
            <w:tcW w:type="dxa" w:w="3600"/>
          </w:tcPr>
          <w:p>
            <w:r>
              <w:rPr>
                <w:rFonts w:ascii="Arial" w:hAnsi="Arial"/>
                <w:sz w:val="17"/>
              </w:rPr>
              <w:t>Deed says "landing"; 40-year non-use; no launching infrastructure</w:t>
            </w:r>
          </w:p>
        </w:tc>
        <w:tc>
          <w:tcPr>
            <w:tcW w:type="dxa" w:w="2592"/>
          </w:tcPr>
          <w:p>
            <w:r>
              <w:rPr>
                <w:rFonts w:ascii="Arial" w:hAnsi="Arial"/>
                <w:color w:val="206020"/>
                <w:sz w:val="17"/>
              </w:rPr>
              <w:t>GRANTED for defense</w:t>
            </w:r>
          </w:p>
        </w:tc>
      </w:tr>
      <w:tr>
        <w:tc>
          <w:tcPr>
            <w:tcW w:type="dxa" w:w="3168"/>
          </w:tcPr>
          <w:p>
            <w:r>
              <w:rPr>
                <w:rFonts w:ascii="Arial" w:hAnsi="Arial"/>
                <w:sz w:val="17"/>
              </w:rPr>
              <w:t>Public Trust Doctrine (Count 4)</w:t>
            </w:r>
          </w:p>
        </w:tc>
        <w:tc>
          <w:tcPr>
            <w:tcW w:type="dxa" w:w="3600"/>
          </w:tcPr>
          <w:p>
            <w:r>
              <w:rPr>
                <w:rFonts w:ascii="Arial" w:hAnsi="Arial"/>
                <w:sz w:val="17"/>
              </w:rPr>
              <w:t>Moran v. NJ DEP (2026) narrows doctrine</w:t>
            </w:r>
          </w:p>
        </w:tc>
        <w:tc>
          <w:tcPr>
            <w:tcW w:type="dxa" w:w="2592"/>
          </w:tcPr>
          <w:p>
            <w:r>
              <w:rPr>
                <w:rFonts w:ascii="Arial" w:hAnsi="Arial"/>
                <w:color w:val="703030"/>
                <w:sz w:val="17"/>
              </w:rPr>
              <w:t>DISMISSED</w:t>
            </w:r>
          </w:p>
        </w:tc>
      </w:tr>
      <w:tr>
        <w:tc>
          <w:tcPr>
            <w:tcW w:type="dxa" w:w="3168"/>
          </w:tcPr>
          <w:p>
            <w:r>
              <w:rPr>
                <w:rFonts w:ascii="Arial" w:hAnsi="Arial"/>
                <w:sz w:val="17"/>
              </w:rPr>
              <w:t>Stairs adequacy (Count 1)</w:t>
            </w:r>
          </w:p>
        </w:tc>
        <w:tc>
          <w:tcPr>
            <w:tcW w:type="dxa" w:w="3600"/>
          </w:tcPr>
          <w:p>
            <w:r>
              <w:rPr>
                <w:rFonts w:ascii="Arial" w:hAnsi="Arial"/>
                <w:sz w:val="17"/>
              </w:rPr>
              <w:t>Competing sworn evidence; April 2025 stipulation admission</w:t>
            </w:r>
          </w:p>
        </w:tc>
        <w:tc>
          <w:tcPr>
            <w:tcW w:type="dxa" w:w="2592"/>
          </w:tcPr>
          <w:p>
            <w:r>
              <w:rPr>
                <w:rFonts w:ascii="Arial" w:hAnsi="Arial"/>
                <w:color w:val="C05020"/>
                <w:sz w:val="17"/>
              </w:rPr>
              <w:t>TO TRIAL</w:t>
            </w:r>
          </w:p>
        </w:tc>
      </w:tr>
      <w:tr>
        <w:tc>
          <w:tcPr>
            <w:tcW w:type="dxa" w:w="3168"/>
          </w:tcPr>
          <w:p>
            <w:r>
              <w:rPr>
                <w:rFonts w:ascii="Arial" w:hAnsi="Arial"/>
                <w:sz w:val="17"/>
              </w:rPr>
              <w:t>Trespass on landing right (Count 2)</w:t>
            </w:r>
          </w:p>
        </w:tc>
        <w:tc>
          <w:tcPr>
            <w:tcW w:type="dxa" w:w="3600"/>
          </w:tcPr>
          <w:p>
            <w:r>
              <w:rPr>
                <w:rFonts w:ascii="Arial" w:hAnsi="Arial"/>
                <w:sz w:val="17"/>
              </w:rPr>
              <w:t>Depends on stairs adequacy finding</w:t>
            </w:r>
          </w:p>
        </w:tc>
        <w:tc>
          <w:tcPr>
            <w:tcW w:type="dxa" w:w="2592"/>
          </w:tcPr>
          <w:p>
            <w:r>
              <w:rPr>
                <w:rFonts w:ascii="Arial" w:hAnsi="Arial"/>
                <w:color w:val="C05020"/>
                <w:sz w:val="17"/>
              </w:rPr>
              <w:t>TO TRIAL</w:t>
            </w:r>
          </w:p>
        </w:tc>
      </w:tr>
      <w:tr>
        <w:tc>
          <w:tcPr>
            <w:tcW w:type="dxa" w:w="3168"/>
          </w:tcPr>
          <w:p>
            <w:r>
              <w:rPr>
                <w:rFonts w:ascii="Arial" w:hAnsi="Arial"/>
                <w:sz w:val="17"/>
              </w:rPr>
              <w:t>Nuisance — easement interference (Count 3)</w:t>
            </w:r>
          </w:p>
        </w:tc>
        <w:tc>
          <w:tcPr>
            <w:tcW w:type="dxa" w:w="3600"/>
          </w:tcPr>
          <w:p>
            <w:r>
              <w:rPr>
                <w:rFonts w:ascii="Arial" w:hAnsi="Arial"/>
                <w:sz w:val="17"/>
              </w:rPr>
              <w:t>Depends on stairs adequacy finding</w:t>
            </w:r>
          </w:p>
        </w:tc>
        <w:tc>
          <w:tcPr>
            <w:tcW w:type="dxa" w:w="2592"/>
          </w:tcPr>
          <w:p>
            <w:r>
              <w:rPr>
                <w:rFonts w:ascii="Arial" w:hAnsi="Arial"/>
                <w:color w:val="C05020"/>
                <w:sz w:val="17"/>
              </w:rPr>
              <w:t>TO TRIAL</w:t>
            </w:r>
          </w:p>
        </w:tc>
      </w:tr>
      <w:tr>
        <w:tc>
          <w:tcPr>
            <w:tcW w:type="dxa" w:w="3168"/>
          </w:tcPr>
          <w:p>
            <w:r>
              <w:rPr>
                <w:rFonts w:ascii="Arial" w:hAnsi="Arial"/>
                <w:sz w:val="17"/>
              </w:rPr>
              <w:t>Flooding counts</w:t>
            </w:r>
          </w:p>
        </w:tc>
        <w:tc>
          <w:tcPr>
            <w:tcW w:type="dxa" w:w="3600"/>
          </w:tcPr>
          <w:p>
            <w:r>
              <w:rPr>
                <w:rFonts w:ascii="Arial" w:hAnsi="Arial"/>
                <w:sz w:val="17"/>
              </w:rPr>
              <w:t>Causation dispute; drain vs. bulkhead vs. both</w:t>
            </w:r>
          </w:p>
        </w:tc>
        <w:tc>
          <w:tcPr>
            <w:tcW w:type="dxa" w:w="2592"/>
          </w:tcPr>
          <w:p>
            <w:r>
              <w:rPr>
                <w:rFonts w:ascii="Arial" w:hAnsi="Arial"/>
                <w:color w:val="C05020"/>
                <w:sz w:val="17"/>
              </w:rPr>
              <w:t>TO TRIAL</w:t>
            </w:r>
          </w:p>
        </w:tc>
      </w:tr>
      <w:tr>
        <w:tc>
          <w:tcPr>
            <w:tcW w:type="dxa" w:w="3168"/>
          </w:tcPr>
          <w:p>
            <w:r>
              <w:rPr>
                <w:rFonts w:ascii="Arial" w:hAnsi="Arial"/>
                <w:sz w:val="17"/>
              </w:rPr>
              <w:t>Inverse condemnation (Count 6)</w:t>
            </w:r>
          </w:p>
        </w:tc>
        <w:tc>
          <w:tcPr>
            <w:tcW w:type="dxa" w:w="3600"/>
          </w:tcPr>
          <w:p>
            <w:r>
              <w:rPr>
                <w:rFonts w:ascii="Arial" w:hAnsi="Arial"/>
                <w:sz w:val="17"/>
              </w:rPr>
              <w:t>Formal approval vote = potential affirmative act</w:t>
            </w:r>
          </w:p>
        </w:tc>
        <w:tc>
          <w:tcPr>
            <w:tcW w:type="dxa" w:w="2592"/>
          </w:tcPr>
          <w:p>
            <w:r>
              <w:rPr>
                <w:rFonts w:ascii="Arial" w:hAnsi="Arial"/>
                <w:color w:val="C05020"/>
                <w:sz w:val="17"/>
              </w:rPr>
              <w:t>TO TRIAL</w:t>
            </w:r>
          </w:p>
        </w:tc>
      </w:tr>
      <w:tr>
        <w:tc>
          <w:tcPr>
            <w:tcW w:type="dxa" w:w="3168"/>
          </w:tcPr>
          <w:p>
            <w:r>
              <w:rPr>
                <w:rFonts w:ascii="Arial" w:hAnsi="Arial"/>
                <w:sz w:val="17"/>
              </w:rPr>
              <w:t>Injunctive relief — full demolition</w:t>
            </w:r>
          </w:p>
        </w:tc>
        <w:tc>
          <w:tcPr>
            <w:tcW w:type="dxa" w:w="3600"/>
          </w:tcPr>
          <w:p>
            <w:r>
              <w:rPr>
                <w:rFonts w:ascii="Arial" w:hAnsi="Arial"/>
                <w:sz w:val="17"/>
              </w:rPr>
              <w:t>Disproportionate; settlement showed gate is adequate remedy</w:t>
            </w:r>
          </w:p>
        </w:tc>
        <w:tc>
          <w:tcPr>
            <w:tcW w:type="dxa" w:w="2592"/>
          </w:tcPr>
          <w:p>
            <w:r>
              <w:rPr>
                <w:rFonts w:ascii="Arial" w:hAnsi="Arial"/>
                <w:color w:val="703030"/>
                <w:sz w:val="17"/>
              </w:rPr>
              <w:t>LIKELY DENIED; remedy reserved for trial</w:t>
            </w:r>
          </w:p>
        </w:tc>
      </w:tr>
    </w:tbl>
    <w:p>
      <w:r>
        <w:br w:type="page"/>
      </w:r>
    </w:p>
    <w:p>
      <w:pPr>
        <w:pStyle w:val="Heading1"/>
      </w:pPr>
      <w:r>
        <w:t>X. TRIAL ANALYSIS — JULY 21, 2026</w:t>
      </w:r>
    </w:p>
    <w:p>
      <w:pPr>
        <w:pStyle w:val="Heading2"/>
      </w:pPr>
      <w:r>
        <w:t>A. Trial Format and Issues</w:t>
      </w:r>
    </w:p>
    <w:p>
      <w:pPr>
        <w:pStyle w:val="BodyText"/>
      </w:pPr>
      <w:r>
        <w:t>This is a Chancery Division case. There is no right to jury trial in equity. The trial will be a bench trial before Judge Zazzali-Hogan at the Hall of Records in Freehold. Based on the May 22 predicted rulings, the issues remaining for trial will include: (1) whether the stairway is an adequate substitute for the historical access right granted by the 1929 Dillon deed; (2) whether the bulkhead caused flooding that damaged Plaintiff's property and the extent of those damages; (3) whether the Borough owns Riverview Road and the bulkhead terminus, and what consequences flow from that finding; (4) what equitable remedy is appropriate if Plaintiff prevails on any count. The trial will likely run 3-5 days.</w:t>
      </w:r>
    </w:p>
    <w:p>
      <w:pPr>
        <w:pStyle w:val="Heading2"/>
      </w:pPr>
      <w:r>
        <w:t>B. Witness-by-Witness Assessment</w:t>
      </w:r>
    </w:p>
    <w:p>
      <w:pPr>
        <w:pStyle w:val="BodyText"/>
      </w:pPr>
      <w:r>
        <w:t>Faith G. Tieri (Plaintiff): Will testify about family history of easement use since 1964, 40-year personal non-use, flooding damages, loss of ability to advertise river access. Vulnerabilities: the non-use admission; no specific dollar amount for any category of damage documented in discovery; uncertainty about what conditions were like during the period of active family use in the 1960s-1980s.</w:t>
      </w:r>
    </w:p>
    <w:p>
      <w:pPr>
        <w:pStyle w:val="BodyText"/>
      </w:pPr>
      <w:r>
        <w:t>David Kho (Defendant): Will testify about the decision to build, the Borough approval, the 2022 warning letters, and his offer to build the road-end bulkhead for free. His willingness to offer free construction to the Borough is the factual foundation for both the authorization defense and the equitable estoppel claim. Vulnerabilities: the 2022 warning letters prove knowledge; construction proceeded anyway; August 2024 CAFRA permit application filed while construction was already happening.</w:t>
      </w:r>
    </w:p>
    <w:p>
      <w:pPr>
        <w:pStyle w:val="BodyText"/>
      </w:pPr>
      <w:r>
        <w:t>Chi Hsu-Kho (Defendant): Testified at deposition that kayaks are carriable over the stairs (Dep. 38:3-14) and that the property was built for elevation 7 flood protection (Dep. 14:23-15:2). Useful for the defense on stairs adequacy and flood protection justification.</w:t>
      </w:r>
    </w:p>
    <w:p>
      <w:pPr>
        <w:pStyle w:val="BodyText"/>
      </w:pPr>
      <w:r>
        <w:t>Rioux (Defense Expert): Will testify about pre-construction site conditions, alleged pre-existing parallel structure in aerial photographs, rocky shoreline, absence of any boat launch infrastructure. Vulnerabilities: the 1977 aerial photograph does not clearly show a pre-existing parallel wall at Lot 20; the defense's own deposition citation (Stokes 76:2-77:10) says the pre-existing bulkhead was "to the west of Lot 20," not at the Lot 20 waterfront.</w:t>
      </w:r>
    </w:p>
    <w:p>
      <w:pPr>
        <w:pStyle w:val="BodyText"/>
      </w:pPr>
      <w:r>
        <w:t>Stokes (Defense Engineer / Twin Rivers): Key testimony on the flood drain discovery and repair (Dep. 74:16-75:7) and on the pre-existing bulkhead location (Dep. 76:2-77:10) and on Borough authorization of bulkhead for street flooding protection (Dep. 66:2-9).</w:t>
      </w:r>
    </w:p>
    <w:p>
      <w:pPr>
        <w:pStyle w:val="BodyText"/>
      </w:pPr>
      <w:r>
        <w:t>Former Mayor Stickle (Borough 30(b)(6) designee): Already gave unfavorable deposition testimony. "I don't know who owns Riverview Road" is a sound bite that Poliner and Guadagno will both use at trial — from opposite directions.</w:t>
      </w:r>
    </w:p>
    <w:p>
      <w:pPr>
        <w:pStyle w:val="BodyText"/>
      </w:pPr>
      <w:r>
        <w:t>Natasi (Defense): Testified kayak is carriable over stairs. Useful supporting witness for defense on stairs adequacy.</w:t>
      </w:r>
    </w:p>
    <w:p>
      <w:pPr>
        <w:pStyle w:val="Heading2"/>
      </w:pPr>
      <w:r>
        <w:t>C. The Flooding Trial — Assessment</w:t>
      </w:r>
    </w:p>
    <w:p>
      <w:pPr>
        <w:pStyle w:val="BodyText"/>
      </w:pPr>
      <w:r>
        <w:t>The flooding trial is Plaintiff's strongest case. The key evidence the defense must contend with includes: (1) the O'Brien Realty YouTube video (December 2019) showing what appears to be standing water at the Riverview Road terminus before construction — defense will need to distinguish this as showing normal tidal/storm conditions rather than the pathological post-construction flooding Tieri describes; (2) photos of water pooling on Tieri's lawn; (3) the fact that September 2024 flooding occurred after construction was complete but before the drain was repaired.</w:t>
      </w:r>
    </w:p>
    <w:p>
      <w:pPr>
        <w:pStyle w:val="BodyText"/>
      </w:pPr>
      <w:r>
        <w:t>The defense theory is sound as far as it goes: the plugged municipal drain was the primary but-for cause of the flooding in September 2024. But this theory has a problem: if the drain was the but-for cause, why was the drain plugged in the first place, and is the Borough liable for maintaining a defective drain that flooded a neighbor's property? The drain maintenance issue is the Borough's independent exposure even if the bulkhead is found not to be a cause.</w:t>
      </w:r>
    </w:p>
    <w:p>
      <w:pPr>
        <w:pStyle w:val="BodyText"/>
      </w:pPr>
      <w:r>
        <w:t>After the drain was repaired, the defense will argue flooding stopped, proving the drain was the cause. If you have personal knowledge that flooding did not recur after drain repair, this should be formalized in a sworn certification before trial to be used as rebuttal evidence. That certification does not currently appear to be in the record.</w:t>
      </w:r>
    </w:p>
    <w:p>
      <w:pPr>
        <w:pStyle w:val="BodyText"/>
      </w:pPr>
      <w:r>
        <w:t>Joint and several liability: Under the Fair Share Act, if both the Kho defendants and the Borough are found liable for the flooding, the apportionment of damages will depend on relative fault. The Borough's TCA immunity defense may limit its monetary exposure even if it is found to have contributed to the flooding through the drain maintenance failure.</w:t>
      </w:r>
    </w:p>
    <w:p>
      <w:pPr>
        <w:pStyle w:val="Heading2"/>
      </w:pPr>
      <w:r>
        <w:t>D. Easement Trial — Assessment</w:t>
      </w:r>
    </w:p>
    <w:p>
      <w:pPr>
        <w:pStyle w:val="BodyText"/>
      </w:pPr>
      <w:r>
        <w:t>The central question is whether the stairway adequately substitutes for historical grade-level access. This will come down to credibility and expert testimony. Plaintiff has a sworn factual allegation of level pre-construction ground. Defense has Rioux's aerial evidence suggesting a pre-existing structure.</w:t>
      </w:r>
    </w:p>
    <w:p>
      <w:pPr>
        <w:pStyle w:val="BodyText"/>
      </w:pPr>
      <w:r>
        <w:t>The April 2025 settlement stipulation will be offered by Poliner as a party admission that the stairs were inadequate and needed reconstruction. The defense will argue it was a compromise, not an admission of liability. The judge will likely view the stipulation as highly relevant evidence of the parties' understanding of the deficiency.</w:t>
      </w:r>
    </w:p>
    <w:p>
      <w:pPr>
        <w:pStyle w:val="BodyText"/>
      </w:pPr>
      <w:r>
        <w:t>If Plaintiff prevails on stairs adequacy, the remedy question becomes paramount. The court has equitable flexibility. It will not order wholesale demolition of a flood-protection structure that serves the entire neighborhood. The most likely equitable remedy, should Plaintiff prevail, is an order requiring the Kho defendants to install an engineered gate between pilings — precisely what the April 2025 settlement contemplated. The judge may also order the stairs to be reconstructed to a more accessible standard.</w:t>
      </w:r>
    </w:p>
    <w:p>
      <w:pPr>
        <w:pStyle w:val="BodyText"/>
      </w:pPr>
      <w:r>
        <w:t>The Borough ownership issue, if resolved in Guadagno's favor at trial, means the Borough is responsible for the red-area section of bulkhead. If the Borough owns that section, then the remedy order for any gate installation would run against the Borough, not the Khos, for that portion — creating an interesting strategic alignment where both Guadagno and Poliner benefit from a Borough-ownership finding.</w:t>
      </w:r>
    </w:p>
    <w:p>
      <w:r>
        <w:br w:type="page"/>
      </w:r>
    </w:p>
    <w:p>
      <w:pPr>
        <w:pStyle w:val="Heading1"/>
      </w:pPr>
      <w:r>
        <w:t>XI. OUTCOME SCENARIOS AND PROBABILITY ASSESSMENT</w:t>
      </w:r>
    </w:p>
    <w:p>
      <w:pPr>
        <w:pStyle w:val="Heading2"/>
      </w:pPr>
      <w:r>
        <w:t>Most Likely Outcome (55–60% probability)</w:t>
      </w:r>
    </w:p>
    <w:p>
      <w:pPr>
        <w:pStyle w:val="BodyText"/>
      </w:pPr>
      <w:r>
        <w:t>After May 22, the case goes to trial on: stairs adequacy, flooding causation, Borough ownership, and remedy. At trial, the flooding counts partially succeed. The court finds the bulkhead contributed to the September 2024 flooding in combination with the plugged municipal drain. Damages are modest — perhaps $5,000–$15,000 in property damage — because the flooding was partly caused by the pre-existing drain problem and most homes on the street are elevated above flood level. The Borough is found to own Riverview Road and the red-area bulkhead section, mooting some of the Kho defendants' exposure on the remedy question.</w:t>
      </w:r>
    </w:p>
    <w:p>
      <w:pPr>
        <w:pStyle w:val="BodyText"/>
      </w:pPr>
      <w:r>
        <w:t>On the easement counts, the court finds the current stairs are not fully adequate for the easement right granted (because both sides agreed to a gate in April 2025) but does not order demolition of the bulkhead. The remedy is an injunction requiring installation of an engineered gate between pilings #1 and #3 (the April 2025 settlement remedy) and reconstruction of stairs to engineering standards. Both sides'  lawyers can claim partial victory.</w:t>
      </w:r>
    </w:p>
    <w:p>
      <w:pPr>
        <w:pStyle w:val="BodyText"/>
      </w:pPr>
      <w:r>
        <w:t>Attorney fees: Under these circumstances, neither side meets the threshold for frivolous litigation fee-shifting. Each party bears its own fees. Tieri receives a modest money judgment on flooding and an injunction requiring the gate.</w:t>
      </w:r>
    </w:p>
    <w:p>
      <w:pPr>
        <w:pStyle w:val="Heading2"/>
      </w:pPr>
      <w:r>
        <w:t>Best Case for Defense (25–30% probability)</w:t>
      </w:r>
    </w:p>
    <w:p>
      <w:pPr>
        <w:pStyle w:val="BodyText"/>
      </w:pPr>
      <w:r>
        <w:t>The judge grants summary judgment dismissing Counts 1-4 at May 22. At trial, the court finds the plugged municipal drain was the sole cause of the September 2024 flooding; the bulkhead is cleared of any flooding liability. The Borough is found liable for the drain but its TCA immunity limits monetary exposure. The Kho defendants are dismissed from all counts except the CAFRA permit issue, which becomes the subject of regulatory proceedings rather than this litigation. Monetary damages against Kho defendants: zero. Tieri recovers small damages from Borough for the drain maintenance failure.</w:t>
      </w:r>
    </w:p>
    <w:p>
      <w:pPr>
        <w:pStyle w:val="BodyText"/>
      </w:pPr>
      <w:r>
        <w:t>Path to this outcome requires: the judge to find Plaintiff's own SAC ¶45 testimony insufficient to create a genuine fact issue on stairs adequacy (difficult given it is sworn); and the flooding evidence to point exclusively to the drain rather than the bulkhead (possible if post-repair no-flooding evidence is formalized). Estimated probability: 25-30%.</w:t>
      </w:r>
    </w:p>
    <w:p>
      <w:pPr>
        <w:pStyle w:val="Heading2"/>
      </w:pPr>
      <w:r>
        <w:t>Worst Case for Defense (15–20% probability)</w:t>
      </w:r>
    </w:p>
    <w:p>
      <w:pPr>
        <w:pStyle w:val="BodyText"/>
      </w:pPr>
      <w:r>
        <w:t>The judge at May 22 denies all defense motions, finding genuine issues on every count including launching scope (by crediting the "implied rights" argument). At trial, the court finds: stairs are inadequate for the full scope of easement rights (including carrying equipment to the water); the bulkhead caused flooding; the Borough owns the road and shares liability. Orders: (1) modification of the parallel bulkhead section to provide grade-level or near-grade-level access; (2) damages for flooding; (3) potential injunction requiring CAFRA permit compliance.</w:t>
      </w:r>
    </w:p>
    <w:p>
      <w:pPr>
        <w:pStyle w:val="BodyText"/>
      </w:pPr>
      <w:r>
        <w:t>In this scenario, the CAFRA permit issue becomes acute: the court may refer the matter to NJDEP or condition any remedy on obtaining proper permitting — which requires Plaintiff's consent under current NJDEP rules, giving Tieri continued leverage. Damages could reach $30,000-$50,000 if flooding caused significant documented property damage (unknown from current record). Path to this outcome requires Poliner to introduce documentary evidence of specific flood damages at trial.</w:t>
      </w:r>
    </w:p>
    <w:p>
      <w:r>
        <w:br w:type="page"/>
      </w:r>
    </w:p>
    <w:p>
      <w:pPr>
        <w:pStyle w:val="Heading1"/>
      </w:pPr>
      <w:r>
        <w:t>XII. STRATEGIC RECOMMENDATIONS FOR THE DEFENSE</w:t>
      </w:r>
    </w:p>
    <w:p>
      <w:pPr>
        <w:pStyle w:val="Heading2"/>
      </w:pPr>
      <w:r>
        <w:t>Before May 22</w:t>
      </w:r>
    </w:p>
    <w:p>
      <w:pPr>
        <w:pStyle w:val="BodyText"/>
      </w:pPr>
      <w:r>
        <w:t>1. Address the CAFRA/NJDEP gap: Guadagno's cross-motion brief does not adequately respond to the CAFRA permit issue raised in SAC ¶69-73. Poliner will raise this at oral argument. Counsel should be prepared to explain the permit status, whether any administrative proceedings are ongoing, and what the Zane Letter (which authorized the perpendicular section only) covers versus what remains unpermitted.</w:t>
      </w:r>
    </w:p>
    <w:p>
      <w:pPr>
        <w:pStyle w:val="BodyText"/>
      </w:pPr>
      <w:r>
        <w:t>2. Prepare for the settlement stipulation: Poliner will cite the April 2025 stipulation as evidence that defense counsel acknowledged stairs were inadequate. Guadagno should be prepared with the argument that a compromise settlement document is not an admission of liability and does not establish the legal standard for easement adequacy.</w:t>
      </w:r>
    </w:p>
    <w:p>
      <w:pPr>
        <w:pStyle w:val="BodyText"/>
      </w:pPr>
      <w:r>
        <w:t>3. Flag the flooding timeline: If flooding has not recurred since drain repair, this should be in the record before trial. A sworn certification from a knowledgeable witness (David Kho, a neighbor, a contractor) stating that the drainage situation has been normal since the municipal drain was repaired in fall 2024 would be significant rebuttal evidence.</w:t>
      </w:r>
    </w:p>
    <w:p>
      <w:pPr>
        <w:pStyle w:val="Heading2"/>
      </w:pPr>
      <w:r>
        <w:t>At May 22 Oral Argument</w:t>
      </w:r>
    </w:p>
    <w:p>
      <w:pPr>
        <w:pStyle w:val="BodyText"/>
      </w:pPr>
      <w:r>
        <w:t>Priority arguments: (1) Lead with the launching vs. landing distinction — it is the cleanest legal win available; (2) Deploy Tieri's 40-year non-use on the practical-construction argument; (3) On the Borough motion, let Guadagno take the lead arguing her implied dedication case — her three points are more compelling than Padula's dismissal arguments; (4) On stairs adequacy, emphasize that Hsu-Kho and Natasi both personally demonstrated kayak-carriage over stairs — the only actual use Tieri has shown any interest in.</w:t>
      </w:r>
    </w:p>
    <w:p>
      <w:pPr>
        <w:pStyle w:val="BodyText"/>
      </w:pPr>
      <w:r>
        <w:t>Do not spend time on: Public Trust Doctrine (Moran has weakened this for both sides; just agree it doesn't apply); inverse condemnation (it is very thin).</w:t>
      </w:r>
    </w:p>
    <w:p>
      <w:pPr>
        <w:pStyle w:val="Heading2"/>
      </w:pPr>
      <w:r>
        <w:t>Before Trial</w:t>
      </w:r>
    </w:p>
    <w:p>
      <w:pPr>
        <w:pStyle w:val="BodyText"/>
      </w:pPr>
      <w:r>
        <w:t>1. Formalize the post-repair flooding evidence: A sworn certification from David Kho or a neighbor stating that no flooding has recurred since the drain was repaired is critical to the flooding defense. File it as a supplemental certification before the July 21 trial.</w:t>
      </w:r>
    </w:p>
    <w:p>
      <w:pPr>
        <w:pStyle w:val="BodyText"/>
      </w:pPr>
      <w:r>
        <w:t>2. Expert on flooding causation: If no expert report on flooding causation has been filed, this should be addressed. Stokes has already testified about the drain discovery. Consider whether a hydrological or civil engineering expert can opine that the drain blockage was the sole hydraulic cause of the September 2024 flooding and that the bulkhead alone would not have caused flooding with a functioning drain.</w:t>
      </w:r>
    </w:p>
    <w:p>
      <w:pPr>
        <w:pStyle w:val="BodyText"/>
      </w:pPr>
      <w:r>
        <w:t>3. Document Tieri's actual damages: Defense should serve discovery (if not already done) demanding all evidence of Tieri's flood-related damages. If she has no repair bills, no contractor estimates, no insurance claims, the flooding counts become nominal-damages-only cases that support a fee-shifting argument.</w:t>
      </w:r>
    </w:p>
    <w:p>
      <w:pPr>
        <w:pStyle w:val="BodyText"/>
      </w:pPr>
      <w:r>
        <w:t>4. Consider renewed settlement: Given that both sides already agreed on the gate remedy in April 2025, a renewed settlement offer of: (a) install an engineered gate between pilings 1 and 3; (b) reconstruct stairs to ADA-accessible standards; (c) no monetary payment — may be attractive to Tieri given the litigation costs and the uncertain damages evidence. A settlement avoids the CAFRA permit complication, which currently gives Tieri a regulatory veto over the bulkhead's legal status.</w:t>
      </w:r>
    </w:p>
    <w:p>
      <w:pPr>
        <w:pStyle w:val="Heading2"/>
      </w:pPr>
      <w:r>
        <w:t>Post-Trial Fee Application</w:t>
      </w:r>
    </w:p>
    <w:p>
      <w:pPr>
        <w:pStyle w:val="BodyText"/>
      </w:pPr>
      <w:r>
        <w:t>If the defense prevails at trial on the flooding counts (most significant financial exposure), the basis for a frivolous litigation application under N.J.S.A. 2A:15-59.1 would depend on whether the flooding claims were "frivolous" — meaning no reasonable basis in fact or law. Given the actual September 2024 flooding event occurred, it is difficult to characterize Tieri's flooding claims as frivolous even if causation is ultimately attributed to the municipal drain.</w:t>
      </w:r>
    </w:p>
    <w:p>
      <w:pPr>
        <w:pStyle w:val="BodyText"/>
      </w:pPr>
      <w:r>
        <w:t>A stronger basis exists for a R. 1:4-8 sanctions motion if the court finds that specific legal arguments (like the Public Trust Doctrine theory after Moran) were continued without reasonable basis. The prerequisite 28-day safe harbor letter would need to have been sent before May 22. If not sent, this avenue is closed for the summary judgment phase but remains available for post-trial theories.</w:t>
      </w:r>
    </w:p>
    <w:p>
      <w:pPr>
        <w:pStyle w:val="BodyText"/>
      </w:pPr>
      <w:r>
        <w:t>Under the American Rule, each party generally bears its own fees absent statutory authorization. The most realistic path to fee recovery for the defense is: (1) prevail on the flooding counts; (2) establish Tieri had no documented damages at all; (3) then argue the flooding litigation was frivolous from the outset. That argument is available but not strong given the actual flooding event.</w:t>
      </w:r>
    </w:p>
    <w:p>
      <w:r>
        <w:br w:type="page"/>
      </w:r>
    </w:p>
    <w:p>
      <w:pPr>
        <w:pStyle w:val="Heading1"/>
      </w:pPr>
      <w:r>
        <w:t>XIII. KEY LEGAL AUTHORITIES</w:t>
      </w:r>
    </w:p>
    <w:tbl>
      <w:tblPr>
        <w:tblStyle w:val="TableGrid"/>
        <w:tblW w:type="auto" w:w="0"/>
        <w:tblLayout w:type="fixed"/>
        <w:tblLook w:firstColumn="1" w:firstRow="1" w:lastColumn="0" w:lastRow="0" w:noHBand="0" w:noVBand="1" w:val="04A0"/>
      </w:tblPr>
      <w:tblGrid>
        <w:gridCol w:w="3168"/>
        <w:gridCol w:w="2880"/>
        <w:gridCol w:w="3312"/>
      </w:tblGrid>
      <w:tr>
        <w:tc>
          <w:tcPr>
            <w:tcW w:type="dxa" w:w="3120"/>
            <w:shd w:val="clear" w:color="auto" w:fill="D5E8F0"/>
          </w:tcPr>
          <w:p>
            <w:r>
              <w:rPr>
                <w:rFonts w:ascii="Arial" w:hAnsi="Arial"/>
                <w:b/>
                <w:sz w:val="18"/>
              </w:rPr>
              <w:t>Case / Statute</w:t>
            </w:r>
          </w:p>
        </w:tc>
        <w:tc>
          <w:tcPr>
            <w:tcW w:type="dxa" w:w="3120"/>
            <w:shd w:val="clear" w:color="auto" w:fill="D5E8F0"/>
          </w:tcPr>
          <w:p>
            <w:r>
              <w:rPr>
                <w:rFonts w:ascii="Arial" w:hAnsi="Arial"/>
                <w:b/>
                <w:sz w:val="18"/>
              </w:rPr>
              <w:t>Citation</w:t>
            </w:r>
          </w:p>
        </w:tc>
        <w:tc>
          <w:tcPr>
            <w:tcW w:type="dxa" w:w="3120"/>
            <w:shd w:val="clear" w:color="auto" w:fill="D5E8F0"/>
          </w:tcPr>
          <w:p>
            <w:r>
              <w:rPr>
                <w:rFonts w:ascii="Arial" w:hAnsi="Arial"/>
                <w:b/>
                <w:sz w:val="18"/>
              </w:rPr>
              <w:t>Relevance</w:t>
            </w:r>
          </w:p>
        </w:tc>
      </w:tr>
      <w:tr>
        <w:tc>
          <w:tcPr>
            <w:tcW w:type="dxa" w:w="3168"/>
          </w:tcPr>
          <w:p>
            <w:r>
              <w:rPr>
                <w:rFonts w:ascii="Arial" w:hAnsi="Arial"/>
                <w:sz w:val="17"/>
              </w:rPr>
              <w:t>Man v. Vockroth</w:t>
            </w:r>
          </w:p>
        </w:tc>
        <w:tc>
          <w:tcPr>
            <w:tcW w:type="dxa" w:w="2880"/>
          </w:tcPr>
          <w:p>
            <w:r>
              <w:rPr>
                <w:rFonts w:ascii="Arial" w:hAnsi="Arial"/>
                <w:sz w:val="17"/>
              </w:rPr>
              <w:t>94 N.J. Eq. 511 (1923)</w:t>
            </w:r>
          </w:p>
        </w:tc>
        <w:tc>
          <w:tcPr>
            <w:tcW w:type="dxa" w:w="3312"/>
          </w:tcPr>
          <w:p>
            <w:r>
              <w:rPr>
                <w:rFonts w:ascii="Arial" w:hAnsi="Arial"/>
                <w:sz w:val="17"/>
              </w:rPr>
              <w:t>Ambiguities in easement grants construed in favor of grantee. CAUTION: Defense caught Poliner omitting limiting language from this case.</w:t>
            </w:r>
          </w:p>
        </w:tc>
      </w:tr>
      <w:tr>
        <w:tc>
          <w:tcPr>
            <w:tcW w:type="dxa" w:w="3168"/>
          </w:tcPr>
          <w:p>
            <w:r>
              <w:rPr>
                <w:rFonts w:ascii="Arial" w:hAnsi="Arial"/>
                <w:sz w:val="17"/>
              </w:rPr>
              <w:t>Tide-Water Pipe Co. v. Bell</w:t>
            </w:r>
          </w:p>
        </w:tc>
        <w:tc>
          <w:tcPr>
            <w:tcW w:type="dxa" w:w="2880"/>
          </w:tcPr>
          <w:p>
            <w:r>
              <w:rPr>
                <w:rFonts w:ascii="Arial" w:hAnsi="Arial"/>
                <w:sz w:val="17"/>
              </w:rPr>
              <w:t>40 N.J. Eq. (per prior session)</w:t>
            </w:r>
          </w:p>
        </w:tc>
        <w:tc>
          <w:tcPr>
            <w:tcW w:type="dxa" w:w="3312"/>
          </w:tcPr>
          <w:p>
            <w:r>
              <w:rPr>
                <w:rFonts w:ascii="Arial" w:hAnsi="Arial"/>
                <w:sz w:val="17"/>
              </w:rPr>
              <w:t>Implied rights doctrine — easement includes what is "reasonably necessary for complete enjoyment."</w:t>
            </w:r>
          </w:p>
        </w:tc>
      </w:tr>
      <w:tr>
        <w:tc>
          <w:tcPr>
            <w:tcW w:type="dxa" w:w="3168"/>
          </w:tcPr>
          <w:p>
            <w:r>
              <w:rPr>
                <w:rFonts w:ascii="Arial" w:hAnsi="Arial"/>
                <w:sz w:val="17"/>
              </w:rPr>
              <w:t>Brill v. Guardian Life</w:t>
            </w:r>
          </w:p>
        </w:tc>
        <w:tc>
          <w:tcPr>
            <w:tcW w:type="dxa" w:w="2880"/>
          </w:tcPr>
          <w:p>
            <w:r>
              <w:rPr>
                <w:rFonts w:ascii="Arial" w:hAnsi="Arial"/>
                <w:sz w:val="17"/>
              </w:rPr>
              <w:t>142 N.J. 520</w:t>
            </w:r>
          </w:p>
        </w:tc>
        <w:tc>
          <w:tcPr>
            <w:tcW w:type="dxa" w:w="3312"/>
          </w:tcPr>
          <w:p>
            <w:r>
              <w:rPr>
                <w:rFonts w:ascii="Arial" w:hAnsi="Arial"/>
                <w:sz w:val="17"/>
              </w:rPr>
              <w:t>Summary judgment standard: no genuine issue of material fact; view facts most favorably to non-moving party.</w:t>
            </w:r>
          </w:p>
        </w:tc>
      </w:tr>
      <w:tr>
        <w:tc>
          <w:tcPr>
            <w:tcW w:type="dxa" w:w="3168"/>
          </w:tcPr>
          <w:p>
            <w:r>
              <w:rPr>
                <w:rFonts w:ascii="Arial" w:hAnsi="Arial"/>
                <w:sz w:val="17"/>
              </w:rPr>
              <w:t>Matthews v. Bay Head</w:t>
            </w:r>
          </w:p>
        </w:tc>
        <w:tc>
          <w:tcPr>
            <w:tcW w:type="dxa" w:w="2880"/>
          </w:tcPr>
          <w:p>
            <w:r>
              <w:rPr>
                <w:rFonts w:ascii="Arial" w:hAnsi="Arial"/>
                <w:sz w:val="17"/>
              </w:rPr>
              <w:t>95 N.J. 306 (1984)</w:t>
            </w:r>
          </w:p>
        </w:tc>
        <w:tc>
          <w:tcPr>
            <w:tcW w:type="dxa" w:w="3312"/>
          </w:tcPr>
          <w:p>
            <w:r>
              <w:rPr>
                <w:rFonts w:ascii="Arial" w:hAnsi="Arial"/>
                <w:sz w:val="17"/>
              </w:rPr>
              <w:t>Public Trust Doctrine in NJ. Application to this case weakened by Moran (2026).</w:t>
            </w:r>
          </w:p>
        </w:tc>
      </w:tr>
      <w:tr>
        <w:tc>
          <w:tcPr>
            <w:tcW w:type="dxa" w:w="3168"/>
          </w:tcPr>
          <w:p>
            <w:r>
              <w:rPr>
                <w:rFonts w:ascii="Arial" w:hAnsi="Arial"/>
                <w:sz w:val="17"/>
              </w:rPr>
              <w:t>Moran v. NJ DEP</w:t>
            </w:r>
          </w:p>
        </w:tc>
        <w:tc>
          <w:tcPr>
            <w:tcW w:type="dxa" w:w="2880"/>
          </w:tcPr>
          <w:p>
            <w:r>
              <w:rPr>
                <w:rFonts w:ascii="Arial" w:hAnsi="Arial"/>
                <w:sz w:val="17"/>
              </w:rPr>
              <w:t>263 N.J. 71 (2026)</w:t>
            </w:r>
          </w:p>
        </w:tc>
        <w:tc>
          <w:tcPr>
            <w:tcW w:type="dxa" w:w="3312"/>
          </w:tcPr>
          <w:p>
            <w:r>
              <w:rPr>
                <w:rFonts w:ascii="Arial" w:hAnsi="Arial"/>
                <w:sz w:val="17"/>
              </w:rPr>
              <w:t>Narrows Public Trust Doctrine for private easement disputes. Cuts against Count 4.</w:t>
            </w:r>
          </w:p>
        </w:tc>
      </w:tr>
      <w:tr>
        <w:tc>
          <w:tcPr>
            <w:tcW w:type="dxa" w:w="3168"/>
          </w:tcPr>
          <w:p>
            <w:r>
              <w:rPr>
                <w:rFonts w:ascii="Arial" w:hAnsi="Arial"/>
                <w:sz w:val="17"/>
              </w:rPr>
              <w:t>Velasco v. Goldman Builders</w:t>
            </w:r>
          </w:p>
        </w:tc>
        <w:tc>
          <w:tcPr>
            <w:tcW w:type="dxa" w:w="2880"/>
          </w:tcPr>
          <w:p>
            <w:r>
              <w:rPr>
                <w:rFonts w:ascii="Arial" w:hAnsi="Arial"/>
                <w:sz w:val="17"/>
              </w:rPr>
              <w:t>93 N.J. Super. 123 (App. Div. 1966)</w:t>
            </w:r>
          </w:p>
        </w:tc>
        <w:tc>
          <w:tcPr>
            <w:tcW w:type="dxa" w:w="3312"/>
          </w:tcPr>
          <w:p>
            <w:r>
              <w:rPr>
                <w:rFonts w:ascii="Arial" w:hAnsi="Arial"/>
                <w:sz w:val="17"/>
              </w:rPr>
              <w:t>Implied dedication of roads to public use by municipal acceptance.</w:t>
            </w:r>
          </w:p>
        </w:tc>
      </w:tr>
      <w:tr>
        <w:tc>
          <w:tcPr>
            <w:tcW w:type="dxa" w:w="3168"/>
          </w:tcPr>
          <w:p>
            <w:r>
              <w:rPr>
                <w:rFonts w:ascii="Arial" w:hAnsi="Arial"/>
                <w:sz w:val="17"/>
              </w:rPr>
              <w:t>National Paving v. Taxation Div.</w:t>
            </w:r>
          </w:p>
        </w:tc>
        <w:tc>
          <w:tcPr>
            <w:tcW w:type="dxa" w:w="2880"/>
          </w:tcPr>
          <w:p>
            <w:r>
              <w:rPr>
                <w:rFonts w:ascii="Arial" w:hAnsi="Arial"/>
                <w:sz w:val="17"/>
              </w:rPr>
              <w:t>3 N.J. Tax 133 (1981)</w:t>
            </w:r>
          </w:p>
        </w:tc>
        <w:tc>
          <w:tcPr>
            <w:tcW w:type="dxa" w:w="3312"/>
          </w:tcPr>
          <w:p>
            <w:r>
              <w:rPr>
                <w:rFonts w:ascii="Arial" w:hAnsi="Arial"/>
                <w:sz w:val="17"/>
              </w:rPr>
              <w:t>Municipal acceptance of dedicated land by official conduct.</w:t>
            </w:r>
          </w:p>
        </w:tc>
      </w:tr>
      <w:tr>
        <w:tc>
          <w:tcPr>
            <w:tcW w:type="dxa" w:w="3168"/>
          </w:tcPr>
          <w:p>
            <w:r>
              <w:rPr>
                <w:rFonts w:ascii="Arial" w:hAnsi="Arial"/>
                <w:sz w:val="17"/>
              </w:rPr>
              <w:t>Home Builders League v. Evesham</w:t>
            </w:r>
          </w:p>
        </w:tc>
        <w:tc>
          <w:tcPr>
            <w:tcW w:type="dxa" w:w="2880"/>
          </w:tcPr>
          <w:p>
            <w:r>
              <w:rPr>
                <w:rFonts w:ascii="Arial" w:hAnsi="Arial"/>
                <w:sz w:val="17"/>
              </w:rPr>
              <w:t>182 N.J. Super. 357 (App. Div. 1981)</w:t>
            </w:r>
          </w:p>
        </w:tc>
        <w:tc>
          <w:tcPr>
            <w:tcW w:type="dxa" w:w="3312"/>
          </w:tcPr>
          <w:p>
            <w:r>
              <w:rPr>
                <w:rFonts w:ascii="Arial" w:hAnsi="Arial"/>
                <w:sz w:val="17"/>
              </w:rPr>
              <w:t>Exercise of dominion = acceptance of dedication.</w:t>
            </w:r>
          </w:p>
        </w:tc>
      </w:tr>
      <w:tr>
        <w:tc>
          <w:tcPr>
            <w:tcW w:type="dxa" w:w="3168"/>
          </w:tcPr>
          <w:p>
            <w:r>
              <w:rPr>
                <w:rFonts w:ascii="Arial" w:hAnsi="Arial"/>
                <w:sz w:val="17"/>
              </w:rPr>
              <w:t>Koch v. Seaside Heights</w:t>
            </w:r>
          </w:p>
        </w:tc>
        <w:tc>
          <w:tcPr>
            <w:tcW w:type="dxa" w:w="2880"/>
          </w:tcPr>
          <w:p>
            <w:r>
              <w:rPr>
                <w:rFonts w:ascii="Arial" w:hAnsi="Arial"/>
                <w:sz w:val="17"/>
              </w:rPr>
              <w:t>40 N.J. Super. 86 (App. Div. 1956)</w:t>
            </w:r>
          </w:p>
        </w:tc>
        <w:tc>
          <w:tcPr>
            <w:tcW w:type="dxa" w:w="3312"/>
          </w:tcPr>
          <w:p>
            <w:r>
              <w:rPr>
                <w:rFonts w:ascii="Arial" w:hAnsi="Arial"/>
                <w:sz w:val="17"/>
              </w:rPr>
              <w:t>Paving + parking regulation = acceptance of dedicated road.</w:t>
            </w:r>
          </w:p>
        </w:tc>
      </w:tr>
      <w:tr>
        <w:tc>
          <w:tcPr>
            <w:tcW w:type="dxa" w:w="3168"/>
          </w:tcPr>
          <w:p>
            <w:r>
              <w:rPr>
                <w:rFonts w:ascii="Arial" w:hAnsi="Arial"/>
                <w:sz w:val="17"/>
              </w:rPr>
              <w:t>N.J.S.A. 2A:14-30</w:t>
            </w:r>
          </w:p>
        </w:tc>
        <w:tc>
          <w:tcPr>
            <w:tcW w:type="dxa" w:w="2880"/>
          </w:tcPr>
          <w:p>
            <w:r>
              <w:rPr>
                <w:rFonts w:ascii="Arial" w:hAnsi="Arial"/>
                <w:sz w:val="17"/>
              </w:rPr>
              <w:t>NJ Statutes</w:t>
            </w:r>
          </w:p>
        </w:tc>
        <w:tc>
          <w:tcPr>
            <w:tcW w:type="dxa" w:w="3312"/>
          </w:tcPr>
          <w:p>
            <w:r>
              <w:rPr>
                <w:rFonts w:ascii="Arial" w:hAnsi="Arial"/>
                <w:sz w:val="17"/>
              </w:rPr>
              <w:t>30 years of continuous public use vests full title in municipality.</w:t>
            </w:r>
          </w:p>
        </w:tc>
      </w:tr>
      <w:tr>
        <w:tc>
          <w:tcPr>
            <w:tcW w:type="dxa" w:w="3168"/>
          </w:tcPr>
          <w:p>
            <w:r>
              <w:rPr>
                <w:rFonts w:ascii="Arial" w:hAnsi="Arial"/>
                <w:sz w:val="17"/>
              </w:rPr>
              <w:t>Twp. of Middletown v. Simon</w:t>
            </w:r>
          </w:p>
        </w:tc>
        <w:tc>
          <w:tcPr>
            <w:tcW w:type="dxa" w:w="2880"/>
          </w:tcPr>
          <w:p>
            <w:r>
              <w:rPr>
                <w:rFonts w:ascii="Arial" w:hAnsi="Arial"/>
                <w:sz w:val="17"/>
              </w:rPr>
              <w:t>193 N.J. 228 (2008)</w:t>
            </w:r>
          </w:p>
        </w:tc>
        <w:tc>
          <w:tcPr>
            <w:tcW w:type="dxa" w:w="3312"/>
          </w:tcPr>
          <w:p>
            <w:r>
              <w:rPr>
                <w:rFonts w:ascii="Arial" w:hAnsi="Arial"/>
                <w:sz w:val="17"/>
              </w:rPr>
              <w:t>Sale of land with reference to streets = dedication to municipality.</w:t>
            </w:r>
          </w:p>
        </w:tc>
      </w:tr>
      <w:tr>
        <w:tc>
          <w:tcPr>
            <w:tcW w:type="dxa" w:w="3168"/>
          </w:tcPr>
          <w:p>
            <w:r>
              <w:rPr>
                <w:rFonts w:ascii="Arial" w:hAnsi="Arial"/>
                <w:sz w:val="17"/>
              </w:rPr>
              <w:t>Winters v. N. Hudson</w:t>
            </w:r>
          </w:p>
        </w:tc>
        <w:tc>
          <w:tcPr>
            <w:tcW w:type="dxa" w:w="2880"/>
          </w:tcPr>
          <w:p>
            <w:r>
              <w:rPr>
                <w:rFonts w:ascii="Arial" w:hAnsi="Arial"/>
                <w:sz w:val="17"/>
              </w:rPr>
              <w:t>212 N.J. 67 (2012)</w:t>
            </w:r>
          </w:p>
        </w:tc>
        <w:tc>
          <w:tcPr>
            <w:tcW w:type="dxa" w:w="3312"/>
          </w:tcPr>
          <w:p>
            <w:r>
              <w:rPr>
                <w:rFonts w:ascii="Arial" w:hAnsi="Arial"/>
                <w:sz w:val="17"/>
              </w:rPr>
              <w:t>Equitable estoppel — prevents repudiation of course of action on which another relied to their detriment.</w:t>
            </w:r>
          </w:p>
        </w:tc>
      </w:tr>
      <w:tr>
        <w:tc>
          <w:tcPr>
            <w:tcW w:type="dxa" w:w="3168"/>
          </w:tcPr>
          <w:p>
            <w:r>
              <w:rPr>
                <w:rFonts w:ascii="Arial" w:hAnsi="Arial"/>
                <w:sz w:val="17"/>
              </w:rPr>
              <w:t>Knorr v. Smeal</w:t>
            </w:r>
          </w:p>
        </w:tc>
        <w:tc>
          <w:tcPr>
            <w:tcW w:type="dxa" w:w="2880"/>
          </w:tcPr>
          <w:p>
            <w:r>
              <w:rPr>
                <w:rFonts w:ascii="Arial" w:hAnsi="Arial"/>
                <w:sz w:val="17"/>
              </w:rPr>
              <w:t>178 N.J. 169 (2003)</w:t>
            </w:r>
          </w:p>
        </w:tc>
        <w:tc>
          <w:tcPr>
            <w:tcW w:type="dxa" w:w="3312"/>
          </w:tcPr>
          <w:p>
            <w:r>
              <w:rPr>
                <w:rFonts w:ascii="Arial" w:hAnsi="Arial"/>
                <w:sz w:val="17"/>
              </w:rPr>
              <w:t>Equitable estoppel elements: conduct inducing reliance, change of position, detriment.</w:t>
            </w:r>
          </w:p>
        </w:tc>
      </w:tr>
      <w:tr>
        <w:tc>
          <w:tcPr>
            <w:tcW w:type="dxa" w:w="3168"/>
          </w:tcPr>
          <w:p>
            <w:r>
              <w:rPr>
                <w:rFonts w:ascii="Arial" w:hAnsi="Arial"/>
                <w:sz w:val="17"/>
              </w:rPr>
              <w:t>Matter of Borough of Englewood Cliffs</w:t>
            </w:r>
          </w:p>
        </w:tc>
        <w:tc>
          <w:tcPr>
            <w:tcW w:type="dxa" w:w="2880"/>
          </w:tcPr>
          <w:p>
            <w:r>
              <w:rPr>
                <w:rFonts w:ascii="Arial" w:hAnsi="Arial"/>
                <w:sz w:val="17"/>
              </w:rPr>
              <w:t>473 N.J. Super. 189 (App. Div. 2022)</w:t>
            </w:r>
          </w:p>
        </w:tc>
        <w:tc>
          <w:tcPr>
            <w:tcW w:type="dxa" w:w="3312"/>
          </w:tcPr>
          <w:p>
            <w:r>
              <w:rPr>
                <w:rFonts w:ascii="Arial" w:hAnsi="Arial"/>
                <w:sz w:val="17"/>
              </w:rPr>
              <w:t>Application of judicial, equitable, and collateral estoppel doctrines to municipal ownership.</w:t>
            </w:r>
          </w:p>
        </w:tc>
      </w:tr>
      <w:tr>
        <w:tc>
          <w:tcPr>
            <w:tcW w:type="dxa" w:w="3168"/>
          </w:tcPr>
          <w:p>
            <w:r>
              <w:rPr>
                <w:rFonts w:ascii="Arial" w:hAnsi="Arial"/>
                <w:sz w:val="17"/>
              </w:rPr>
              <w:t>N.J.S.A. 59:2-4</w:t>
            </w:r>
          </w:p>
        </w:tc>
        <w:tc>
          <w:tcPr>
            <w:tcW w:type="dxa" w:w="2880"/>
          </w:tcPr>
          <w:p>
            <w:r>
              <w:rPr>
                <w:rFonts w:ascii="Arial" w:hAnsi="Arial"/>
                <w:sz w:val="17"/>
              </w:rPr>
              <w:t>Tort Claims Act</w:t>
            </w:r>
          </w:p>
        </w:tc>
        <w:tc>
          <w:tcPr>
            <w:tcW w:type="dxa" w:w="3312"/>
          </w:tcPr>
          <w:p>
            <w:r>
              <w:rPr>
                <w:rFonts w:ascii="Arial" w:hAnsi="Arial"/>
                <w:sz w:val="17"/>
              </w:rPr>
              <w:t>Immunity for failure to enforce law.</w:t>
            </w:r>
          </w:p>
        </w:tc>
      </w:tr>
      <w:tr>
        <w:tc>
          <w:tcPr>
            <w:tcW w:type="dxa" w:w="3168"/>
          </w:tcPr>
          <w:p>
            <w:r>
              <w:rPr>
                <w:rFonts w:ascii="Arial" w:hAnsi="Arial"/>
                <w:sz w:val="17"/>
              </w:rPr>
              <w:t>N.J.S.A. 59:2-6</w:t>
            </w:r>
          </w:p>
        </w:tc>
        <w:tc>
          <w:tcPr>
            <w:tcW w:type="dxa" w:w="2880"/>
          </w:tcPr>
          <w:p>
            <w:r>
              <w:rPr>
                <w:rFonts w:ascii="Arial" w:hAnsi="Arial"/>
                <w:sz w:val="17"/>
              </w:rPr>
              <w:t>Tort Claims Act</w:t>
            </w:r>
          </w:p>
        </w:tc>
        <w:tc>
          <w:tcPr>
            <w:tcW w:type="dxa" w:w="3312"/>
          </w:tcPr>
          <w:p>
            <w:r>
              <w:rPr>
                <w:rFonts w:ascii="Arial" w:hAnsi="Arial"/>
                <w:sz w:val="17"/>
              </w:rPr>
              <w:t>Immunity for condition of private property.</w:t>
            </w:r>
          </w:p>
        </w:tc>
      </w:tr>
      <w:tr>
        <w:tc>
          <w:tcPr>
            <w:tcW w:type="dxa" w:w="3168"/>
          </w:tcPr>
          <w:p>
            <w:r>
              <w:rPr>
                <w:rFonts w:ascii="Arial" w:hAnsi="Arial"/>
                <w:sz w:val="17"/>
              </w:rPr>
              <w:t>N.J.S.A. 2A:15-59.1</w:t>
            </w:r>
          </w:p>
        </w:tc>
        <w:tc>
          <w:tcPr>
            <w:tcW w:type="dxa" w:w="2880"/>
          </w:tcPr>
          <w:p>
            <w:r>
              <w:rPr>
                <w:rFonts w:ascii="Arial" w:hAnsi="Arial"/>
                <w:sz w:val="17"/>
              </w:rPr>
              <w:t>Frivolous Litigation Act</w:t>
            </w:r>
          </w:p>
        </w:tc>
        <w:tc>
          <w:tcPr>
            <w:tcW w:type="dxa" w:w="3312"/>
          </w:tcPr>
          <w:p>
            <w:r>
              <w:rPr>
                <w:rFonts w:ascii="Arial" w:hAnsi="Arial"/>
                <w:sz w:val="17"/>
              </w:rPr>
              <w:t>Statutory basis for attorney fee-shifting.</w:t>
            </w:r>
          </w:p>
        </w:tc>
      </w:tr>
      <w:tr>
        <w:tc>
          <w:tcPr>
            <w:tcW w:type="dxa" w:w="3168"/>
          </w:tcPr>
          <w:p>
            <w:r>
              <w:rPr>
                <w:rFonts w:ascii="Arial" w:hAnsi="Arial"/>
                <w:sz w:val="17"/>
              </w:rPr>
              <w:t>R. 1:4-8</w:t>
            </w:r>
          </w:p>
        </w:tc>
        <w:tc>
          <w:tcPr>
            <w:tcW w:type="dxa" w:w="2880"/>
          </w:tcPr>
          <w:p>
            <w:r>
              <w:rPr>
                <w:rFonts w:ascii="Arial" w:hAnsi="Arial"/>
                <w:sz w:val="17"/>
              </w:rPr>
              <w:t>NJ Court Rules</w:t>
            </w:r>
          </w:p>
        </w:tc>
        <w:tc>
          <w:tcPr>
            <w:tcW w:type="dxa" w:w="3312"/>
          </w:tcPr>
          <w:p>
            <w:r>
              <w:rPr>
                <w:rFonts w:ascii="Arial" w:hAnsi="Arial"/>
                <w:sz w:val="17"/>
              </w:rPr>
              <w:t>Frivolous pleadings sanctions against counsel personally; requires 28-day safe harbor letter.</w:t>
            </w:r>
          </w:p>
        </w:tc>
      </w:tr>
      <w:tr>
        <w:tc>
          <w:tcPr>
            <w:tcW w:type="dxa" w:w="3168"/>
          </w:tcPr>
          <w:p>
            <w:r>
              <w:rPr>
                <w:rFonts w:ascii="Arial" w:hAnsi="Arial"/>
                <w:sz w:val="17"/>
              </w:rPr>
              <w:t>R. 4:46-1</w:t>
            </w:r>
          </w:p>
        </w:tc>
        <w:tc>
          <w:tcPr>
            <w:tcW w:type="dxa" w:w="2880"/>
          </w:tcPr>
          <w:p>
            <w:r>
              <w:rPr>
                <w:rFonts w:ascii="Arial" w:hAnsi="Arial"/>
                <w:sz w:val="17"/>
              </w:rPr>
              <w:t>NJ Court Rules</w:t>
            </w:r>
          </w:p>
        </w:tc>
        <w:tc>
          <w:tcPr>
            <w:tcW w:type="dxa" w:w="3312"/>
          </w:tcPr>
          <w:p>
            <w:r>
              <w:rPr>
                <w:rFonts w:ascii="Arial" w:hAnsi="Arial"/>
                <w:sz w:val="17"/>
              </w:rPr>
              <w:t>One summary judgment motion per side; controls briefing sequence.</w:t>
            </w:r>
          </w:p>
        </w:tc>
      </w:tr>
      <w:tr>
        <w:tc>
          <w:tcPr>
            <w:tcW w:type="dxa" w:w="3168"/>
          </w:tcPr>
          <w:p>
            <w:r>
              <w:rPr>
                <w:rFonts w:ascii="Arial" w:hAnsi="Arial"/>
                <w:sz w:val="17"/>
              </w:rPr>
              <w:t>N.J.S.A. 46:3-13</w:t>
            </w:r>
          </w:p>
        </w:tc>
        <w:tc>
          <w:tcPr>
            <w:tcW w:type="dxa" w:w="2880"/>
          </w:tcPr>
          <w:p>
            <w:r>
              <w:rPr>
                <w:rFonts w:ascii="Arial" w:hAnsi="Arial"/>
                <w:sz w:val="17"/>
              </w:rPr>
              <w:t>NJ Statutes</w:t>
            </w:r>
          </w:p>
        </w:tc>
        <w:tc>
          <w:tcPr>
            <w:tcW w:type="dxa" w:w="3312"/>
          </w:tcPr>
          <w:p>
            <w:r>
              <w:rPr>
                <w:rFonts w:ascii="Arial" w:hAnsi="Arial"/>
                <w:sz w:val="17"/>
              </w:rPr>
              <w:t>Easement rights convey by operation of law through chain of title.</w:t>
            </w:r>
          </w:p>
        </w:tc>
      </w:tr>
      <w:tr>
        <w:tc>
          <w:tcPr>
            <w:tcW w:type="dxa" w:w="3168"/>
          </w:tcPr>
          <w:p>
            <w:r>
              <w:rPr>
                <w:rFonts w:ascii="Arial" w:hAnsi="Arial"/>
                <w:sz w:val="17"/>
              </w:rPr>
              <w:t>Brookdale Park Homes v. Bridgewater</w:t>
            </w:r>
          </w:p>
        </w:tc>
        <w:tc>
          <w:tcPr>
            <w:tcW w:type="dxa" w:w="2880"/>
          </w:tcPr>
          <w:p>
            <w:r>
              <w:rPr>
                <w:rFonts w:ascii="Arial" w:hAnsi="Arial"/>
                <w:sz w:val="17"/>
              </w:rPr>
              <w:t>115 N.J. Super. 489 (App. Div. 1971)</w:t>
            </w:r>
          </w:p>
        </w:tc>
        <w:tc>
          <w:tcPr>
            <w:tcW w:type="dxa" w:w="3312"/>
          </w:tcPr>
          <w:p>
            <w:r>
              <w:rPr>
                <w:rFonts w:ascii="Arial" w:hAnsi="Arial"/>
                <w:sz w:val="17"/>
              </w:rPr>
              <w:t>Failure to assess taxes is persuasive (not conclusive) evidence of intent to dedicate.</w:t>
            </w:r>
          </w:p>
        </w:tc>
      </w:tr>
    </w:tbl>
    <w:p>
      <w:r>
        <w:br w:type="page"/>
      </w:r>
    </w:p>
    <w:p>
      <w:pPr>
        <w:pStyle w:val="Heading1"/>
      </w:pPr>
      <w:r>
        <w:t>XIV. DOCUMENT INDEX — FILES 0 THROUGH 22</w:t>
      </w:r>
    </w:p>
    <w:tbl>
      <w:tblPr>
        <w:tblStyle w:val="TableGrid"/>
        <w:tblW w:type="auto" w:w="0"/>
        <w:tblLayout w:type="fixed"/>
        <w:tblLook w:firstColumn="1" w:firstRow="1" w:lastColumn="0" w:lastRow="0" w:noHBand="0" w:noVBand="1" w:val="04A0"/>
      </w:tblPr>
      <w:tblGrid>
        <w:gridCol w:w="576"/>
        <w:gridCol w:w="2592"/>
        <w:gridCol w:w="1728"/>
        <w:gridCol w:w="4320"/>
      </w:tblGrid>
      <w:tr>
        <w:tc>
          <w:tcPr>
            <w:tcW w:type="dxa" w:w="2340"/>
            <w:shd w:val="clear" w:color="auto" w:fill="D5E8F0"/>
          </w:tcPr>
          <w:p>
            <w:r>
              <w:rPr>
                <w:rFonts w:ascii="Arial" w:hAnsi="Arial"/>
                <w:b/>
                <w:sz w:val="18"/>
              </w:rPr>
              <w:t>#</w:t>
            </w:r>
          </w:p>
        </w:tc>
        <w:tc>
          <w:tcPr>
            <w:tcW w:type="dxa" w:w="2340"/>
            <w:shd w:val="clear" w:color="auto" w:fill="D5E8F0"/>
          </w:tcPr>
          <w:p>
            <w:r>
              <w:rPr>
                <w:rFonts w:ascii="Arial" w:hAnsi="Arial"/>
                <w:b/>
                <w:sz w:val="18"/>
              </w:rPr>
              <w:t>Description</w:t>
            </w:r>
          </w:p>
        </w:tc>
        <w:tc>
          <w:tcPr>
            <w:tcW w:type="dxa" w:w="2340"/>
            <w:shd w:val="clear" w:color="auto" w:fill="D5E8F0"/>
          </w:tcPr>
          <w:p>
            <w:r>
              <w:rPr>
                <w:rFonts w:ascii="Arial" w:hAnsi="Arial"/>
                <w:b/>
                <w:sz w:val="18"/>
              </w:rPr>
              <w:t>Filed By</w:t>
            </w:r>
          </w:p>
        </w:tc>
        <w:tc>
          <w:tcPr>
            <w:tcW w:type="dxa" w:w="2340"/>
            <w:shd w:val="clear" w:color="auto" w:fill="D5E8F0"/>
          </w:tcPr>
          <w:p>
            <w:r>
              <w:rPr>
                <w:rFonts w:ascii="Arial" w:hAnsi="Arial"/>
                <w:b/>
                <w:sz w:val="18"/>
              </w:rPr>
              <w:t>Significance</w:t>
            </w:r>
          </w:p>
        </w:tc>
      </w:tr>
      <w:tr>
        <w:tc>
          <w:tcPr>
            <w:tcW w:type="dxa" w:w="576"/>
          </w:tcPr>
          <w:p>
            <w:r>
              <w:rPr>
                <w:rFonts w:ascii="Arial" w:hAnsi="Arial"/>
                <w:sz w:val="16"/>
              </w:rPr>
              <w:t>0</w:t>
            </w:r>
          </w:p>
        </w:tc>
        <w:tc>
          <w:tcPr>
            <w:tcW w:type="dxa" w:w="2592"/>
          </w:tcPr>
          <w:p>
            <w:r>
              <w:rPr>
                <w:rFonts w:ascii="Arial" w:hAnsi="Arial"/>
                <w:sz w:val="16"/>
              </w:rPr>
              <w:t>Chancery Case Summary</w:t>
            </w:r>
          </w:p>
        </w:tc>
        <w:tc>
          <w:tcPr>
            <w:tcW w:type="dxa" w:w="1728"/>
          </w:tcPr>
          <w:p>
            <w:r>
              <w:rPr>
                <w:rFonts w:ascii="Arial" w:hAnsi="Arial"/>
                <w:sz w:val="16"/>
              </w:rPr>
              <w:t>Court</w:t>
            </w:r>
          </w:p>
        </w:tc>
        <w:tc>
          <w:tcPr>
            <w:tcW w:type="dxa" w:w="4320"/>
          </w:tcPr>
          <w:p>
            <w:r>
              <w:rPr>
                <w:rFonts w:ascii="Arial" w:hAnsi="Arial"/>
                <w:sz w:val="16"/>
              </w:rPr>
              <w:t>Complete procedural history; confirms trial date July 21, 2026; all filings indexed.</w:t>
            </w:r>
          </w:p>
        </w:tc>
      </w:tr>
      <w:tr>
        <w:tc>
          <w:tcPr>
            <w:tcW w:type="dxa" w:w="576"/>
          </w:tcPr>
          <w:p>
            <w:r>
              <w:rPr>
                <w:rFonts w:ascii="Arial" w:hAnsi="Arial"/>
                <w:sz w:val="16"/>
              </w:rPr>
              <w:t>1</w:t>
            </w:r>
          </w:p>
        </w:tc>
        <w:tc>
          <w:tcPr>
            <w:tcW w:type="dxa" w:w="2592"/>
          </w:tcPr>
          <w:p>
            <w:r>
              <w:rPr>
                <w:rFonts w:ascii="Arial" w:hAnsi="Arial"/>
                <w:sz w:val="16"/>
              </w:rPr>
              <w:t>Original Complaint</w:t>
            </w:r>
          </w:p>
        </w:tc>
        <w:tc>
          <w:tcPr>
            <w:tcW w:type="dxa" w:w="1728"/>
          </w:tcPr>
          <w:p>
            <w:r>
              <w:rPr>
                <w:rFonts w:ascii="Arial" w:hAnsi="Arial"/>
                <w:sz w:val="16"/>
              </w:rPr>
              <w:t>Tieri</w:t>
            </w:r>
          </w:p>
        </w:tc>
        <w:tc>
          <w:tcPr>
            <w:tcW w:type="dxa" w:w="4320"/>
          </w:tcPr>
          <w:p>
            <w:r>
              <w:rPr>
                <w:rFonts w:ascii="Arial" w:hAnsi="Arial"/>
                <w:sz w:val="16"/>
              </w:rPr>
              <w:t>Initial easement interference claim; TRO motion (later withdrawn).</w:t>
            </w:r>
          </w:p>
        </w:tc>
      </w:tr>
      <w:tr>
        <w:tc>
          <w:tcPr>
            <w:tcW w:type="dxa" w:w="576"/>
          </w:tcPr>
          <w:p>
            <w:r>
              <w:rPr>
                <w:rFonts w:ascii="Arial" w:hAnsi="Arial"/>
                <w:sz w:val="16"/>
              </w:rPr>
              <w:t>2</w:t>
            </w:r>
          </w:p>
        </w:tc>
        <w:tc>
          <w:tcPr>
            <w:tcW w:type="dxa" w:w="2592"/>
          </w:tcPr>
          <w:p>
            <w:r>
              <w:rPr>
                <w:rFonts w:ascii="Arial" w:hAnsi="Arial"/>
                <w:sz w:val="16"/>
              </w:rPr>
              <w:t>Plaintiff Brief / Withdrawal Motion</w:t>
            </w:r>
          </w:p>
        </w:tc>
        <w:tc>
          <w:tcPr>
            <w:tcW w:type="dxa" w:w="1728"/>
          </w:tcPr>
          <w:p>
            <w:r>
              <w:rPr>
                <w:rFonts w:ascii="Arial" w:hAnsi="Arial"/>
                <w:sz w:val="16"/>
              </w:rPr>
              <w:t>Tieri</w:t>
            </w:r>
          </w:p>
        </w:tc>
        <w:tc>
          <w:tcPr>
            <w:tcW w:type="dxa" w:w="4320"/>
          </w:tcPr>
          <w:p>
            <w:r>
              <w:rPr>
                <w:rFonts w:ascii="Arial" w:hAnsi="Arial"/>
                <w:sz w:val="16"/>
              </w:rPr>
              <w:t>Early procedural filings.</w:t>
            </w:r>
          </w:p>
        </w:tc>
      </w:tr>
      <w:tr>
        <w:tc>
          <w:tcPr>
            <w:tcW w:type="dxa" w:w="576"/>
          </w:tcPr>
          <w:p>
            <w:r>
              <w:rPr>
                <w:rFonts w:ascii="Arial" w:hAnsi="Arial"/>
                <w:sz w:val="16"/>
              </w:rPr>
              <w:t>3</w:t>
            </w:r>
          </w:p>
        </w:tc>
        <w:tc>
          <w:tcPr>
            <w:tcW w:type="dxa" w:w="2592"/>
          </w:tcPr>
          <w:p>
            <w:r>
              <w:rPr>
                <w:rFonts w:ascii="Arial" w:hAnsi="Arial"/>
                <w:sz w:val="16"/>
              </w:rPr>
              <w:t>Defense Correspondence</w:t>
            </w:r>
          </w:p>
        </w:tc>
        <w:tc>
          <w:tcPr>
            <w:tcW w:type="dxa" w:w="1728"/>
          </w:tcPr>
          <w:p>
            <w:r>
              <w:rPr>
                <w:rFonts w:ascii="Arial" w:hAnsi="Arial"/>
                <w:sz w:val="16"/>
              </w:rPr>
              <w:t>Kho</w:t>
            </w:r>
          </w:p>
        </w:tc>
        <w:tc>
          <w:tcPr>
            <w:tcW w:type="dxa" w:w="4320"/>
          </w:tcPr>
          <w:p>
            <w:r>
              <w:rPr>
                <w:rFonts w:ascii="Arial" w:hAnsi="Arial"/>
                <w:sz w:val="16"/>
              </w:rPr>
              <w:t>Early case correspondence.</w:t>
            </w:r>
          </w:p>
        </w:tc>
      </w:tr>
      <w:tr>
        <w:tc>
          <w:tcPr>
            <w:tcW w:type="dxa" w:w="576"/>
          </w:tcPr>
          <w:p>
            <w:r>
              <w:rPr>
                <w:rFonts w:ascii="Arial" w:hAnsi="Arial"/>
                <w:sz w:val="16"/>
              </w:rPr>
              <w:t>4</w:t>
            </w:r>
          </w:p>
        </w:tc>
        <w:tc>
          <w:tcPr>
            <w:tcW w:type="dxa" w:w="2592"/>
          </w:tcPr>
          <w:p>
            <w:r>
              <w:rPr>
                <w:rFonts w:ascii="Arial" w:hAnsi="Arial"/>
                <w:sz w:val="16"/>
              </w:rPr>
              <w:t>Plaintiff Correspondence</w:t>
            </w:r>
          </w:p>
        </w:tc>
        <w:tc>
          <w:tcPr>
            <w:tcW w:type="dxa" w:w="1728"/>
          </w:tcPr>
          <w:p>
            <w:r>
              <w:rPr>
                <w:rFonts w:ascii="Arial" w:hAnsi="Arial"/>
                <w:sz w:val="16"/>
              </w:rPr>
              <w:t>Tieri</w:t>
            </w:r>
          </w:p>
        </w:tc>
        <w:tc>
          <w:tcPr>
            <w:tcW w:type="dxa" w:w="4320"/>
          </w:tcPr>
          <w:p>
            <w:r>
              <w:rPr>
                <w:rFonts w:ascii="Arial" w:hAnsi="Arial"/>
                <w:sz w:val="16"/>
              </w:rPr>
              <w:t>Pre-litigation communications.</w:t>
            </w:r>
          </w:p>
        </w:tc>
      </w:tr>
      <w:tr>
        <w:tc>
          <w:tcPr>
            <w:tcW w:type="dxa" w:w="576"/>
          </w:tcPr>
          <w:p>
            <w:r>
              <w:rPr>
                <w:rFonts w:ascii="Arial" w:hAnsi="Arial"/>
                <w:sz w:val="16"/>
              </w:rPr>
              <w:t>5</w:t>
            </w:r>
          </w:p>
        </w:tc>
        <w:tc>
          <w:tcPr>
            <w:tcW w:type="dxa" w:w="2592"/>
          </w:tcPr>
          <w:p>
            <w:r>
              <w:rPr>
                <w:rFonts w:ascii="Arial" w:hAnsi="Arial"/>
                <w:sz w:val="16"/>
              </w:rPr>
              <w:t>Defense Answer</w:t>
            </w:r>
          </w:p>
        </w:tc>
        <w:tc>
          <w:tcPr>
            <w:tcW w:type="dxa" w:w="1728"/>
          </w:tcPr>
          <w:p>
            <w:r>
              <w:rPr>
                <w:rFonts w:ascii="Arial" w:hAnsi="Arial"/>
                <w:sz w:val="16"/>
              </w:rPr>
              <w:t>Kho</w:t>
            </w:r>
          </w:p>
        </w:tc>
        <w:tc>
          <w:tcPr>
            <w:tcW w:type="dxa" w:w="4320"/>
          </w:tcPr>
          <w:p>
            <w:r>
              <w:rPr>
                <w:rFonts w:ascii="Arial" w:hAnsi="Arial"/>
                <w:sz w:val="16"/>
              </w:rPr>
              <w:t>Original answer to complaint; first statement of defenses.</w:t>
            </w:r>
          </w:p>
        </w:tc>
      </w:tr>
      <w:tr>
        <w:tc>
          <w:tcPr>
            <w:tcW w:type="dxa" w:w="576"/>
          </w:tcPr>
          <w:p>
            <w:r>
              <w:rPr>
                <w:rFonts w:ascii="Arial" w:hAnsi="Arial"/>
                <w:sz w:val="16"/>
              </w:rPr>
              <w:t>6</w:t>
            </w:r>
          </w:p>
        </w:tc>
        <w:tc>
          <w:tcPr>
            <w:tcW w:type="dxa" w:w="2592"/>
          </w:tcPr>
          <w:p>
            <w:r>
              <w:rPr>
                <w:rFonts w:ascii="Arial" w:hAnsi="Arial"/>
                <w:sz w:val="16"/>
              </w:rPr>
              <w:t>Plaintiff Correspondence</w:t>
            </w:r>
          </w:p>
        </w:tc>
        <w:tc>
          <w:tcPr>
            <w:tcW w:type="dxa" w:w="1728"/>
          </w:tcPr>
          <w:p>
            <w:r>
              <w:rPr>
                <w:rFonts w:ascii="Arial" w:hAnsi="Arial"/>
                <w:sz w:val="16"/>
              </w:rPr>
              <w:t>Tieri</w:t>
            </w:r>
          </w:p>
        </w:tc>
        <w:tc>
          <w:tcPr>
            <w:tcW w:type="dxa" w:w="4320"/>
          </w:tcPr>
          <w:p>
            <w:r>
              <w:rPr>
                <w:rFonts w:ascii="Arial" w:hAnsi="Arial"/>
                <w:sz w:val="16"/>
              </w:rPr>
              <w:t>Litigation correspondence.</w:t>
            </w:r>
          </w:p>
        </w:tc>
      </w:tr>
      <w:tr>
        <w:tc>
          <w:tcPr>
            <w:tcW w:type="dxa" w:w="576"/>
          </w:tcPr>
          <w:p>
            <w:r>
              <w:rPr>
                <w:rFonts w:ascii="Arial" w:hAnsi="Arial"/>
                <w:sz w:val="16"/>
              </w:rPr>
              <w:t>7</w:t>
            </w:r>
          </w:p>
        </w:tc>
        <w:tc>
          <w:tcPr>
            <w:tcW w:type="dxa" w:w="2592"/>
          </w:tcPr>
          <w:p>
            <w:r>
              <w:rPr>
                <w:rFonts w:ascii="Arial" w:hAnsi="Arial"/>
                <w:sz w:val="16"/>
              </w:rPr>
              <w:t>Defense Correspondence</w:t>
            </w:r>
          </w:p>
        </w:tc>
        <w:tc>
          <w:tcPr>
            <w:tcW w:type="dxa" w:w="1728"/>
          </w:tcPr>
          <w:p>
            <w:r>
              <w:rPr>
                <w:rFonts w:ascii="Arial" w:hAnsi="Arial"/>
                <w:sz w:val="16"/>
              </w:rPr>
              <w:t>Kho</w:t>
            </w:r>
          </w:p>
        </w:tc>
        <w:tc>
          <w:tcPr>
            <w:tcW w:type="dxa" w:w="4320"/>
          </w:tcPr>
          <w:p>
            <w:r>
              <w:rPr>
                <w:rFonts w:ascii="Arial" w:hAnsi="Arial"/>
                <w:sz w:val="16"/>
              </w:rPr>
              <w:t>Litigation correspondence.</w:t>
            </w:r>
          </w:p>
        </w:tc>
      </w:tr>
      <w:tr>
        <w:tc>
          <w:tcPr>
            <w:tcW w:type="dxa" w:w="576"/>
          </w:tcPr>
          <w:p>
            <w:r>
              <w:rPr>
                <w:rFonts w:ascii="Arial" w:hAnsi="Arial"/>
                <w:sz w:val="16"/>
              </w:rPr>
              <w:t>8</w:t>
            </w:r>
          </w:p>
        </w:tc>
        <w:tc>
          <w:tcPr>
            <w:tcW w:type="dxa" w:w="2592"/>
          </w:tcPr>
          <w:p>
            <w:r>
              <w:rPr>
                <w:rFonts w:ascii="Arial" w:hAnsi="Arial"/>
                <w:sz w:val="16"/>
              </w:rPr>
              <w:t>Plaintiff Correspondence</w:t>
            </w:r>
          </w:p>
        </w:tc>
        <w:tc>
          <w:tcPr>
            <w:tcW w:type="dxa" w:w="1728"/>
          </w:tcPr>
          <w:p>
            <w:r>
              <w:rPr>
                <w:rFonts w:ascii="Arial" w:hAnsi="Arial"/>
                <w:sz w:val="16"/>
              </w:rPr>
              <w:t>Tieri</w:t>
            </w:r>
          </w:p>
        </w:tc>
        <w:tc>
          <w:tcPr>
            <w:tcW w:type="dxa" w:w="4320"/>
          </w:tcPr>
          <w:p>
            <w:r>
              <w:rPr>
                <w:rFonts w:ascii="Arial" w:hAnsi="Arial"/>
                <w:sz w:val="16"/>
              </w:rPr>
              <w:t>Extended correspondence chain.</w:t>
            </w:r>
          </w:p>
        </w:tc>
      </w:tr>
      <w:tr>
        <w:tc>
          <w:tcPr>
            <w:tcW w:type="dxa" w:w="576"/>
          </w:tcPr>
          <w:p>
            <w:r>
              <w:rPr>
                <w:rFonts w:ascii="Arial" w:hAnsi="Arial"/>
                <w:sz w:val="16"/>
              </w:rPr>
              <w:t>9</w:t>
            </w:r>
          </w:p>
        </w:tc>
        <w:tc>
          <w:tcPr>
            <w:tcW w:type="dxa" w:w="2592"/>
          </w:tcPr>
          <w:p>
            <w:r>
              <w:rPr>
                <w:rFonts w:ascii="Arial" w:hAnsi="Arial"/>
                <w:sz w:val="16"/>
              </w:rPr>
              <w:t>First Amended Complaint</w:t>
            </w:r>
          </w:p>
        </w:tc>
        <w:tc>
          <w:tcPr>
            <w:tcW w:type="dxa" w:w="1728"/>
          </w:tcPr>
          <w:p>
            <w:r>
              <w:rPr>
                <w:rFonts w:ascii="Arial" w:hAnsi="Arial"/>
                <w:sz w:val="16"/>
              </w:rPr>
              <w:t>Tieri</w:t>
            </w:r>
          </w:p>
        </w:tc>
        <w:tc>
          <w:tcPr>
            <w:tcW w:type="dxa" w:w="4320"/>
          </w:tcPr>
          <w:p>
            <w:r>
              <w:rPr>
                <w:rFonts w:ascii="Arial" w:hAnsi="Arial"/>
                <w:sz w:val="16"/>
              </w:rPr>
              <w:t>Adds details post-construction completion; filed December 17, 2024.</w:t>
            </w:r>
          </w:p>
        </w:tc>
      </w:tr>
      <w:tr>
        <w:tc>
          <w:tcPr>
            <w:tcW w:type="dxa" w:w="576"/>
          </w:tcPr>
          <w:p>
            <w:r>
              <w:rPr>
                <w:rFonts w:ascii="Arial" w:hAnsi="Arial"/>
                <w:sz w:val="16"/>
              </w:rPr>
              <w:t>10</w:t>
            </w:r>
          </w:p>
        </w:tc>
        <w:tc>
          <w:tcPr>
            <w:tcW w:type="dxa" w:w="2592"/>
          </w:tcPr>
          <w:p>
            <w:r>
              <w:rPr>
                <w:rFonts w:ascii="Arial" w:hAnsi="Arial"/>
                <w:sz w:val="16"/>
              </w:rPr>
              <w:t>Defense Answer to Amended Complaint</w:t>
            </w:r>
          </w:p>
        </w:tc>
        <w:tc>
          <w:tcPr>
            <w:tcW w:type="dxa" w:w="1728"/>
          </w:tcPr>
          <w:p>
            <w:r>
              <w:rPr>
                <w:rFonts w:ascii="Arial" w:hAnsi="Arial"/>
                <w:sz w:val="16"/>
              </w:rPr>
              <w:t>Kho</w:t>
            </w:r>
          </w:p>
        </w:tc>
        <w:tc>
          <w:tcPr>
            <w:tcW w:type="dxa" w:w="4320"/>
          </w:tcPr>
          <w:p>
            <w:r>
              <w:rPr>
                <w:rFonts w:ascii="Arial" w:hAnsi="Arial"/>
                <w:sz w:val="16"/>
              </w:rPr>
              <w:t>Response to First Amended Complaint.</w:t>
            </w:r>
          </w:p>
        </w:tc>
      </w:tr>
      <w:tr>
        <w:tc>
          <w:tcPr>
            <w:tcW w:type="dxa" w:w="576"/>
          </w:tcPr>
          <w:p>
            <w:r>
              <w:rPr>
                <w:rFonts w:ascii="Arial" w:hAnsi="Arial"/>
                <w:sz w:val="16"/>
              </w:rPr>
              <w:t>11</w:t>
            </w:r>
          </w:p>
        </w:tc>
        <w:tc>
          <w:tcPr>
            <w:tcW w:type="dxa" w:w="2592"/>
          </w:tcPr>
          <w:p>
            <w:r>
              <w:rPr>
                <w:rFonts w:ascii="Arial" w:hAnsi="Arial"/>
                <w:sz w:val="16"/>
              </w:rPr>
              <w:t>Second Amended Complaint</w:t>
            </w:r>
          </w:p>
        </w:tc>
        <w:tc>
          <w:tcPr>
            <w:tcW w:type="dxa" w:w="1728"/>
          </w:tcPr>
          <w:p>
            <w:r>
              <w:rPr>
                <w:rFonts w:ascii="Arial" w:hAnsi="Arial"/>
                <w:sz w:val="16"/>
              </w:rPr>
              <w:t>Tieri</w:t>
            </w:r>
          </w:p>
        </w:tc>
        <w:tc>
          <w:tcPr>
            <w:tcW w:type="dxa" w:w="4320"/>
          </w:tcPr>
          <w:p>
            <w:r>
              <w:rPr>
                <w:rFonts w:ascii="Arial" w:hAnsi="Arial"/>
                <w:sz w:val="16"/>
              </w:rPr>
              <w:t>Adds Borough as defendant (Feb 3, 2025). Contains sworn allegations re: pre-construction conditions (¶45, ¶56). CAFRA/NJDEP permit allegations (¶69-73). Flooding allegations (¶74-77).</w:t>
            </w:r>
          </w:p>
        </w:tc>
      </w:tr>
      <w:tr>
        <w:tc>
          <w:tcPr>
            <w:tcW w:type="dxa" w:w="576"/>
          </w:tcPr>
          <w:p>
            <w:r>
              <w:rPr>
                <w:rFonts w:ascii="Arial" w:hAnsi="Arial"/>
                <w:sz w:val="16"/>
              </w:rPr>
              <w:t>12</w:t>
            </w:r>
          </w:p>
        </w:tc>
        <w:tc>
          <w:tcPr>
            <w:tcW w:type="dxa" w:w="2592"/>
          </w:tcPr>
          <w:p>
            <w:r>
              <w:rPr>
                <w:rFonts w:ascii="Arial" w:hAnsi="Arial"/>
                <w:sz w:val="16"/>
              </w:rPr>
              <w:t>Borough Answer/Cross-Claim (Padula)</w:t>
            </w:r>
          </w:p>
        </w:tc>
        <w:tc>
          <w:tcPr>
            <w:tcW w:type="dxa" w:w="1728"/>
          </w:tcPr>
          <w:p>
            <w:r>
              <w:rPr>
                <w:rFonts w:ascii="Arial" w:hAnsi="Arial"/>
                <w:sz w:val="16"/>
              </w:rPr>
              <w:t>Borough</w:t>
            </w:r>
          </w:p>
        </w:tc>
        <w:tc>
          <w:tcPr>
            <w:tcW w:type="dxa" w:w="4320"/>
          </w:tcPr>
          <w:p>
            <w:r>
              <w:rPr>
                <w:rFonts w:ascii="Arial" w:hAnsi="Arial"/>
                <w:sz w:val="16"/>
              </w:rPr>
              <w:t>Borough's initial answer; disclaims ownership.</w:t>
            </w:r>
          </w:p>
        </w:tc>
      </w:tr>
      <w:tr>
        <w:tc>
          <w:tcPr>
            <w:tcW w:type="dxa" w:w="576"/>
          </w:tcPr>
          <w:p>
            <w:r>
              <w:rPr>
                <w:rFonts w:ascii="Arial" w:hAnsi="Arial"/>
                <w:sz w:val="16"/>
              </w:rPr>
              <w:t>13</w:t>
            </w:r>
          </w:p>
        </w:tc>
        <w:tc>
          <w:tcPr>
            <w:tcW w:type="dxa" w:w="2592"/>
          </w:tcPr>
          <w:p>
            <w:r>
              <w:rPr>
                <w:rFonts w:ascii="Arial" w:hAnsi="Arial"/>
                <w:sz w:val="16"/>
              </w:rPr>
              <w:t>Defense Answer to SAC</w:t>
            </w:r>
          </w:p>
        </w:tc>
        <w:tc>
          <w:tcPr>
            <w:tcW w:type="dxa" w:w="1728"/>
          </w:tcPr>
          <w:p>
            <w:r>
              <w:rPr>
                <w:rFonts w:ascii="Arial" w:hAnsi="Arial"/>
                <w:sz w:val="16"/>
              </w:rPr>
              <w:t>Kho</w:t>
            </w:r>
          </w:p>
        </w:tc>
        <w:tc>
          <w:tcPr>
            <w:tcW w:type="dxa" w:w="4320"/>
          </w:tcPr>
          <w:p>
            <w:r>
              <w:rPr>
                <w:rFonts w:ascii="Arial" w:hAnsi="Arial"/>
                <w:sz w:val="16"/>
              </w:rPr>
              <w:t>Response to Second Amended Complaint; Answer/Counterclaim.</w:t>
            </w:r>
          </w:p>
        </w:tc>
      </w:tr>
      <w:tr>
        <w:tc>
          <w:tcPr>
            <w:tcW w:type="dxa" w:w="576"/>
          </w:tcPr>
          <w:p>
            <w:r>
              <w:rPr>
                <w:rFonts w:ascii="Arial" w:hAnsi="Arial"/>
                <w:sz w:val="16"/>
              </w:rPr>
              <w:t>14</w:t>
            </w:r>
          </w:p>
        </w:tc>
        <w:tc>
          <w:tcPr>
            <w:tcW w:type="dxa" w:w="2592"/>
          </w:tcPr>
          <w:p>
            <w:r>
              <w:rPr>
                <w:rFonts w:ascii="Arial" w:hAnsi="Arial"/>
                <w:sz w:val="16"/>
              </w:rPr>
              <w:t>Settlement Stipulation</w:t>
            </w:r>
          </w:p>
        </w:tc>
        <w:tc>
          <w:tcPr>
            <w:tcW w:type="dxa" w:w="1728"/>
          </w:tcPr>
          <w:p>
            <w:r>
              <w:rPr>
                <w:rFonts w:ascii="Arial" w:hAnsi="Arial"/>
                <w:sz w:val="16"/>
              </w:rPr>
              <w:t>All Parties</w:t>
            </w:r>
          </w:p>
        </w:tc>
        <w:tc>
          <w:tcPr>
            <w:tcW w:type="dxa" w:w="4320"/>
          </w:tcPr>
          <w:p>
            <w:r>
              <w:rPr>
                <w:rFonts w:ascii="Arial" w:hAnsi="Arial"/>
                <w:sz w:val="16"/>
              </w:rPr>
              <w:t>CRITICAL: April 10, 2025 signed stipulation: gate between pilings 1&amp;3; stairs to be reconstructed. Defense admission that current stairs insufficient.</w:t>
            </w:r>
          </w:p>
        </w:tc>
      </w:tr>
      <w:tr>
        <w:tc>
          <w:tcPr>
            <w:tcW w:type="dxa" w:w="576"/>
          </w:tcPr>
          <w:p>
            <w:r>
              <w:rPr>
                <w:rFonts w:ascii="Arial" w:hAnsi="Arial"/>
                <w:sz w:val="16"/>
              </w:rPr>
              <w:t>15</w:t>
            </w:r>
          </w:p>
        </w:tc>
        <w:tc>
          <w:tcPr>
            <w:tcW w:type="dxa" w:w="2592"/>
          </w:tcPr>
          <w:p>
            <w:r>
              <w:rPr>
                <w:rFonts w:ascii="Arial" w:hAnsi="Arial"/>
                <w:sz w:val="16"/>
              </w:rPr>
              <w:t>Motion to Reinstate (+ SAC + Borough correspondence)</w:t>
            </w:r>
          </w:p>
        </w:tc>
        <w:tc>
          <w:tcPr>
            <w:tcW w:type="dxa" w:w="1728"/>
          </w:tcPr>
          <w:p>
            <w:r>
              <w:rPr>
                <w:rFonts w:ascii="Arial" w:hAnsi="Arial"/>
                <w:sz w:val="16"/>
              </w:rPr>
              <w:t>Tieri</w:t>
            </w:r>
          </w:p>
        </w:tc>
        <w:tc>
          <w:tcPr>
            <w:tcW w:type="dxa" w:w="4320"/>
          </w:tcPr>
          <w:p>
            <w:r>
              <w:rPr>
                <w:rFonts w:ascii="Arial" w:hAnsi="Arial"/>
                <w:sz w:val="16"/>
              </w:rPr>
              <w:t>CRITICAL: Contains full Second Amended Complaint (Exhibit A). Documents Borough's September 2, 2025 refusal to approve gate. Venkat certification details failed settlement implementation timeline.</w:t>
            </w:r>
          </w:p>
        </w:tc>
      </w:tr>
      <w:tr>
        <w:tc>
          <w:tcPr>
            <w:tcW w:type="dxa" w:w="576"/>
          </w:tcPr>
          <w:p>
            <w:r>
              <w:rPr>
                <w:rFonts w:ascii="Arial" w:hAnsi="Arial"/>
                <w:sz w:val="16"/>
              </w:rPr>
              <w:t>16</w:t>
            </w:r>
          </w:p>
        </w:tc>
        <w:tc>
          <w:tcPr>
            <w:tcW w:type="dxa" w:w="2592"/>
          </w:tcPr>
          <w:p>
            <w:r>
              <w:rPr>
                <w:rFonts w:ascii="Arial" w:hAnsi="Arial"/>
                <w:sz w:val="16"/>
              </w:rPr>
              <w:t>Plaintiff's Motion for Partial Summary Judgment</w:t>
            </w:r>
          </w:p>
        </w:tc>
        <w:tc>
          <w:tcPr>
            <w:tcW w:type="dxa" w:w="1728"/>
          </w:tcPr>
          <w:p>
            <w:r>
              <w:rPr>
                <w:rFonts w:ascii="Arial" w:hAnsi="Arial"/>
                <w:sz w:val="16"/>
              </w:rPr>
              <w:t>Tieri</w:t>
            </w:r>
          </w:p>
        </w:tc>
        <w:tc>
          <w:tcPr>
            <w:tcW w:type="dxa" w:w="4320"/>
          </w:tcPr>
          <w:p>
            <w:r>
              <w:rPr>
                <w:rFonts w:ascii="Arial" w:hAnsi="Arial"/>
                <w:sz w:val="16"/>
              </w:rPr>
              <w:t>CRITICAL (504 pages): Full motion, memorandum of law, SUMF (¶36-67 key). Proposed Order seeks 15-18 feet removed; "flat and level." Public Trust Doctrine argument.</w:t>
            </w:r>
          </w:p>
        </w:tc>
      </w:tr>
      <w:tr>
        <w:tc>
          <w:tcPr>
            <w:tcW w:type="dxa" w:w="576"/>
          </w:tcPr>
          <w:p>
            <w:r>
              <w:rPr>
                <w:rFonts w:ascii="Arial" w:hAnsi="Arial"/>
                <w:sz w:val="16"/>
              </w:rPr>
              <w:t>17</w:t>
            </w:r>
          </w:p>
        </w:tc>
        <w:tc>
          <w:tcPr>
            <w:tcW w:type="dxa" w:w="2592"/>
          </w:tcPr>
          <w:p>
            <w:r>
              <w:rPr>
                <w:rFonts w:ascii="Arial" w:hAnsi="Arial"/>
                <w:sz w:val="16"/>
              </w:rPr>
              <w:t>Defense Opposition + Cross-Motion</w:t>
            </w:r>
          </w:p>
        </w:tc>
        <w:tc>
          <w:tcPr>
            <w:tcW w:type="dxa" w:w="1728"/>
          </w:tcPr>
          <w:p>
            <w:r>
              <w:rPr>
                <w:rFonts w:ascii="Arial" w:hAnsi="Arial"/>
                <w:sz w:val="16"/>
              </w:rPr>
              <w:t>Kho</w:t>
            </w:r>
          </w:p>
        </w:tc>
        <w:tc>
          <w:tcPr>
            <w:tcW w:type="dxa" w:w="4320"/>
          </w:tcPr>
          <w:p>
            <w:r>
              <w:rPr>
                <w:rFonts w:ascii="Arial" w:hAnsi="Arial"/>
                <w:sz w:val="16"/>
              </w:rPr>
              <w:t>CRITICAL (504 pages): Full defense package. All key depositions cited. Rioux aerial evidence. Landing vs. launching argument. Stokes drain discovery testimony.</w:t>
            </w:r>
          </w:p>
        </w:tc>
      </w:tr>
      <w:tr>
        <w:tc>
          <w:tcPr>
            <w:tcW w:type="dxa" w:w="576"/>
          </w:tcPr>
          <w:p>
            <w:r>
              <w:rPr>
                <w:rFonts w:ascii="Arial" w:hAnsi="Arial"/>
                <w:sz w:val="16"/>
              </w:rPr>
              <w:t>18</w:t>
            </w:r>
          </w:p>
        </w:tc>
        <w:tc>
          <w:tcPr>
            <w:tcW w:type="dxa" w:w="2592"/>
          </w:tcPr>
          <w:p>
            <w:r>
              <w:rPr>
                <w:rFonts w:ascii="Arial" w:hAnsi="Arial"/>
                <w:sz w:val="16"/>
              </w:rPr>
              <w:t>Defense Notice of Cross-Motion + Proposed Order</w:t>
            </w:r>
          </w:p>
        </w:tc>
        <w:tc>
          <w:tcPr>
            <w:tcW w:type="dxa" w:w="1728"/>
          </w:tcPr>
          <w:p>
            <w:r>
              <w:rPr>
                <w:rFonts w:ascii="Arial" w:hAnsi="Arial"/>
                <w:sz w:val="16"/>
              </w:rPr>
              <w:t>Kho</w:t>
            </w:r>
          </w:p>
        </w:tc>
        <w:tc>
          <w:tcPr>
            <w:tcW w:type="dxa" w:w="4320"/>
          </w:tcPr>
          <w:p>
            <w:r>
              <w:rPr>
                <w:rFonts w:ascii="Arial" w:hAnsi="Arial"/>
                <w:sz w:val="16"/>
              </w:rPr>
              <w:t>Connell Foley cross-motion cover; proposes Counts 1-5 dismissed with prejudice.</w:t>
            </w:r>
          </w:p>
        </w:tc>
      </w:tr>
      <w:tr>
        <w:tc>
          <w:tcPr>
            <w:tcW w:type="dxa" w:w="576"/>
          </w:tcPr>
          <w:p>
            <w:r>
              <w:rPr>
                <w:rFonts w:ascii="Arial" w:hAnsi="Arial"/>
                <w:sz w:val="16"/>
              </w:rPr>
              <w:t>19</w:t>
            </w:r>
          </w:p>
        </w:tc>
        <w:tc>
          <w:tcPr>
            <w:tcW w:type="dxa" w:w="2592"/>
          </w:tcPr>
          <w:p>
            <w:r>
              <w:rPr>
                <w:rFonts w:ascii="Arial" w:hAnsi="Arial"/>
                <w:sz w:val="16"/>
              </w:rPr>
              <w:t>Borough Cross-Motion</w:t>
            </w:r>
          </w:p>
        </w:tc>
        <w:tc>
          <w:tcPr>
            <w:tcW w:type="dxa" w:w="1728"/>
          </w:tcPr>
          <w:p>
            <w:r>
              <w:rPr>
                <w:rFonts w:ascii="Arial" w:hAnsi="Arial"/>
                <w:sz w:val="16"/>
              </w:rPr>
              <w:t>Borough</w:t>
            </w:r>
          </w:p>
        </w:tc>
        <w:tc>
          <w:tcPr>
            <w:tcW w:type="dxa" w:w="4320"/>
          </w:tcPr>
          <w:p>
            <w:r>
              <w:rPr>
                <w:rFonts w:ascii="Arial" w:hAnsi="Arial"/>
                <w:sz w:val="16"/>
              </w:rPr>
              <w:t>Five-point motion: ownership disclaimer; TCA immunity; no inverse condemnation. Padula certification with R-144-2024.</w:t>
            </w:r>
          </w:p>
        </w:tc>
      </w:tr>
      <w:tr>
        <w:tc>
          <w:tcPr>
            <w:tcW w:type="dxa" w:w="576"/>
          </w:tcPr>
          <w:p>
            <w:r>
              <w:rPr>
                <w:rFonts w:ascii="Arial" w:hAnsi="Arial"/>
                <w:sz w:val="16"/>
              </w:rPr>
              <w:t>20</w:t>
            </w:r>
          </w:p>
        </w:tc>
        <w:tc>
          <w:tcPr>
            <w:tcW w:type="dxa" w:w="2592"/>
          </w:tcPr>
          <w:p>
            <w:r>
              <w:rPr>
                <w:rFonts w:ascii="Arial" w:hAnsi="Arial"/>
                <w:sz w:val="16"/>
              </w:rPr>
              <w:t>Plaintiff Adjournment Letter</w:t>
            </w:r>
          </w:p>
        </w:tc>
        <w:tc>
          <w:tcPr>
            <w:tcW w:type="dxa" w:w="1728"/>
          </w:tcPr>
          <w:p>
            <w:r>
              <w:rPr>
                <w:rFonts w:ascii="Arial" w:hAnsi="Arial"/>
                <w:sz w:val="16"/>
              </w:rPr>
              <w:t>Tieri (Poliner)</w:t>
            </w:r>
          </w:p>
        </w:tc>
        <w:tc>
          <w:tcPr>
            <w:tcW w:type="dxa" w:w="4320"/>
          </w:tcPr>
          <w:p>
            <w:r>
              <w:rPr>
                <w:rFonts w:ascii="Arial" w:hAnsi="Arial"/>
                <w:sz w:val="16"/>
              </w:rPr>
              <w:t>April 29, 2026 request to move hearing May 8 → May 22. Trial to July 17-August 14. Settlement conference failed.</w:t>
            </w:r>
          </w:p>
        </w:tc>
      </w:tr>
      <w:tr>
        <w:tc>
          <w:tcPr>
            <w:tcW w:type="dxa" w:w="576"/>
          </w:tcPr>
          <w:p>
            <w:r>
              <w:rPr>
                <w:rFonts w:ascii="Arial" w:hAnsi="Arial"/>
                <w:sz w:val="16"/>
              </w:rPr>
              <w:t>21 / 21a</w:t>
            </w:r>
          </w:p>
        </w:tc>
        <w:tc>
          <w:tcPr>
            <w:tcW w:type="dxa" w:w="2592"/>
          </w:tcPr>
          <w:p>
            <w:r>
              <w:rPr>
                <w:rFonts w:ascii="Arial" w:hAnsi="Arial"/>
                <w:sz w:val="16"/>
              </w:rPr>
              <w:t>Guadagno Letter Brief + MPAP</w:t>
            </w:r>
          </w:p>
        </w:tc>
        <w:tc>
          <w:tcPr>
            <w:tcW w:type="dxa" w:w="1728"/>
          </w:tcPr>
          <w:p>
            <w:r>
              <w:rPr>
                <w:rFonts w:ascii="Arial" w:hAnsi="Arial"/>
                <w:sz w:val="16"/>
              </w:rPr>
              <w:t>Kho (Guadagno)</w:t>
            </w:r>
          </w:p>
        </w:tc>
        <w:tc>
          <w:tcPr>
            <w:tcW w:type="dxa" w:w="4320"/>
          </w:tcPr>
          <w:p>
            <w:r>
              <w:rPr>
                <w:rFonts w:ascii="Arial" w:hAnsi="Arial"/>
                <w:sz w:val="16"/>
              </w:rPr>
              <w:t>CRITICAL: May 4, 2026 three-point argument: implied dedication; no private tax bills; equitable estoppel. 2017 Municipal Public Access Plan attached as Exhibit 1 (34 pages) — identifies "Riverview Road" as Borough-owned Access Point 20.</w:t>
            </w:r>
          </w:p>
        </w:tc>
      </w:tr>
      <w:tr>
        <w:tc>
          <w:tcPr>
            <w:tcW w:type="dxa" w:w="576"/>
          </w:tcPr>
          <w:p>
            <w:r>
              <w:rPr>
                <w:rFonts w:ascii="Arial" w:hAnsi="Arial"/>
                <w:sz w:val="16"/>
              </w:rPr>
              <w:t>22</w:t>
            </w:r>
          </w:p>
        </w:tc>
        <w:tc>
          <w:tcPr>
            <w:tcW w:type="dxa" w:w="2592"/>
          </w:tcPr>
          <w:p>
            <w:r>
              <w:rPr>
                <w:rFonts w:ascii="Arial" w:hAnsi="Arial"/>
                <w:sz w:val="16"/>
              </w:rPr>
              <w:t>Poliner Opposition to Letter Brief</w:t>
            </w:r>
          </w:p>
        </w:tc>
        <w:tc>
          <w:tcPr>
            <w:tcW w:type="dxa" w:w="1728"/>
          </w:tcPr>
          <w:p>
            <w:r>
              <w:rPr>
                <w:rFonts w:ascii="Arial" w:hAnsi="Arial"/>
                <w:sz w:val="16"/>
              </w:rPr>
              <w:t>Tieri (Poliner)</w:t>
            </w:r>
          </w:p>
        </w:tc>
        <w:tc>
          <w:tcPr>
            <w:tcW w:type="dxa" w:w="4320"/>
          </w:tcPr>
          <w:p>
            <w:r>
              <w:rPr>
                <w:rFonts w:ascii="Arial" w:hAnsi="Arial"/>
                <w:sz w:val="16"/>
              </w:rPr>
              <w:t>May 5, 2026 pure procedural objection. Cites R. 4:46-1. No substantive response to implied dedication or estoppel arguments.</w:t>
            </w:r>
          </w:p>
        </w:tc>
      </w:tr>
    </w:tbl>
    <w:p>
      <w:r>
        <w:br w:type="page"/>
      </w:r>
    </w:p>
    <w:p>
      <w:pPr>
        <w:pStyle w:val="Heading1"/>
      </w:pPr>
      <w:r>
        <w:t>XV. CONCLUSION</w:t>
      </w:r>
    </w:p>
    <w:p>
      <w:pPr>
        <w:pStyle w:val="BodyText"/>
      </w:pPr>
      <w:r>
        <w:t>Based on complete review of all 23 documents in this matter, the defense is in a defensible but not comfortable position. The case is unlikely to end at summary judgment on May 22 — too many genuine factual disputes exist on the key questions of stairs adequacy and flooding causation. The Borough will not exit the case cleanly, and the 2017 Municipal Public Access Plan is the most underutilized document in the entire file: it is a government submission to the State of New Jersey in which the Borough expressly claimed Riverview Road as its own public access point, and it directly contradicts Resolution R-144-2024 as a credible ownership disclaimer.</w:t>
      </w:r>
    </w:p>
    <w:p>
      <w:pPr>
        <w:pStyle w:val="BodyText"/>
      </w:pPr>
      <w:r>
        <w:t>The April 2025 settlement stipulation is the most damaging document for the defense on the easement counts. Both sides' counsel signed a document acknowledging the stairs needed reconstruction and a gate needed to be installed. That stipulation frames the trial remedy question and will be before the judge regardless of how the summary judgment motions resolve.</w:t>
      </w:r>
    </w:p>
    <w:p>
      <w:pPr>
        <w:pStyle w:val="BodyText"/>
      </w:pPr>
      <w:r>
        <w:t>The most favorable path for the defense remains settlement: offer to install an engineered gate between pilings 1 and 3, reconstruct stairs to accessibility standards, and resolve the flooding counts with a modest payment acknowledging the drain's role while attributing primary cause to the municipal infrastructure failure. This resolves the CAFRA permit problem, avoids the trial risk, and eliminates the Borough's independent drain-liability exposure. Two settlement conferences have already failed, but the parties' own April 2025 handshake deal shows the outlines of a resolution that both sides were once willing to accept.</w:t>
      </w:r>
    </w:p>
    <w:p>
      <w:pPr>
        <w:pBdr>
          <w:bottom w:val="single" w:sz="6" w:space="1" w:color="1F497D"/>
        </w:pBdr>
      </w:pPr>
    </w:p>
    <w:p>
      <w:pPr>
        <w:jc w:val="center"/>
      </w:pPr>
      <w:r>
        <w:rPr>
          <w:rFonts w:ascii="Arial" w:hAnsi="Arial"/>
          <w:color w:val="606060"/>
          <w:sz w:val="18"/>
        </w:rPr>
        <w:t>— END OF REPORT —</w:t>
      </w:r>
    </w:p>
    <w:p>
      <w:pPr>
        <w:jc w:val="center"/>
      </w:pPr>
      <w:r>
        <w:rPr>
          <w:rFonts w:ascii="Arial" w:hAnsi="Arial"/>
          <w:i/>
          <w:color w:val="808080"/>
          <w:sz w:val="16"/>
        </w:rPr>
        <w:t>This analysis is prepared for informational purposes. It is not legal advice. Consult qualified New Jersey counsel on all legal strategy decisions.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rial" w:hAnsi="Arial"/>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Label">
    <w:name w:val="Caption Label"/>
    <w:basedOn w:val="Normal"/>
    <w:rPr>
      <w:rFonts w:ascii="Arial" w:hAnsi="Arial"/>
      <w:b/>
      <w:color w:val="40404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