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F0D6B" w14:textId="06530B25" w:rsidR="0009492A" w:rsidRPr="00AD2E94" w:rsidRDefault="0009492A" w:rsidP="0009492A">
      <w:pPr>
        <w:spacing w:after="0" w:line="240" w:lineRule="auto"/>
        <w:rPr>
          <w:rFonts w:ascii="Times New Roman" w:hAnsi="Times New Roman" w:cs="Times New Roman"/>
          <w:sz w:val="24"/>
          <w:szCs w:val="24"/>
        </w:rPr>
      </w:pPr>
      <w:r w:rsidRPr="00AD2E94">
        <w:rPr>
          <w:rFonts w:ascii="Times New Roman" w:hAnsi="Times New Roman" w:cs="Times New Roman"/>
          <w:sz w:val="24"/>
          <w:szCs w:val="24"/>
        </w:rPr>
        <w:t>BS 85</w:t>
      </w:r>
      <w:r w:rsidR="00635908">
        <w:rPr>
          <w:rFonts w:ascii="Times New Roman" w:hAnsi="Times New Roman" w:cs="Times New Roman"/>
          <w:sz w:val="24"/>
          <w:szCs w:val="24"/>
        </w:rPr>
        <w:t>1</w:t>
      </w:r>
    </w:p>
    <w:p w14:paraId="18628BFA" w14:textId="6B554EC4" w:rsidR="0009492A" w:rsidRPr="00AD2E94" w:rsidRDefault="0009492A" w:rsidP="0009492A">
      <w:pPr>
        <w:spacing w:after="0" w:line="240" w:lineRule="auto"/>
        <w:rPr>
          <w:rFonts w:ascii="Times New Roman" w:hAnsi="Times New Roman" w:cs="Times New Roman"/>
          <w:sz w:val="24"/>
          <w:szCs w:val="24"/>
        </w:rPr>
      </w:pPr>
      <w:r w:rsidRPr="00AD2E94">
        <w:rPr>
          <w:rFonts w:ascii="Times New Roman" w:hAnsi="Times New Roman" w:cs="Times New Roman"/>
          <w:sz w:val="24"/>
          <w:szCs w:val="24"/>
        </w:rPr>
        <w:t xml:space="preserve">Homework </w:t>
      </w:r>
      <w:r w:rsidR="00DD3E57">
        <w:rPr>
          <w:rFonts w:ascii="Times New Roman" w:hAnsi="Times New Roman" w:cs="Times New Roman"/>
          <w:sz w:val="24"/>
          <w:szCs w:val="24"/>
        </w:rPr>
        <w:t>9</w:t>
      </w:r>
    </w:p>
    <w:p w14:paraId="17A0C1F3" w14:textId="650BB2A7" w:rsidR="0009492A" w:rsidRDefault="0009492A" w:rsidP="0009492A">
      <w:pPr>
        <w:spacing w:after="0" w:line="240" w:lineRule="auto"/>
        <w:rPr>
          <w:rFonts w:ascii="Times New Roman" w:hAnsi="Times New Roman" w:cs="Times New Roman"/>
          <w:sz w:val="24"/>
          <w:szCs w:val="24"/>
        </w:rPr>
      </w:pPr>
      <w:r w:rsidRPr="00AD2E94">
        <w:rPr>
          <w:rFonts w:ascii="Times New Roman" w:hAnsi="Times New Roman" w:cs="Times New Roman"/>
          <w:sz w:val="24"/>
          <w:szCs w:val="24"/>
        </w:rPr>
        <w:t xml:space="preserve">Irene Hsueh </w:t>
      </w:r>
    </w:p>
    <w:p w14:paraId="0CD19945" w14:textId="77777777" w:rsidR="00DD3E57" w:rsidRPr="00AD2E94" w:rsidRDefault="00DD3E57" w:rsidP="0009492A">
      <w:pPr>
        <w:spacing w:after="0" w:line="240" w:lineRule="auto"/>
        <w:rPr>
          <w:rFonts w:ascii="Times New Roman" w:hAnsi="Times New Roman" w:cs="Times New Roman"/>
          <w:sz w:val="24"/>
          <w:szCs w:val="24"/>
        </w:rPr>
      </w:pPr>
    </w:p>
    <w:p w14:paraId="27F2103C" w14:textId="4D815EAE" w:rsidR="00FC402E" w:rsidRPr="00FC402E" w:rsidRDefault="00ED6F6B" w:rsidP="00FC402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Part A</w:t>
      </w:r>
    </w:p>
    <w:p w14:paraId="7D44072A" w14:textId="46D21114" w:rsidR="00DD3E57" w:rsidRDefault="00DD3E57" w:rsidP="00DD3E57">
      <w:pPr>
        <w:tabs>
          <w:tab w:val="left" w:pos="2880"/>
          <w:tab w:val="left" w:pos="5760"/>
        </w:tabs>
        <w:spacing w:after="0"/>
        <w:ind w:left="720" w:hanging="720"/>
        <w:rPr>
          <w:rFonts w:ascii="Times New Roman" w:hAnsi="Times New Roman" w:cs="Times New Roman"/>
          <w:sz w:val="24"/>
          <w:szCs w:val="24"/>
        </w:rPr>
      </w:pPr>
      <w:r>
        <w:rPr>
          <w:rFonts w:ascii="Times New Roman" w:hAnsi="Times New Roman" w:cs="Times New Roman"/>
          <w:sz w:val="24"/>
          <w:szCs w:val="24"/>
        </w:rPr>
        <w:t>H</w:t>
      </w:r>
      <w:r w:rsidRPr="002E6BD5">
        <w:rPr>
          <w:rFonts w:ascii="Times New Roman" w:hAnsi="Times New Roman" w:cs="Times New Roman"/>
          <w:sz w:val="24"/>
          <w:szCs w:val="24"/>
          <w:vertAlign w:val="subscript"/>
        </w:rPr>
        <w:t>0</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m:t>
            </m:r>
          </m:sub>
        </m:sSub>
        <m:r>
          <w:rPr>
            <w:rFonts w:ascii="Cambria Math" w:hAnsi="Cambria Math" w:cs="Times New Roman"/>
            <w:sz w:val="24"/>
            <w:szCs w:val="24"/>
          </w:rPr>
          <m:t>≥0.15</m:t>
        </m:r>
      </m:oMath>
      <w:r>
        <w:rPr>
          <w:rFonts w:ascii="Times New Roman" w:eastAsiaTheme="minorEastAsia" w:hAnsi="Times New Roman" w:cs="Times New Roman"/>
          <w:sz w:val="24"/>
          <w:szCs w:val="24"/>
        </w:rPr>
        <w:tab/>
        <w:t xml:space="preserve">T is inferior to C </w:t>
      </w:r>
    </w:p>
    <w:p w14:paraId="35D3D1F7" w14:textId="03E619AA" w:rsidR="00DD3E57" w:rsidRDefault="00DD3E57" w:rsidP="00DD3E57">
      <w:pPr>
        <w:tabs>
          <w:tab w:val="left" w:pos="2880"/>
          <w:tab w:val="left" w:pos="5760"/>
        </w:tabs>
        <w:spacing w:after="0"/>
        <w:ind w:left="720" w:hanging="720"/>
        <w:rPr>
          <w:rFonts w:ascii="Times New Roman" w:eastAsiaTheme="minorEastAsia" w:hAnsi="Times New Roman" w:cs="Times New Roman"/>
          <w:sz w:val="24"/>
          <w:szCs w:val="24"/>
        </w:rPr>
      </w:pPr>
      <w:r>
        <w:rPr>
          <w:rFonts w:ascii="Times New Roman" w:hAnsi="Times New Roman" w:cs="Times New Roman"/>
          <w:sz w:val="24"/>
          <w:szCs w:val="24"/>
        </w:rPr>
        <w:t>H</w:t>
      </w:r>
      <w:r w:rsidRPr="002E6BD5">
        <w:rPr>
          <w:rFonts w:ascii="Times New Roman" w:hAnsi="Times New Roman" w:cs="Times New Roman"/>
          <w:sz w:val="24"/>
          <w:szCs w:val="24"/>
          <w:vertAlign w:val="subscript"/>
        </w:rPr>
        <w:t>A</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m:t>
            </m:r>
          </m:sub>
        </m:sSub>
        <m:r>
          <w:rPr>
            <w:rFonts w:ascii="Cambria Math" w:hAnsi="Cambria Math" w:cs="Times New Roman"/>
            <w:sz w:val="24"/>
            <w:szCs w:val="24"/>
          </w:rPr>
          <m:t>&lt;0.15</m:t>
        </m:r>
      </m:oMath>
      <w:r>
        <w:rPr>
          <w:rFonts w:ascii="Times New Roman" w:eastAsiaTheme="minorEastAsia" w:hAnsi="Times New Roman" w:cs="Times New Roman"/>
          <w:sz w:val="24"/>
          <w:szCs w:val="24"/>
        </w:rPr>
        <w:tab/>
        <w:t xml:space="preserve">T is not inferior to C </w:t>
      </w:r>
    </w:p>
    <w:p w14:paraId="3411E563" w14:textId="77777777" w:rsidR="00DD3E57" w:rsidRDefault="00DD3E57" w:rsidP="00DD3E5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outcome, proportion still having head lice, is a negative outcome.  </w:t>
      </w:r>
    </w:p>
    <w:p w14:paraId="7CBC5BF6" w14:textId="63E02F53" w:rsidR="00AE36E7" w:rsidRDefault="00AE36E7" w:rsidP="00DD3E57">
      <w:pPr>
        <w:spacing w:after="0" w:line="240" w:lineRule="auto"/>
        <w:rPr>
          <w:rFonts w:ascii="Times New Roman" w:hAnsi="Times New Roman" w:cs="Times New Roman"/>
          <w:sz w:val="24"/>
          <w:szCs w:val="24"/>
        </w:rPr>
      </w:pPr>
    </w:p>
    <w:p w14:paraId="2A845C3E" w14:textId="7C48C923" w:rsidR="00DD3E57" w:rsidRDefault="00DD3E57" w:rsidP="00DD3E57">
      <w:pPr>
        <w:spacing w:after="0" w:line="240" w:lineRule="auto"/>
        <w:rPr>
          <w:rFonts w:ascii="Times New Roman" w:hAnsi="Times New Roman" w:cs="Times New Roman"/>
          <w:sz w:val="24"/>
          <w:szCs w:val="24"/>
        </w:rPr>
      </w:pPr>
    </w:p>
    <w:p w14:paraId="0F59468B" w14:textId="5CFCF396" w:rsidR="00DD3E57" w:rsidRPr="00DD3E57" w:rsidRDefault="00ED6F6B" w:rsidP="00DD3E5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Part B</w:t>
      </w:r>
    </w:p>
    <w:p w14:paraId="070DB9AE" w14:textId="18A6D2B8" w:rsidR="00DD3E57" w:rsidRDefault="00DD3E57" w:rsidP="00C31C7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sample size of 332, 166 per group, yields 80% power to detect a </w:t>
      </w:r>
      <w:r w:rsidR="00C31C78">
        <w:rPr>
          <w:rFonts w:ascii="Times New Roman" w:hAnsi="Times New Roman" w:cs="Times New Roman"/>
          <w:sz w:val="24"/>
          <w:szCs w:val="24"/>
        </w:rPr>
        <w:t xml:space="preserve">risk difference margin of 15% in proportion of head lice, </w:t>
      </w:r>
      <w:r>
        <w:rPr>
          <w:rFonts w:ascii="Times New Roman" w:hAnsi="Times New Roman" w:cs="Times New Roman"/>
          <w:sz w:val="24"/>
          <w:szCs w:val="24"/>
        </w:rPr>
        <w:t xml:space="preserve">using a 1:1 allocation ratio while assuming risk of 40% in the treatment and active control group. </w:t>
      </w:r>
    </w:p>
    <w:p w14:paraId="3A3E113E" w14:textId="7A2847FE" w:rsidR="00DD3E57" w:rsidRDefault="00DD3E57" w:rsidP="00DD3E57">
      <w:pPr>
        <w:spacing w:after="0" w:line="240" w:lineRule="auto"/>
        <w:rPr>
          <w:rFonts w:ascii="Times New Roman" w:hAnsi="Times New Roman" w:cs="Times New Roman"/>
          <w:sz w:val="24"/>
          <w:szCs w:val="24"/>
        </w:rPr>
      </w:pPr>
    </w:p>
    <w:p w14:paraId="765EDE9F" w14:textId="308F63A3" w:rsidR="00DD3E57" w:rsidRDefault="00DD3E57" w:rsidP="00DD3E57">
      <w:pPr>
        <w:spacing w:after="0" w:line="240" w:lineRule="auto"/>
        <w:rPr>
          <w:rFonts w:ascii="Times New Roman" w:hAnsi="Times New Roman" w:cs="Times New Roman"/>
          <w:sz w:val="24"/>
          <w:szCs w:val="24"/>
        </w:rPr>
      </w:pPr>
    </w:p>
    <w:p w14:paraId="07EE3105" w14:textId="400EB57C" w:rsidR="00DD3E57" w:rsidRPr="00DD3E57" w:rsidRDefault="00ED6F6B" w:rsidP="00DD3E5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Part C</w:t>
      </w:r>
    </w:p>
    <w:p w14:paraId="276053D5" w14:textId="21689A99" w:rsidR="00DD3E57" w:rsidRPr="00DD3E57" w:rsidRDefault="00A27618" w:rsidP="00DD3E57">
      <w:pPr>
        <w:tabs>
          <w:tab w:val="left" w:pos="2880"/>
          <w:tab w:val="left" w:pos="5040"/>
        </w:tabs>
        <w:spacing w:after="0" w:line="24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r>
                <w:rPr>
                  <w:rFonts w:ascii="Cambria Math" w:hAnsi="Cambria Math" w:cs="Times New Roman"/>
                  <w:sz w:val="24"/>
                  <w:szCs w:val="24"/>
                </w:rPr>
                <m:t>+δ</m:t>
              </m:r>
            </m:num>
            <m:den>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m:t>
                  </m:r>
                </m:sub>
              </m:sSub>
            </m:den>
          </m:f>
        </m:oMath>
      </m:oMathPara>
    </w:p>
    <w:p w14:paraId="363A9215" w14:textId="05A10218" w:rsidR="00DD3E57" w:rsidRPr="00DD3E57" w:rsidRDefault="00A27618" w:rsidP="00DD3E57">
      <w:pPr>
        <w:tabs>
          <w:tab w:val="left" w:pos="2880"/>
          <w:tab w:val="left" w:pos="5040"/>
        </w:tabs>
        <w:spacing w:after="0" w:line="24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0.4+0.15</m:t>
              </m:r>
            </m:num>
            <m:den>
              <m:r>
                <w:rPr>
                  <w:rFonts w:ascii="Cambria Math" w:hAnsi="Cambria Math" w:cs="Times New Roman"/>
                  <w:sz w:val="24"/>
                  <w:szCs w:val="24"/>
                </w:rPr>
                <m:t>0.4</m:t>
              </m:r>
            </m:den>
          </m:f>
        </m:oMath>
      </m:oMathPara>
    </w:p>
    <w:p w14:paraId="70A12FFF" w14:textId="504337E3" w:rsidR="00DD3E57" w:rsidRPr="00DD3E57" w:rsidRDefault="00A27618" w:rsidP="00DD3E57">
      <w:pPr>
        <w:tabs>
          <w:tab w:val="left" w:pos="2880"/>
          <w:tab w:val="left" w:pos="5040"/>
        </w:tabs>
        <w:spacing w:after="0" w:line="24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m:t>
                  </m:r>
                </m:sub>
              </m:sSub>
            </m:den>
          </m:f>
          <m:r>
            <w:rPr>
              <w:rFonts w:ascii="Cambria Math" w:hAnsi="Cambria Math" w:cs="Times New Roman"/>
              <w:sz w:val="24"/>
              <w:szCs w:val="24"/>
            </w:rPr>
            <m:t>≥1.375</m:t>
          </m:r>
        </m:oMath>
      </m:oMathPara>
    </w:p>
    <w:p w14:paraId="74E0FEAF" w14:textId="0B8AEA92" w:rsidR="00DD3E57" w:rsidRDefault="00DD3E57" w:rsidP="00DD3E57">
      <w:pPr>
        <w:tabs>
          <w:tab w:val="left" w:pos="2880"/>
          <w:tab w:val="left" w:pos="504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w:t>
      </w:r>
      <w:r w:rsidRPr="002E6BD5">
        <w:rPr>
          <w:rFonts w:ascii="Times New Roman" w:hAnsi="Times New Roman" w:cs="Times New Roman"/>
          <w:sz w:val="24"/>
          <w:szCs w:val="24"/>
          <w:vertAlign w:val="subscript"/>
        </w:rPr>
        <w:t>0</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m:t>
                </m:r>
              </m:sub>
            </m:sSub>
          </m:den>
        </m:f>
        <m:r>
          <w:rPr>
            <w:rFonts w:ascii="Cambria Math" w:hAnsi="Cambria Math" w:cs="Times New Roman"/>
            <w:sz w:val="24"/>
            <w:szCs w:val="24"/>
          </w:rPr>
          <m:t>≥1.375</m:t>
        </m:r>
      </m:oMath>
      <w:r>
        <w:rPr>
          <w:rFonts w:ascii="Times New Roman" w:eastAsiaTheme="minorEastAsia" w:hAnsi="Times New Roman" w:cs="Times New Roman"/>
          <w:sz w:val="24"/>
          <w:szCs w:val="24"/>
        </w:rPr>
        <w:tab/>
        <w:t xml:space="preserve">T is inferior to C </w:t>
      </w:r>
    </w:p>
    <w:p w14:paraId="76977462" w14:textId="0257F77D" w:rsidR="00DD3E57" w:rsidRDefault="00DD3E57" w:rsidP="00DD3E57">
      <w:pPr>
        <w:tabs>
          <w:tab w:val="left" w:pos="2880"/>
          <w:tab w:val="left" w:pos="5040"/>
        </w:tabs>
        <w:spacing w:after="0" w:line="240" w:lineRule="auto"/>
        <w:ind w:left="720" w:hanging="720"/>
        <w:rPr>
          <w:rFonts w:ascii="Times New Roman" w:eastAsiaTheme="minorEastAsia" w:hAnsi="Times New Roman" w:cs="Times New Roman"/>
          <w:sz w:val="24"/>
          <w:szCs w:val="24"/>
        </w:rPr>
      </w:pPr>
      <w:r>
        <w:rPr>
          <w:rFonts w:ascii="Times New Roman" w:hAnsi="Times New Roman" w:cs="Times New Roman"/>
          <w:sz w:val="24"/>
          <w:szCs w:val="24"/>
        </w:rPr>
        <w:t>H</w:t>
      </w:r>
      <w:r w:rsidRPr="002E6BD5">
        <w:rPr>
          <w:rFonts w:ascii="Times New Roman" w:hAnsi="Times New Roman" w:cs="Times New Roman"/>
          <w:sz w:val="24"/>
          <w:szCs w:val="24"/>
          <w:vertAlign w:val="subscript"/>
        </w:rPr>
        <w:t>A</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m:t>
                </m:r>
              </m:sub>
            </m:sSub>
          </m:den>
        </m:f>
        <m:r>
          <w:rPr>
            <w:rFonts w:ascii="Cambria Math" w:hAnsi="Cambria Math" w:cs="Times New Roman"/>
            <w:sz w:val="24"/>
            <w:szCs w:val="24"/>
          </w:rPr>
          <m:t>&lt;1.375</m:t>
        </m:r>
      </m:oMath>
      <w:r>
        <w:rPr>
          <w:rFonts w:ascii="Times New Roman" w:eastAsiaTheme="minorEastAsia" w:hAnsi="Times New Roman" w:cs="Times New Roman"/>
          <w:sz w:val="24"/>
          <w:szCs w:val="24"/>
        </w:rPr>
        <w:tab/>
        <w:t xml:space="preserve">T is not inferior to C </w:t>
      </w:r>
    </w:p>
    <w:p w14:paraId="7657A880" w14:textId="696D5974" w:rsidR="00DD3E57" w:rsidRDefault="00DD3E57" w:rsidP="00DD3E57">
      <w:pPr>
        <w:spacing w:after="0" w:line="240" w:lineRule="auto"/>
        <w:rPr>
          <w:rFonts w:ascii="Times New Roman" w:hAnsi="Times New Roman" w:cs="Times New Roman"/>
          <w:sz w:val="24"/>
          <w:szCs w:val="24"/>
        </w:rPr>
      </w:pPr>
    </w:p>
    <w:p w14:paraId="230DB15A" w14:textId="77777777" w:rsidR="00ED6F6B" w:rsidRDefault="00ED6F6B" w:rsidP="00DD3E57">
      <w:pPr>
        <w:spacing w:after="0" w:line="240" w:lineRule="auto"/>
        <w:rPr>
          <w:rFonts w:ascii="Times New Roman" w:hAnsi="Times New Roman" w:cs="Times New Roman"/>
          <w:sz w:val="24"/>
          <w:szCs w:val="24"/>
        </w:rPr>
      </w:pPr>
    </w:p>
    <w:p w14:paraId="63CB452F" w14:textId="30491107" w:rsidR="00ED6F6B" w:rsidRPr="00ED6F6B" w:rsidRDefault="00ED6F6B" w:rsidP="00ED6F6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Part D</w:t>
      </w:r>
    </w:p>
    <w:p w14:paraId="089C61B8" w14:textId="080AB9C5" w:rsidR="00ED6F6B" w:rsidRDefault="00ED6F6B" w:rsidP="00ED6F6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sample size of 472, 236 per group, yields 80% power to detect a </w:t>
      </w:r>
      <w:r w:rsidR="00C31C78">
        <w:rPr>
          <w:rFonts w:ascii="Times New Roman" w:hAnsi="Times New Roman" w:cs="Times New Roman"/>
          <w:sz w:val="24"/>
          <w:szCs w:val="24"/>
        </w:rPr>
        <w:t>relative risk margin of 15% in proportion of remaining head lice</w:t>
      </w:r>
      <w:r>
        <w:rPr>
          <w:rFonts w:ascii="Times New Roman" w:hAnsi="Times New Roman" w:cs="Times New Roman"/>
          <w:sz w:val="24"/>
          <w:szCs w:val="24"/>
        </w:rPr>
        <w:t xml:space="preserve">, using a 1:1 allocation ratio while assuming risk of 40% in the treatment and active control group. </w:t>
      </w:r>
    </w:p>
    <w:p w14:paraId="790BA6BD" w14:textId="0D043E8F" w:rsidR="00ED6F6B" w:rsidRDefault="00ED6F6B" w:rsidP="00ED6F6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required sample size using the </w:t>
      </w:r>
      <m:oMath>
        <m:r>
          <w:rPr>
            <w:rFonts w:ascii="Cambria Math" w:hAnsi="Cambria Math" w:cs="Times New Roman"/>
            <w:sz w:val="24"/>
            <w:szCs w:val="24"/>
          </w:rPr>
          <m:t>RR</m:t>
        </m:r>
      </m:oMath>
      <w:r>
        <w:rPr>
          <w:rFonts w:ascii="Times New Roman" w:eastAsiaTheme="minorEastAsia" w:hAnsi="Times New Roman" w:cs="Times New Roman"/>
          <w:sz w:val="24"/>
          <w:szCs w:val="24"/>
        </w:rPr>
        <w:t xml:space="preserve"> method is larger than using the </w:t>
      </w:r>
      <m:oMath>
        <m:r>
          <w:rPr>
            <w:rFonts w:ascii="Cambria Math" w:eastAsiaTheme="minorEastAsia" w:hAnsi="Cambria Math" w:cs="Times New Roman"/>
            <w:sz w:val="24"/>
            <w:szCs w:val="24"/>
          </w:rPr>
          <m:t>RD</m:t>
        </m:r>
      </m:oMath>
      <w:r>
        <w:rPr>
          <w:rFonts w:ascii="Times New Roman" w:eastAsiaTheme="minorEastAsia" w:hAnsi="Times New Roman" w:cs="Times New Roman"/>
          <w:sz w:val="24"/>
          <w:szCs w:val="24"/>
        </w:rPr>
        <w:t xml:space="preserve"> method, which is expected because the outcome of interested is negative. </w:t>
      </w:r>
    </w:p>
    <w:p w14:paraId="3023D349" w14:textId="76E0A0D4" w:rsidR="00ED6F6B" w:rsidRDefault="00ED6F6B" w:rsidP="00DD3E57">
      <w:pPr>
        <w:spacing w:after="0" w:line="240" w:lineRule="auto"/>
        <w:rPr>
          <w:rFonts w:ascii="Times New Roman" w:hAnsi="Times New Roman" w:cs="Times New Roman"/>
          <w:sz w:val="24"/>
          <w:szCs w:val="24"/>
        </w:rPr>
      </w:pPr>
    </w:p>
    <w:p w14:paraId="543B2EC5" w14:textId="07CDF1FA" w:rsidR="005F07D8" w:rsidRDefault="005F07D8" w:rsidP="003918B9">
      <w:pPr>
        <w:spacing w:after="0" w:line="240" w:lineRule="auto"/>
        <w:rPr>
          <w:rFonts w:ascii="Times New Roman" w:hAnsi="Times New Roman" w:cs="Times New Roman"/>
          <w:b/>
          <w:bCs/>
          <w:sz w:val="24"/>
          <w:szCs w:val="24"/>
        </w:rPr>
      </w:pPr>
    </w:p>
    <w:p w14:paraId="02C8AA56" w14:textId="77777777" w:rsidR="003918B9" w:rsidRDefault="003918B9" w:rsidP="003918B9">
      <w:pPr>
        <w:spacing w:after="0" w:line="240" w:lineRule="auto"/>
        <w:rPr>
          <w:rFonts w:ascii="Times New Roman" w:hAnsi="Times New Roman" w:cs="Times New Roman"/>
          <w:b/>
          <w:bCs/>
          <w:sz w:val="24"/>
          <w:szCs w:val="24"/>
        </w:rPr>
      </w:pPr>
    </w:p>
    <w:p w14:paraId="23FED6A1" w14:textId="1B7435A8" w:rsidR="00ED6F6B" w:rsidRPr="00ED6F6B" w:rsidRDefault="00ED6F6B" w:rsidP="00ED6F6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Part E</w:t>
      </w:r>
    </w:p>
    <w:p w14:paraId="0C94D4CA" w14:textId="7BB07C04" w:rsidR="00ED6F6B" w:rsidRDefault="00C31C78" w:rsidP="00DD3E5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Non-inferiority is not achieved in this trial using a risk difference margin of 0.15. </w:t>
      </w:r>
    </w:p>
    <w:p w14:paraId="3C929A31" w14:textId="77777777" w:rsidR="000D2D4A" w:rsidRDefault="000D2D4A" w:rsidP="00DD3E57">
      <w:pPr>
        <w:spacing w:after="0" w:line="240" w:lineRule="auto"/>
        <w:rPr>
          <w:rFonts w:ascii="Times New Roman" w:hAnsi="Times New Roman" w:cs="Times New Roman"/>
          <w:sz w:val="24"/>
          <w:szCs w:val="24"/>
        </w:rPr>
      </w:pPr>
    </w:p>
    <w:p w14:paraId="203B1688" w14:textId="1F1CBA07" w:rsidR="00C31C78" w:rsidRPr="00C31C78" w:rsidRDefault="00C31C78" w:rsidP="00DD3E57">
      <w:pPr>
        <w:spacing w:after="0" w:line="240" w:lineRule="auto"/>
        <w:rPr>
          <w:rFonts w:ascii="Times New Roman" w:hAnsi="Times New Roman" w:cs="Times New Roman"/>
          <w:sz w:val="24"/>
          <w:szCs w:val="24"/>
          <w:u w:val="single"/>
        </w:rPr>
      </w:pPr>
      <w:r w:rsidRPr="00C31C78">
        <w:rPr>
          <w:rFonts w:ascii="Times New Roman" w:hAnsi="Times New Roman" w:cs="Times New Roman"/>
          <w:sz w:val="24"/>
          <w:szCs w:val="24"/>
          <w:u w:val="single"/>
        </w:rPr>
        <w:t xml:space="preserve">Part </w:t>
      </w:r>
      <w:proofErr w:type="spellStart"/>
      <w:r w:rsidRPr="00C31C78">
        <w:rPr>
          <w:rFonts w:ascii="Times New Roman" w:hAnsi="Times New Roman" w:cs="Times New Roman"/>
          <w:sz w:val="24"/>
          <w:szCs w:val="24"/>
          <w:u w:val="single"/>
        </w:rPr>
        <w:t>i</w:t>
      </w:r>
      <w:proofErr w:type="spellEnd"/>
      <w:r w:rsidRPr="00C31C78">
        <w:rPr>
          <w:rFonts w:ascii="Times New Roman" w:hAnsi="Times New Roman" w:cs="Times New Roman"/>
          <w:sz w:val="24"/>
          <w:szCs w:val="24"/>
          <w:u w:val="single"/>
        </w:rPr>
        <w:t>)</w:t>
      </w:r>
    </w:p>
    <w:p w14:paraId="4B94947A" w14:textId="0B66E034" w:rsidR="00C31C78" w:rsidRDefault="00C31C78" w:rsidP="00C31C78">
      <w:pPr>
        <w:tabs>
          <w:tab w:val="left" w:pos="2880"/>
          <w:tab w:val="left" w:pos="5760"/>
        </w:tabs>
        <w:spacing w:after="0"/>
        <w:ind w:left="720" w:hanging="720"/>
        <w:rPr>
          <w:rFonts w:ascii="Times New Roman" w:hAnsi="Times New Roman" w:cs="Times New Roman"/>
          <w:sz w:val="24"/>
          <w:szCs w:val="24"/>
        </w:rPr>
      </w:pPr>
      <w:r>
        <w:rPr>
          <w:rFonts w:ascii="Times New Roman" w:hAnsi="Times New Roman" w:cs="Times New Roman"/>
          <w:sz w:val="24"/>
          <w:szCs w:val="24"/>
        </w:rPr>
        <w:t>H</w:t>
      </w:r>
      <w:r w:rsidRPr="002E6BD5">
        <w:rPr>
          <w:rFonts w:ascii="Times New Roman" w:hAnsi="Times New Roman" w:cs="Times New Roman"/>
          <w:sz w:val="24"/>
          <w:szCs w:val="24"/>
          <w:vertAlign w:val="subscript"/>
        </w:rPr>
        <w:t>0</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r>
          <w:rPr>
            <w:rFonts w:ascii="Cambria Math" w:hAnsi="Cambria Math" w:cs="Times New Roman"/>
            <w:sz w:val="24"/>
            <w:szCs w:val="24"/>
          </w:rPr>
          <m:t>≤-0.15</m:t>
        </m:r>
      </m:oMath>
      <w:r>
        <w:rPr>
          <w:rFonts w:ascii="Times New Roman" w:eastAsiaTheme="minorEastAsia" w:hAnsi="Times New Roman" w:cs="Times New Roman"/>
          <w:sz w:val="24"/>
          <w:szCs w:val="24"/>
        </w:rPr>
        <w:tab/>
        <w:t xml:space="preserve">T is inferior to C </w:t>
      </w:r>
    </w:p>
    <w:p w14:paraId="1E10DA19" w14:textId="03DC6886" w:rsidR="00C31C78" w:rsidRDefault="00C31C78" w:rsidP="00C31C78">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H</w:t>
      </w:r>
      <w:r w:rsidRPr="002E6BD5">
        <w:rPr>
          <w:rFonts w:ascii="Times New Roman" w:hAnsi="Times New Roman" w:cs="Times New Roman"/>
          <w:sz w:val="24"/>
          <w:szCs w:val="24"/>
          <w:vertAlign w:val="subscript"/>
        </w:rPr>
        <w:t>A</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r>
          <w:rPr>
            <w:rFonts w:ascii="Cambria Math" w:hAnsi="Cambria Math" w:cs="Times New Roman"/>
            <w:sz w:val="24"/>
            <w:szCs w:val="24"/>
          </w:rPr>
          <m:t>&gt;-0.15</m:t>
        </m:r>
      </m:oMath>
      <w:r>
        <w:rPr>
          <w:rFonts w:ascii="Times New Roman" w:eastAsiaTheme="minorEastAsia" w:hAnsi="Times New Roman" w:cs="Times New Roman"/>
          <w:sz w:val="24"/>
          <w:szCs w:val="24"/>
        </w:rPr>
        <w:tab/>
        <w:t xml:space="preserve">T is not inferior to C </w:t>
      </w:r>
    </w:p>
    <w:p w14:paraId="3AE03C89" w14:textId="5711100D" w:rsidR="00C31C78" w:rsidRDefault="00C31C78" w:rsidP="00C31C78">
      <w:pPr>
        <w:spacing w:after="0" w:line="240" w:lineRule="auto"/>
        <w:rPr>
          <w:rFonts w:ascii="Times New Roman" w:hAnsi="Times New Roman" w:cs="Times New Roman"/>
          <w:sz w:val="24"/>
          <w:szCs w:val="24"/>
        </w:rPr>
      </w:pPr>
    </w:p>
    <w:p w14:paraId="44A19884" w14:textId="750F7D07" w:rsidR="00C31C78" w:rsidRPr="00C31C78" w:rsidRDefault="00C31C78" w:rsidP="00C31C78">
      <w:pPr>
        <w:spacing w:after="0" w:line="240" w:lineRule="auto"/>
        <w:rPr>
          <w:rFonts w:ascii="Times New Roman" w:hAnsi="Times New Roman" w:cs="Times New Roman"/>
          <w:sz w:val="24"/>
          <w:szCs w:val="24"/>
          <w:u w:val="single"/>
        </w:rPr>
      </w:pPr>
      <w:r w:rsidRPr="00C31C78">
        <w:rPr>
          <w:rFonts w:ascii="Times New Roman" w:hAnsi="Times New Roman" w:cs="Times New Roman"/>
          <w:sz w:val="24"/>
          <w:szCs w:val="24"/>
          <w:u w:val="single"/>
        </w:rPr>
        <w:t>Part ii)</w:t>
      </w:r>
    </w:p>
    <w:p w14:paraId="6E3C7033" w14:textId="125DF4A3" w:rsidR="00C31C78" w:rsidRDefault="00A27B7A" w:rsidP="00C31C78">
      <w:pPr>
        <w:spacing w:after="0" w:line="240" w:lineRule="auto"/>
        <w:rPr>
          <w:rFonts w:ascii="Times New Roman" w:hAnsi="Times New Roman" w:cs="Times New Roman"/>
          <w:sz w:val="24"/>
          <w:szCs w:val="24"/>
        </w:rPr>
      </w:pPr>
      <m:oMath>
        <m:r>
          <w:rPr>
            <w:rFonts w:ascii="Cambria Math" w:hAnsi="Cambria Math" w:cs="Times New Roman"/>
            <w:sz w:val="24"/>
            <w:szCs w:val="24"/>
          </w:rPr>
          <m:t>RD=-0.1163</m:t>
        </m:r>
      </m:oMath>
      <w:r>
        <w:rPr>
          <w:rFonts w:ascii="Times New Roman" w:eastAsiaTheme="minorEastAsia" w:hAnsi="Times New Roman" w:cs="Times New Roman"/>
          <w:sz w:val="24"/>
          <w:szCs w:val="24"/>
        </w:rPr>
        <w:t xml:space="preserve"> (95% confidence interval: -0.2086, -0.0240)</w:t>
      </w:r>
    </w:p>
    <w:p w14:paraId="65E473D7" w14:textId="242DCED7" w:rsidR="00C31C78" w:rsidRDefault="00C31C78" w:rsidP="00C31C78">
      <w:pPr>
        <w:spacing w:after="0" w:line="240" w:lineRule="auto"/>
        <w:rPr>
          <w:rFonts w:ascii="Times New Roman" w:hAnsi="Times New Roman" w:cs="Times New Roman"/>
          <w:sz w:val="24"/>
          <w:szCs w:val="24"/>
        </w:rPr>
      </w:pPr>
    </w:p>
    <w:p w14:paraId="0C64DB0F" w14:textId="19615631" w:rsidR="00A27B7A" w:rsidRPr="00A27B7A" w:rsidRDefault="00A27B7A" w:rsidP="00C31C78">
      <w:pPr>
        <w:spacing w:after="0" w:line="240" w:lineRule="auto"/>
        <w:rPr>
          <w:rFonts w:ascii="Times New Roman" w:hAnsi="Times New Roman" w:cs="Times New Roman"/>
          <w:sz w:val="24"/>
          <w:szCs w:val="24"/>
          <w:u w:val="single"/>
        </w:rPr>
      </w:pPr>
      <w:r w:rsidRPr="00A27B7A">
        <w:rPr>
          <w:rFonts w:ascii="Times New Roman" w:hAnsi="Times New Roman" w:cs="Times New Roman"/>
          <w:sz w:val="24"/>
          <w:szCs w:val="24"/>
          <w:u w:val="single"/>
        </w:rPr>
        <w:t>Part iii)</w:t>
      </w:r>
    </w:p>
    <w:p w14:paraId="354BCF59" w14:textId="71EA5EA0" w:rsidR="00A47FAB" w:rsidRPr="00A47FAB" w:rsidRDefault="00A47FAB" w:rsidP="00A47FAB">
      <w:pPr>
        <w:spacing w:after="0" w:line="24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The p-value was 0.2360, which is greater than the α=0.025 significance level. The lower bound of the 95% confidence interval, -0.2086, is less than the non-inferiority margin, -0.15. The null hypothesis of the new treatment being inferior to the active control treatment cannot be rejected. There is insufficient evidence to support that the new treatment is not inferior or just as good as the active control. </w:t>
      </w:r>
    </w:p>
    <w:p w14:paraId="25D96FBA" w14:textId="3FA3A398" w:rsidR="00A47FAB" w:rsidRDefault="00A47FAB" w:rsidP="00C31C78">
      <w:pPr>
        <w:spacing w:after="0" w:line="240" w:lineRule="auto"/>
        <w:rPr>
          <w:rFonts w:ascii="Times New Roman" w:hAnsi="Times New Roman" w:cs="Times New Roman"/>
          <w:sz w:val="24"/>
          <w:szCs w:val="24"/>
        </w:rPr>
      </w:pPr>
    </w:p>
    <w:p w14:paraId="03C7D8E3" w14:textId="77777777" w:rsidR="00750E1D" w:rsidRDefault="00750E1D" w:rsidP="00C31C78">
      <w:pPr>
        <w:spacing w:after="0" w:line="240" w:lineRule="auto"/>
        <w:rPr>
          <w:rFonts w:ascii="Times New Roman" w:hAnsi="Times New Roman" w:cs="Times New Roman"/>
          <w:sz w:val="24"/>
          <w:szCs w:val="24"/>
        </w:rPr>
      </w:pPr>
    </w:p>
    <w:p w14:paraId="19265DB0" w14:textId="3419E538" w:rsidR="00ED6F6B" w:rsidRPr="00ED6F6B" w:rsidRDefault="00ED6F6B" w:rsidP="00ED6F6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Part F</w:t>
      </w:r>
    </w:p>
    <w:p w14:paraId="740AB7C7" w14:textId="77777777" w:rsidR="00C67E66" w:rsidRPr="00DD3E57" w:rsidRDefault="00A27618" w:rsidP="00C67E66">
      <w:pPr>
        <w:tabs>
          <w:tab w:val="left" w:pos="2880"/>
          <w:tab w:val="left" w:pos="5040"/>
        </w:tabs>
        <w:spacing w:after="0" w:line="24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r>
                <w:rPr>
                  <w:rFonts w:ascii="Cambria Math" w:hAnsi="Cambria Math" w:cs="Times New Roman"/>
                  <w:sz w:val="24"/>
                  <w:szCs w:val="24"/>
                </w:rPr>
                <m:t>+δ</m:t>
              </m:r>
            </m:num>
            <m:den>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m:t>
                  </m:r>
                </m:sub>
              </m:sSub>
            </m:den>
          </m:f>
        </m:oMath>
      </m:oMathPara>
    </w:p>
    <w:p w14:paraId="5A3930CC" w14:textId="77777777" w:rsidR="00C67E66" w:rsidRPr="00DD3E57" w:rsidRDefault="00A27618" w:rsidP="00C67E66">
      <w:pPr>
        <w:tabs>
          <w:tab w:val="left" w:pos="2880"/>
          <w:tab w:val="left" w:pos="5040"/>
        </w:tabs>
        <w:spacing w:after="0" w:line="24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0.4+0.15</m:t>
              </m:r>
            </m:num>
            <m:den>
              <m:r>
                <w:rPr>
                  <w:rFonts w:ascii="Cambria Math" w:hAnsi="Cambria Math" w:cs="Times New Roman"/>
                  <w:sz w:val="24"/>
                  <w:szCs w:val="24"/>
                </w:rPr>
                <m:t>0.4</m:t>
              </m:r>
            </m:den>
          </m:f>
        </m:oMath>
      </m:oMathPara>
    </w:p>
    <w:p w14:paraId="5F11E457" w14:textId="36939FEE" w:rsidR="00C67E66" w:rsidRPr="00A07051" w:rsidRDefault="00A27618" w:rsidP="00C67E66">
      <w:pPr>
        <w:tabs>
          <w:tab w:val="left" w:pos="2880"/>
          <w:tab w:val="left" w:pos="5040"/>
        </w:tabs>
        <w:spacing w:after="0" w:line="24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m:t>
                  </m:r>
                </m:sub>
              </m:sSub>
            </m:den>
          </m:f>
          <m:r>
            <w:rPr>
              <w:rFonts w:ascii="Cambria Math" w:hAnsi="Cambria Math" w:cs="Times New Roman"/>
              <w:sz w:val="24"/>
              <w:szCs w:val="24"/>
            </w:rPr>
            <m:t>≥1.375</m:t>
          </m:r>
        </m:oMath>
      </m:oMathPara>
    </w:p>
    <w:p w14:paraId="586B2D73" w14:textId="77777777" w:rsidR="00A07051" w:rsidRPr="00A07051" w:rsidRDefault="00A07051" w:rsidP="00C67E66">
      <w:pPr>
        <w:tabs>
          <w:tab w:val="left" w:pos="2880"/>
          <w:tab w:val="left" w:pos="5040"/>
        </w:tabs>
        <w:spacing w:after="0" w:line="240" w:lineRule="auto"/>
        <w:rPr>
          <w:rFonts w:ascii="Times New Roman" w:eastAsiaTheme="minorEastAsia" w:hAnsi="Times New Roman" w:cs="Times New Roman"/>
          <w:sz w:val="24"/>
          <w:szCs w:val="24"/>
        </w:rPr>
      </w:pPr>
    </w:p>
    <w:p w14:paraId="7A9580FB" w14:textId="558A52B4" w:rsidR="00A07051" w:rsidRPr="00DD3E57" w:rsidRDefault="00A27618" w:rsidP="00A07051">
      <w:pPr>
        <w:tabs>
          <w:tab w:val="left" w:pos="2880"/>
          <w:tab w:val="left" w:pos="5040"/>
        </w:tabs>
        <w:spacing w:after="0" w:line="24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0.4</m:t>
              </m:r>
            </m:num>
            <m:den>
              <m:r>
                <w:rPr>
                  <w:rFonts w:ascii="Cambria Math" w:hAnsi="Cambria Math" w:cs="Times New Roman"/>
                  <w:sz w:val="24"/>
                  <w:szCs w:val="24"/>
                </w:rPr>
                <m:t>0.4+0.15</m:t>
              </m:r>
            </m:den>
          </m:f>
        </m:oMath>
      </m:oMathPara>
    </w:p>
    <w:p w14:paraId="4257F96C" w14:textId="79FD6474" w:rsidR="00C67E66" w:rsidRPr="00C67E66" w:rsidRDefault="00A27618" w:rsidP="00C67E66">
      <w:pPr>
        <w:tabs>
          <w:tab w:val="left" w:pos="2880"/>
          <w:tab w:val="left" w:pos="5040"/>
        </w:tabs>
        <w:spacing w:after="0" w:line="24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den>
          </m:f>
          <m:r>
            <w:rPr>
              <w:rFonts w:ascii="Cambria Math" w:hAnsi="Cambria Math" w:cs="Times New Roman"/>
              <w:sz w:val="24"/>
              <w:szCs w:val="24"/>
            </w:rPr>
            <m:t>≥</m:t>
          </m:r>
          <m:r>
            <w:rPr>
              <w:rFonts w:ascii="Cambria Math" w:eastAsiaTheme="minorEastAsia" w:hAnsi="Cambria Math" w:cs="Times New Roman"/>
              <w:sz w:val="24"/>
              <w:szCs w:val="24"/>
            </w:rPr>
            <m:t>0.7273</m:t>
          </m:r>
        </m:oMath>
      </m:oMathPara>
    </w:p>
    <w:p w14:paraId="5D9A7EF1" w14:textId="77777777" w:rsidR="00A06797" w:rsidRPr="00DD3E57" w:rsidRDefault="00A06797" w:rsidP="00A47FAB">
      <w:pPr>
        <w:tabs>
          <w:tab w:val="left" w:pos="2880"/>
          <w:tab w:val="left" w:pos="5040"/>
        </w:tabs>
        <w:spacing w:after="0" w:line="240" w:lineRule="auto"/>
        <w:rPr>
          <w:rFonts w:ascii="Times New Roman" w:eastAsiaTheme="minorEastAsia" w:hAnsi="Times New Roman" w:cs="Times New Roman"/>
          <w:sz w:val="24"/>
          <w:szCs w:val="24"/>
        </w:rPr>
      </w:pPr>
    </w:p>
    <w:p w14:paraId="0D89DD09" w14:textId="77777777" w:rsidR="00A47FAB" w:rsidRPr="00C31C78" w:rsidRDefault="00A47FAB" w:rsidP="00A47FAB">
      <w:pPr>
        <w:spacing w:after="0" w:line="240" w:lineRule="auto"/>
        <w:rPr>
          <w:rFonts w:ascii="Times New Roman" w:hAnsi="Times New Roman" w:cs="Times New Roman"/>
          <w:sz w:val="24"/>
          <w:szCs w:val="24"/>
          <w:u w:val="single"/>
        </w:rPr>
      </w:pPr>
      <w:r w:rsidRPr="00C31C78">
        <w:rPr>
          <w:rFonts w:ascii="Times New Roman" w:hAnsi="Times New Roman" w:cs="Times New Roman"/>
          <w:sz w:val="24"/>
          <w:szCs w:val="24"/>
          <w:u w:val="single"/>
        </w:rPr>
        <w:t xml:space="preserve">Part </w:t>
      </w:r>
      <w:proofErr w:type="spellStart"/>
      <w:r w:rsidRPr="00C31C78">
        <w:rPr>
          <w:rFonts w:ascii="Times New Roman" w:hAnsi="Times New Roman" w:cs="Times New Roman"/>
          <w:sz w:val="24"/>
          <w:szCs w:val="24"/>
          <w:u w:val="single"/>
        </w:rPr>
        <w:t>i</w:t>
      </w:r>
      <w:proofErr w:type="spellEnd"/>
      <w:r w:rsidRPr="00C31C78">
        <w:rPr>
          <w:rFonts w:ascii="Times New Roman" w:hAnsi="Times New Roman" w:cs="Times New Roman"/>
          <w:sz w:val="24"/>
          <w:szCs w:val="24"/>
          <w:u w:val="single"/>
        </w:rPr>
        <w:t>)</w:t>
      </w:r>
    </w:p>
    <w:p w14:paraId="647FD58F" w14:textId="66C9BD02" w:rsidR="00A47FAB" w:rsidRPr="00A06797" w:rsidRDefault="00A47FAB" w:rsidP="00A06797">
      <w:pPr>
        <w:tabs>
          <w:tab w:val="left" w:pos="2880"/>
          <w:tab w:val="left" w:pos="5040"/>
        </w:tabs>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H</w:t>
      </w:r>
      <w:r w:rsidRPr="002E6BD5">
        <w:rPr>
          <w:rFonts w:ascii="Times New Roman" w:hAnsi="Times New Roman" w:cs="Times New Roman"/>
          <w:sz w:val="24"/>
          <w:szCs w:val="24"/>
          <w:vertAlign w:val="subscript"/>
        </w:rPr>
        <w:t>0</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den>
        </m:f>
        <m:r>
          <w:rPr>
            <w:rFonts w:ascii="Cambria Math" w:hAnsi="Cambria Math" w:cs="Times New Roman"/>
            <w:sz w:val="24"/>
            <w:szCs w:val="24"/>
          </w:rPr>
          <m:t>≥0.7273</m:t>
        </m:r>
      </m:oMath>
      <w:r w:rsidR="00A06797">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T is inferior to C </w:t>
      </w:r>
    </w:p>
    <w:p w14:paraId="1730CBDC" w14:textId="533407DF" w:rsidR="00A47FAB" w:rsidRDefault="00A47FAB" w:rsidP="00A47FAB">
      <w:pPr>
        <w:tabs>
          <w:tab w:val="left" w:pos="2880"/>
          <w:tab w:val="left" w:pos="5040"/>
        </w:tabs>
        <w:spacing w:after="0" w:line="240" w:lineRule="auto"/>
        <w:ind w:left="720" w:hanging="720"/>
        <w:rPr>
          <w:rFonts w:ascii="Times New Roman" w:eastAsiaTheme="minorEastAsia" w:hAnsi="Times New Roman" w:cs="Times New Roman"/>
          <w:sz w:val="24"/>
          <w:szCs w:val="24"/>
        </w:rPr>
      </w:pPr>
      <w:r>
        <w:rPr>
          <w:rFonts w:ascii="Times New Roman" w:hAnsi="Times New Roman" w:cs="Times New Roman"/>
          <w:sz w:val="24"/>
          <w:szCs w:val="24"/>
        </w:rPr>
        <w:t>H</w:t>
      </w:r>
      <w:r w:rsidRPr="002E6BD5">
        <w:rPr>
          <w:rFonts w:ascii="Times New Roman" w:hAnsi="Times New Roman" w:cs="Times New Roman"/>
          <w:sz w:val="24"/>
          <w:szCs w:val="24"/>
          <w:vertAlign w:val="subscript"/>
        </w:rPr>
        <w:t>A</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den>
        </m:f>
        <m:r>
          <w:rPr>
            <w:rFonts w:ascii="Cambria Math" w:hAnsi="Cambria Math" w:cs="Times New Roman"/>
            <w:sz w:val="24"/>
            <w:szCs w:val="24"/>
          </w:rPr>
          <m:t>&lt;0.7273</m:t>
        </m:r>
      </m:oMath>
      <w:r>
        <w:rPr>
          <w:rFonts w:ascii="Times New Roman" w:eastAsiaTheme="minorEastAsia" w:hAnsi="Times New Roman" w:cs="Times New Roman"/>
          <w:sz w:val="24"/>
          <w:szCs w:val="24"/>
        </w:rPr>
        <w:tab/>
        <w:t xml:space="preserve">T is not inferior to C </w:t>
      </w:r>
    </w:p>
    <w:p w14:paraId="5818CA7D" w14:textId="77777777" w:rsidR="00A47FAB" w:rsidRDefault="00A47FAB" w:rsidP="00A47FAB">
      <w:pPr>
        <w:spacing w:after="0" w:line="240" w:lineRule="auto"/>
        <w:rPr>
          <w:rFonts w:ascii="Times New Roman" w:hAnsi="Times New Roman" w:cs="Times New Roman"/>
          <w:sz w:val="24"/>
          <w:szCs w:val="24"/>
        </w:rPr>
      </w:pPr>
    </w:p>
    <w:p w14:paraId="4A1D05DC" w14:textId="77777777" w:rsidR="00A47FAB" w:rsidRPr="00C31C78" w:rsidRDefault="00A47FAB" w:rsidP="00A47FAB">
      <w:pPr>
        <w:spacing w:after="0" w:line="240" w:lineRule="auto"/>
        <w:rPr>
          <w:rFonts w:ascii="Times New Roman" w:hAnsi="Times New Roman" w:cs="Times New Roman"/>
          <w:sz w:val="24"/>
          <w:szCs w:val="24"/>
          <w:u w:val="single"/>
        </w:rPr>
      </w:pPr>
      <w:r w:rsidRPr="00C31C78">
        <w:rPr>
          <w:rFonts w:ascii="Times New Roman" w:hAnsi="Times New Roman" w:cs="Times New Roman"/>
          <w:sz w:val="24"/>
          <w:szCs w:val="24"/>
          <w:u w:val="single"/>
        </w:rPr>
        <w:t>Part ii)</w:t>
      </w:r>
    </w:p>
    <w:p w14:paraId="5676AAB4" w14:textId="5C5832B1" w:rsidR="00A47FAB" w:rsidRDefault="00A47FAB" w:rsidP="00A47FAB">
      <w:pPr>
        <w:spacing w:after="0" w:line="240" w:lineRule="auto"/>
        <w:rPr>
          <w:rFonts w:ascii="Times New Roman" w:hAnsi="Times New Roman" w:cs="Times New Roman"/>
          <w:sz w:val="24"/>
          <w:szCs w:val="24"/>
        </w:rPr>
      </w:pPr>
      <m:oMath>
        <m:r>
          <w:rPr>
            <w:rFonts w:ascii="Cambria Math" w:hAnsi="Cambria Math" w:cs="Times New Roman"/>
            <w:sz w:val="24"/>
            <w:szCs w:val="24"/>
          </w:rPr>
          <m:t>RR=0.7985</m:t>
        </m:r>
      </m:oMath>
      <w:r w:rsidR="001A2E6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(95% confidence interval: </w:t>
      </w:r>
      <w:r w:rsidR="001A2E6B">
        <w:rPr>
          <w:rFonts w:ascii="Times New Roman" w:eastAsiaTheme="minorEastAsia" w:hAnsi="Times New Roman" w:cs="Times New Roman"/>
          <w:sz w:val="24"/>
          <w:szCs w:val="24"/>
        </w:rPr>
        <w:t>0.6637</w:t>
      </w:r>
      <w:r>
        <w:rPr>
          <w:rFonts w:ascii="Times New Roman" w:eastAsiaTheme="minorEastAsia" w:hAnsi="Times New Roman" w:cs="Times New Roman"/>
          <w:sz w:val="24"/>
          <w:szCs w:val="24"/>
        </w:rPr>
        <w:t>,</w:t>
      </w:r>
      <w:r w:rsidR="0079561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0.</w:t>
      </w:r>
      <w:r w:rsidR="001A2E6B">
        <w:rPr>
          <w:rFonts w:ascii="Times New Roman" w:eastAsiaTheme="minorEastAsia" w:hAnsi="Times New Roman" w:cs="Times New Roman"/>
          <w:sz w:val="24"/>
          <w:szCs w:val="24"/>
        </w:rPr>
        <w:t>9564</w:t>
      </w:r>
      <w:r>
        <w:rPr>
          <w:rFonts w:ascii="Times New Roman" w:eastAsiaTheme="minorEastAsia" w:hAnsi="Times New Roman" w:cs="Times New Roman"/>
          <w:sz w:val="24"/>
          <w:szCs w:val="24"/>
        </w:rPr>
        <w:t>)</w:t>
      </w:r>
    </w:p>
    <w:p w14:paraId="217F96CE" w14:textId="77777777" w:rsidR="00A47FAB" w:rsidRDefault="00A47FAB" w:rsidP="00A47FAB">
      <w:pPr>
        <w:spacing w:after="0" w:line="240" w:lineRule="auto"/>
        <w:rPr>
          <w:rFonts w:ascii="Times New Roman" w:hAnsi="Times New Roman" w:cs="Times New Roman"/>
          <w:sz w:val="24"/>
          <w:szCs w:val="24"/>
        </w:rPr>
      </w:pPr>
    </w:p>
    <w:p w14:paraId="36C92764" w14:textId="77777777" w:rsidR="00A47FAB" w:rsidRPr="00A27B7A" w:rsidRDefault="00A47FAB" w:rsidP="00A47FAB">
      <w:pPr>
        <w:spacing w:after="0" w:line="240" w:lineRule="auto"/>
        <w:rPr>
          <w:rFonts w:ascii="Times New Roman" w:hAnsi="Times New Roman" w:cs="Times New Roman"/>
          <w:sz w:val="24"/>
          <w:szCs w:val="24"/>
          <w:u w:val="single"/>
        </w:rPr>
      </w:pPr>
      <w:r w:rsidRPr="00A27B7A">
        <w:rPr>
          <w:rFonts w:ascii="Times New Roman" w:hAnsi="Times New Roman" w:cs="Times New Roman"/>
          <w:sz w:val="24"/>
          <w:szCs w:val="24"/>
          <w:u w:val="single"/>
        </w:rPr>
        <w:t>Part iii)</w:t>
      </w:r>
    </w:p>
    <w:p w14:paraId="5DF8F6E7" w14:textId="250E43B1" w:rsidR="00A47FAB" w:rsidRPr="00A47FAB" w:rsidRDefault="00A47FAB" w:rsidP="00A47FAB">
      <w:pPr>
        <w:spacing w:after="0" w:line="24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The p-value was 0.</w:t>
      </w:r>
      <w:r w:rsidR="00A27618">
        <w:rPr>
          <w:rFonts w:ascii="Times New Roman" w:hAnsi="Times New Roman" w:cs="Times New Roman"/>
          <w:sz w:val="24"/>
          <w:szCs w:val="24"/>
        </w:rPr>
        <w:t>1588</w:t>
      </w:r>
      <w:r>
        <w:rPr>
          <w:rFonts w:ascii="Times New Roman" w:hAnsi="Times New Roman" w:cs="Times New Roman"/>
          <w:sz w:val="24"/>
          <w:szCs w:val="24"/>
        </w:rPr>
        <w:t xml:space="preserve">, which is greater than the α=0.025 significance level. </w:t>
      </w:r>
      <w:r w:rsidR="00A07051">
        <w:rPr>
          <w:rFonts w:ascii="Times New Roman" w:hAnsi="Times New Roman" w:cs="Times New Roman"/>
          <w:sz w:val="24"/>
          <w:szCs w:val="24"/>
        </w:rPr>
        <w:t xml:space="preserve">The </w:t>
      </w:r>
      <w:r w:rsidR="00A27618">
        <w:rPr>
          <w:rFonts w:ascii="Times New Roman" w:hAnsi="Times New Roman" w:cs="Times New Roman"/>
          <w:sz w:val="24"/>
          <w:szCs w:val="24"/>
        </w:rPr>
        <w:t>lower</w:t>
      </w:r>
      <w:r w:rsidR="00A07051">
        <w:rPr>
          <w:rFonts w:ascii="Times New Roman" w:hAnsi="Times New Roman" w:cs="Times New Roman"/>
          <w:sz w:val="24"/>
          <w:szCs w:val="24"/>
        </w:rPr>
        <w:t xml:space="preserve"> bound of the 95% confidence interval, 0.</w:t>
      </w:r>
      <w:r w:rsidR="00A27618">
        <w:rPr>
          <w:rFonts w:ascii="Times New Roman" w:hAnsi="Times New Roman" w:cs="Times New Roman"/>
          <w:sz w:val="24"/>
          <w:szCs w:val="24"/>
        </w:rPr>
        <w:t>6637</w:t>
      </w:r>
      <w:r w:rsidR="00A07051">
        <w:rPr>
          <w:rFonts w:ascii="Times New Roman" w:hAnsi="Times New Roman" w:cs="Times New Roman"/>
          <w:sz w:val="24"/>
          <w:szCs w:val="24"/>
        </w:rPr>
        <w:t xml:space="preserve">, is </w:t>
      </w:r>
      <w:r w:rsidR="00A27618">
        <w:rPr>
          <w:rFonts w:ascii="Times New Roman" w:hAnsi="Times New Roman" w:cs="Times New Roman"/>
          <w:sz w:val="24"/>
          <w:szCs w:val="24"/>
        </w:rPr>
        <w:t>less</w:t>
      </w:r>
      <w:r w:rsidR="00A07051">
        <w:rPr>
          <w:rFonts w:ascii="Times New Roman" w:hAnsi="Times New Roman" w:cs="Times New Roman"/>
          <w:sz w:val="24"/>
          <w:szCs w:val="24"/>
        </w:rPr>
        <w:t xml:space="preserve"> than the </w:t>
      </w:r>
      <w:r w:rsidR="008E0045">
        <w:rPr>
          <w:rFonts w:ascii="Times New Roman" w:hAnsi="Times New Roman" w:cs="Times New Roman"/>
          <w:sz w:val="24"/>
          <w:szCs w:val="24"/>
        </w:rPr>
        <w:t xml:space="preserve">non-inferiority margin, 0.7273. </w:t>
      </w:r>
      <w:r>
        <w:rPr>
          <w:rFonts w:ascii="Times New Roman" w:hAnsi="Times New Roman" w:cs="Times New Roman"/>
          <w:sz w:val="24"/>
          <w:szCs w:val="24"/>
        </w:rPr>
        <w:t xml:space="preserve">The null hypothesis of the new treatment being inferior to the active control treatment cannot be rejected. There is insufficient evidence to support that the new treatment is not inferior or just as good as the active control. </w:t>
      </w:r>
    </w:p>
    <w:p w14:paraId="50867454" w14:textId="77777777" w:rsidR="00ED6F6B" w:rsidRDefault="00ED6F6B" w:rsidP="00DD3E57">
      <w:pPr>
        <w:spacing w:after="0" w:line="240" w:lineRule="auto"/>
        <w:rPr>
          <w:rFonts w:ascii="Times New Roman" w:hAnsi="Times New Roman" w:cs="Times New Roman"/>
          <w:sz w:val="24"/>
          <w:szCs w:val="24"/>
        </w:rPr>
      </w:pPr>
    </w:p>
    <w:sectPr w:rsidR="00ED6F6B" w:rsidSect="00094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MRoman10-Regular">
    <w:altName w:val="Cambria"/>
    <w:panose1 w:val="00000000000000000000"/>
    <w:charset w:val="00"/>
    <w:family w:val="roman"/>
    <w:notTrueType/>
    <w:pitch w:val="default"/>
  </w:font>
  <w:font w:name="LMMathItalic10-Regular">
    <w:altName w:val="Cambria"/>
    <w:panose1 w:val="00000000000000000000"/>
    <w:charset w:val="00"/>
    <w:family w:val="roman"/>
    <w:notTrueType/>
    <w:pitch w:val="default"/>
  </w:font>
  <w:font w:name="LMRoman8-Regular">
    <w:altName w:val="Cambria"/>
    <w:panose1 w:val="00000000000000000000"/>
    <w:charset w:val="00"/>
    <w:family w:val="roman"/>
    <w:notTrueType/>
    <w:pitch w:val="default"/>
  </w:font>
  <w:font w:name="LMMathSymbols10-Regular">
    <w:panose1 w:val="00000000000000000000"/>
    <w:charset w:val="00"/>
    <w:family w:val="roman"/>
    <w:notTrueType/>
    <w:pitch w:val="default"/>
  </w:font>
  <w:font w:name="LMMathItalic8-Regular">
    <w:altName w:val="Cambria"/>
    <w:panose1 w:val="00000000000000000000"/>
    <w:charset w:val="00"/>
    <w:family w:val="roman"/>
    <w:notTrueType/>
    <w:pitch w:val="default"/>
  </w:font>
  <w:font w:name="LMMono10-Regular">
    <w:altName w:val="Cambria"/>
    <w:panose1 w:val="00000000000000000000"/>
    <w:charset w:val="00"/>
    <w:family w:val="roman"/>
    <w:notTrueType/>
    <w:pitch w:val="default"/>
  </w:font>
  <w:font w:name="LMRoman10-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137A0"/>
    <w:multiLevelType w:val="multilevel"/>
    <w:tmpl w:val="6FA8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67867"/>
    <w:multiLevelType w:val="multilevel"/>
    <w:tmpl w:val="A110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23DF4"/>
    <w:multiLevelType w:val="multilevel"/>
    <w:tmpl w:val="E186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833CD"/>
    <w:multiLevelType w:val="multilevel"/>
    <w:tmpl w:val="EC12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5066B"/>
    <w:multiLevelType w:val="hybridMultilevel"/>
    <w:tmpl w:val="C722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C17A1"/>
    <w:multiLevelType w:val="multilevel"/>
    <w:tmpl w:val="61C6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2A"/>
    <w:rsid w:val="00003383"/>
    <w:rsid w:val="000405B7"/>
    <w:rsid w:val="00062C88"/>
    <w:rsid w:val="0009492A"/>
    <w:rsid w:val="00097DE3"/>
    <w:rsid w:val="000D2D4A"/>
    <w:rsid w:val="00122004"/>
    <w:rsid w:val="00123677"/>
    <w:rsid w:val="001538C7"/>
    <w:rsid w:val="00154157"/>
    <w:rsid w:val="00165BC7"/>
    <w:rsid w:val="00175662"/>
    <w:rsid w:val="001922B3"/>
    <w:rsid w:val="001A2E6B"/>
    <w:rsid w:val="001B427B"/>
    <w:rsid w:val="00213D9E"/>
    <w:rsid w:val="00216BFE"/>
    <w:rsid w:val="002170DB"/>
    <w:rsid w:val="00221AEB"/>
    <w:rsid w:val="002255A8"/>
    <w:rsid w:val="002305B8"/>
    <w:rsid w:val="00247740"/>
    <w:rsid w:val="00265842"/>
    <w:rsid w:val="0028245F"/>
    <w:rsid w:val="00287F0D"/>
    <w:rsid w:val="002E5F74"/>
    <w:rsid w:val="002F2A78"/>
    <w:rsid w:val="002F3294"/>
    <w:rsid w:val="00305F51"/>
    <w:rsid w:val="00313AA1"/>
    <w:rsid w:val="00325A7D"/>
    <w:rsid w:val="00343995"/>
    <w:rsid w:val="003442A6"/>
    <w:rsid w:val="003842A9"/>
    <w:rsid w:val="003918B9"/>
    <w:rsid w:val="003B147E"/>
    <w:rsid w:val="003B6D5E"/>
    <w:rsid w:val="004152D9"/>
    <w:rsid w:val="004153F2"/>
    <w:rsid w:val="004205AF"/>
    <w:rsid w:val="00446373"/>
    <w:rsid w:val="00447395"/>
    <w:rsid w:val="004618ED"/>
    <w:rsid w:val="00463BEB"/>
    <w:rsid w:val="00476C99"/>
    <w:rsid w:val="00484590"/>
    <w:rsid w:val="004D5D82"/>
    <w:rsid w:val="004E44D5"/>
    <w:rsid w:val="0051114E"/>
    <w:rsid w:val="0056593D"/>
    <w:rsid w:val="00595666"/>
    <w:rsid w:val="0059644F"/>
    <w:rsid w:val="005E2BD3"/>
    <w:rsid w:val="005E3C5F"/>
    <w:rsid w:val="005E55FA"/>
    <w:rsid w:val="005F07D8"/>
    <w:rsid w:val="00612A18"/>
    <w:rsid w:val="0062056A"/>
    <w:rsid w:val="00623145"/>
    <w:rsid w:val="00635908"/>
    <w:rsid w:val="00637F15"/>
    <w:rsid w:val="00644A83"/>
    <w:rsid w:val="006832C6"/>
    <w:rsid w:val="00696749"/>
    <w:rsid w:val="006B5CE6"/>
    <w:rsid w:val="006C3CF6"/>
    <w:rsid w:val="006F5145"/>
    <w:rsid w:val="00742A2F"/>
    <w:rsid w:val="0074503B"/>
    <w:rsid w:val="00750E1D"/>
    <w:rsid w:val="00760FDA"/>
    <w:rsid w:val="00764A6F"/>
    <w:rsid w:val="00764D52"/>
    <w:rsid w:val="00795617"/>
    <w:rsid w:val="007A4130"/>
    <w:rsid w:val="007E5AD4"/>
    <w:rsid w:val="007F03EF"/>
    <w:rsid w:val="00813445"/>
    <w:rsid w:val="0082542F"/>
    <w:rsid w:val="008514A6"/>
    <w:rsid w:val="00856EC8"/>
    <w:rsid w:val="0086017F"/>
    <w:rsid w:val="0089758C"/>
    <w:rsid w:val="008A2AE0"/>
    <w:rsid w:val="008B1982"/>
    <w:rsid w:val="008D07EE"/>
    <w:rsid w:val="008D286F"/>
    <w:rsid w:val="008E0045"/>
    <w:rsid w:val="00923C56"/>
    <w:rsid w:val="0094300A"/>
    <w:rsid w:val="0094662C"/>
    <w:rsid w:val="00957C12"/>
    <w:rsid w:val="0096190C"/>
    <w:rsid w:val="00995D83"/>
    <w:rsid w:val="009B1A00"/>
    <w:rsid w:val="009B2ADA"/>
    <w:rsid w:val="009C6D36"/>
    <w:rsid w:val="009D4692"/>
    <w:rsid w:val="009F0667"/>
    <w:rsid w:val="009F2508"/>
    <w:rsid w:val="00A015C2"/>
    <w:rsid w:val="00A06797"/>
    <w:rsid w:val="00A07051"/>
    <w:rsid w:val="00A1269D"/>
    <w:rsid w:val="00A15BE0"/>
    <w:rsid w:val="00A27618"/>
    <w:rsid w:val="00A2778A"/>
    <w:rsid w:val="00A27B7A"/>
    <w:rsid w:val="00A33E47"/>
    <w:rsid w:val="00A47FAB"/>
    <w:rsid w:val="00A5193E"/>
    <w:rsid w:val="00AB583E"/>
    <w:rsid w:val="00AE36E7"/>
    <w:rsid w:val="00AE3F37"/>
    <w:rsid w:val="00AF23F3"/>
    <w:rsid w:val="00B03636"/>
    <w:rsid w:val="00B25ECB"/>
    <w:rsid w:val="00B31F48"/>
    <w:rsid w:val="00B41CA3"/>
    <w:rsid w:val="00B471A6"/>
    <w:rsid w:val="00B478AD"/>
    <w:rsid w:val="00B60E49"/>
    <w:rsid w:val="00BC68F0"/>
    <w:rsid w:val="00BD274F"/>
    <w:rsid w:val="00BE6BDB"/>
    <w:rsid w:val="00C02191"/>
    <w:rsid w:val="00C31C78"/>
    <w:rsid w:val="00C5684E"/>
    <w:rsid w:val="00C67E66"/>
    <w:rsid w:val="00C91910"/>
    <w:rsid w:val="00CA4C13"/>
    <w:rsid w:val="00CD35E8"/>
    <w:rsid w:val="00CF4AC4"/>
    <w:rsid w:val="00D44AC0"/>
    <w:rsid w:val="00D7548B"/>
    <w:rsid w:val="00D81310"/>
    <w:rsid w:val="00D925D0"/>
    <w:rsid w:val="00DA6A8C"/>
    <w:rsid w:val="00DB06D7"/>
    <w:rsid w:val="00DB2963"/>
    <w:rsid w:val="00DD3E57"/>
    <w:rsid w:val="00E07DD7"/>
    <w:rsid w:val="00E1264D"/>
    <w:rsid w:val="00E12E80"/>
    <w:rsid w:val="00E54E9C"/>
    <w:rsid w:val="00EA7BE3"/>
    <w:rsid w:val="00EB4C6D"/>
    <w:rsid w:val="00ED6F6B"/>
    <w:rsid w:val="00EF1C7D"/>
    <w:rsid w:val="00EF4B07"/>
    <w:rsid w:val="00F00369"/>
    <w:rsid w:val="00F754FA"/>
    <w:rsid w:val="00F94365"/>
    <w:rsid w:val="00FC402E"/>
    <w:rsid w:val="00FE7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0A96"/>
  <w15:chartTrackingRefBased/>
  <w15:docId w15:val="{B298AD0C-DB06-453A-9E1E-1B3D411A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92A"/>
  </w:style>
  <w:style w:type="paragraph" w:styleId="Heading2">
    <w:name w:val="heading 2"/>
    <w:basedOn w:val="Normal"/>
    <w:link w:val="Heading2Char"/>
    <w:uiPriority w:val="9"/>
    <w:qFormat/>
    <w:rsid w:val="000949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949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92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09492A"/>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094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492A"/>
    <w:pPr>
      <w:ind w:left="720"/>
      <w:contextualSpacing/>
    </w:pPr>
  </w:style>
  <w:style w:type="character" w:styleId="PlaceholderText">
    <w:name w:val="Placeholder Text"/>
    <w:basedOn w:val="DefaultParagraphFont"/>
    <w:uiPriority w:val="99"/>
    <w:semiHidden/>
    <w:rsid w:val="0009492A"/>
    <w:rPr>
      <w:color w:val="808080"/>
    </w:rPr>
  </w:style>
  <w:style w:type="character" w:customStyle="1" w:styleId="fontstyle01">
    <w:name w:val="fontstyle01"/>
    <w:basedOn w:val="DefaultParagraphFont"/>
    <w:rsid w:val="0009492A"/>
    <w:rPr>
      <w:rFonts w:ascii="LMRoman10-Regular" w:hAnsi="LMRoman10-Regular" w:hint="default"/>
      <w:b w:val="0"/>
      <w:bCs w:val="0"/>
      <w:i w:val="0"/>
      <w:iCs w:val="0"/>
      <w:color w:val="000000"/>
      <w:sz w:val="22"/>
      <w:szCs w:val="22"/>
    </w:rPr>
  </w:style>
  <w:style w:type="character" w:customStyle="1" w:styleId="fontstyle21">
    <w:name w:val="fontstyle21"/>
    <w:basedOn w:val="DefaultParagraphFont"/>
    <w:rsid w:val="0009492A"/>
    <w:rPr>
      <w:rFonts w:ascii="LMMathItalic10-Regular" w:hAnsi="LMMathItalic10-Regular" w:hint="default"/>
      <w:b w:val="0"/>
      <w:bCs w:val="0"/>
      <w:i/>
      <w:iCs/>
      <w:color w:val="000000"/>
      <w:sz w:val="22"/>
      <w:szCs w:val="22"/>
    </w:rPr>
  </w:style>
  <w:style w:type="character" w:customStyle="1" w:styleId="fontstyle31">
    <w:name w:val="fontstyle31"/>
    <w:basedOn w:val="DefaultParagraphFont"/>
    <w:rsid w:val="0009492A"/>
    <w:rPr>
      <w:rFonts w:ascii="LMRoman8-Regular" w:hAnsi="LMRoman8-Regular" w:hint="default"/>
      <w:b w:val="0"/>
      <w:bCs w:val="0"/>
      <w:i w:val="0"/>
      <w:iCs w:val="0"/>
      <w:color w:val="000000"/>
      <w:sz w:val="16"/>
      <w:szCs w:val="16"/>
    </w:rPr>
  </w:style>
  <w:style w:type="paragraph" w:styleId="NormalWeb">
    <w:name w:val="Normal (Web)"/>
    <w:basedOn w:val="Normal"/>
    <w:uiPriority w:val="99"/>
    <w:semiHidden/>
    <w:unhideWhenUsed/>
    <w:rsid w:val="000949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a-procstmt">
    <w:name w:val="aa-procstmt"/>
    <w:basedOn w:val="DefaultParagraphFont"/>
    <w:rsid w:val="0009492A"/>
  </w:style>
  <w:style w:type="character" w:styleId="Hyperlink">
    <w:name w:val="Hyperlink"/>
    <w:basedOn w:val="DefaultParagraphFont"/>
    <w:uiPriority w:val="99"/>
    <w:semiHidden/>
    <w:unhideWhenUsed/>
    <w:rsid w:val="0009492A"/>
    <w:rPr>
      <w:color w:val="0000FF"/>
      <w:u w:val="single"/>
    </w:rPr>
  </w:style>
  <w:style w:type="character" w:customStyle="1" w:styleId="aa-procstmtopt">
    <w:name w:val="aa-procstmtopt"/>
    <w:basedOn w:val="DefaultParagraphFont"/>
    <w:rsid w:val="0009492A"/>
  </w:style>
  <w:style w:type="character" w:customStyle="1" w:styleId="aa-stmt">
    <w:name w:val="aa-stmt"/>
    <w:basedOn w:val="DefaultParagraphFont"/>
    <w:rsid w:val="0009492A"/>
  </w:style>
  <w:style w:type="character" w:customStyle="1" w:styleId="aa-stmtopt">
    <w:name w:val="aa-stmtopt"/>
    <w:basedOn w:val="DefaultParagraphFont"/>
    <w:rsid w:val="0009492A"/>
  </w:style>
  <w:style w:type="character" w:customStyle="1" w:styleId="aa-statement">
    <w:name w:val="aa-statement"/>
    <w:basedOn w:val="DefaultParagraphFont"/>
    <w:rsid w:val="0009492A"/>
  </w:style>
  <w:style w:type="character" w:customStyle="1" w:styleId="aa-statementoptional">
    <w:name w:val="aa-statementoptional"/>
    <w:basedOn w:val="DefaultParagraphFont"/>
    <w:rsid w:val="0009492A"/>
  </w:style>
  <w:style w:type="character" w:styleId="Emphasis">
    <w:name w:val="Emphasis"/>
    <w:basedOn w:val="DefaultParagraphFont"/>
    <w:uiPriority w:val="20"/>
    <w:qFormat/>
    <w:rsid w:val="0009492A"/>
    <w:rPr>
      <w:i/>
      <w:iCs/>
    </w:rPr>
  </w:style>
  <w:style w:type="character" w:styleId="HTMLCode">
    <w:name w:val="HTML Code"/>
    <w:basedOn w:val="DefaultParagraphFont"/>
    <w:uiPriority w:val="99"/>
    <w:semiHidden/>
    <w:unhideWhenUsed/>
    <w:rsid w:val="000949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92A"/>
    <w:rPr>
      <w:rFonts w:ascii="Courier New" w:eastAsia="Times New Roman" w:hAnsi="Courier New" w:cs="Courier New"/>
      <w:sz w:val="20"/>
      <w:szCs w:val="20"/>
    </w:rPr>
  </w:style>
  <w:style w:type="paragraph" w:customStyle="1" w:styleId="aa-outputtitle">
    <w:name w:val="aa-outputtitle"/>
    <w:basedOn w:val="Normal"/>
    <w:rsid w:val="000949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41">
    <w:name w:val="fontstyle41"/>
    <w:basedOn w:val="DefaultParagraphFont"/>
    <w:rsid w:val="0009492A"/>
    <w:rPr>
      <w:rFonts w:ascii="LMMathSymbols10-Regular" w:hAnsi="LMMathSymbols10-Regular" w:hint="default"/>
      <w:b w:val="0"/>
      <w:bCs w:val="0"/>
      <w:i/>
      <w:iCs/>
      <w:color w:val="000000"/>
      <w:sz w:val="22"/>
      <w:szCs w:val="22"/>
    </w:rPr>
  </w:style>
  <w:style w:type="character" w:customStyle="1" w:styleId="fontstyle51">
    <w:name w:val="fontstyle51"/>
    <w:basedOn w:val="DefaultParagraphFont"/>
    <w:rsid w:val="0009492A"/>
    <w:rPr>
      <w:rFonts w:ascii="LMMathItalic8-Regular" w:hAnsi="LMMathItalic8-Regular" w:hint="default"/>
      <w:b w:val="0"/>
      <w:bCs w:val="0"/>
      <w:i/>
      <w:iCs/>
      <w:color w:val="000000"/>
      <w:sz w:val="16"/>
      <w:szCs w:val="16"/>
    </w:rPr>
  </w:style>
  <w:style w:type="character" w:customStyle="1" w:styleId="fontstyle61">
    <w:name w:val="fontstyle61"/>
    <w:basedOn w:val="DefaultParagraphFont"/>
    <w:rsid w:val="0009492A"/>
    <w:rPr>
      <w:rFonts w:ascii="LMMono10-Regular" w:hAnsi="LMMono10-Regular" w:hint="default"/>
      <w:b w:val="0"/>
      <w:bCs w:val="0"/>
      <w:i w:val="0"/>
      <w:iCs w:val="0"/>
      <w:color w:val="000000"/>
      <w:sz w:val="22"/>
      <w:szCs w:val="22"/>
    </w:rPr>
  </w:style>
  <w:style w:type="character" w:customStyle="1" w:styleId="fontstyle71">
    <w:name w:val="fontstyle71"/>
    <w:basedOn w:val="DefaultParagraphFont"/>
    <w:rsid w:val="0009492A"/>
    <w:rPr>
      <w:rFonts w:ascii="LMRoman10-Italic" w:hAnsi="LMRoman10-Italic" w:hint="default"/>
      <w:b w:val="0"/>
      <w:bCs w:val="0"/>
      <w:i/>
      <w:iCs/>
      <w:color w:val="000000"/>
      <w:sz w:val="22"/>
      <w:szCs w:val="22"/>
    </w:rPr>
  </w:style>
  <w:style w:type="character" w:customStyle="1" w:styleId="fontstyle81">
    <w:name w:val="fontstyle81"/>
    <w:basedOn w:val="DefaultParagraphFont"/>
    <w:rsid w:val="0009492A"/>
    <w:rPr>
      <w:rFonts w:ascii="LMRoman8-Regular" w:hAnsi="LMRoman8-Regular"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129642">
      <w:bodyDiv w:val="1"/>
      <w:marLeft w:val="120"/>
      <w:marRight w:val="120"/>
      <w:marTop w:val="0"/>
      <w:marBottom w:val="0"/>
      <w:divBdr>
        <w:top w:val="none" w:sz="0" w:space="0" w:color="auto"/>
        <w:left w:val="none" w:sz="0" w:space="0" w:color="auto"/>
        <w:bottom w:val="none" w:sz="0" w:space="0" w:color="auto"/>
        <w:right w:val="none" w:sz="0" w:space="0" w:color="auto"/>
      </w:divBdr>
      <w:divsChild>
        <w:div w:id="1915123521">
          <w:marLeft w:val="0"/>
          <w:marRight w:val="0"/>
          <w:marTop w:val="0"/>
          <w:marBottom w:val="0"/>
          <w:divBdr>
            <w:top w:val="none" w:sz="0" w:space="0" w:color="auto"/>
            <w:left w:val="none" w:sz="0" w:space="0" w:color="auto"/>
            <w:bottom w:val="none" w:sz="0" w:space="0" w:color="auto"/>
            <w:right w:val="none" w:sz="0" w:space="0" w:color="auto"/>
          </w:divBdr>
          <w:divsChild>
            <w:div w:id="10070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6626">
      <w:bodyDiv w:val="1"/>
      <w:marLeft w:val="120"/>
      <w:marRight w:val="120"/>
      <w:marTop w:val="0"/>
      <w:marBottom w:val="0"/>
      <w:divBdr>
        <w:top w:val="none" w:sz="0" w:space="0" w:color="auto"/>
        <w:left w:val="none" w:sz="0" w:space="0" w:color="auto"/>
        <w:bottom w:val="none" w:sz="0" w:space="0" w:color="auto"/>
        <w:right w:val="none" w:sz="0" w:space="0" w:color="auto"/>
      </w:divBdr>
      <w:divsChild>
        <w:div w:id="1255750862">
          <w:marLeft w:val="0"/>
          <w:marRight w:val="0"/>
          <w:marTop w:val="0"/>
          <w:marBottom w:val="0"/>
          <w:divBdr>
            <w:top w:val="none" w:sz="0" w:space="0" w:color="auto"/>
            <w:left w:val="none" w:sz="0" w:space="0" w:color="auto"/>
            <w:bottom w:val="none" w:sz="0" w:space="0" w:color="auto"/>
            <w:right w:val="none" w:sz="0" w:space="0" w:color="auto"/>
          </w:divBdr>
          <w:divsChild>
            <w:div w:id="16068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5613">
      <w:bodyDiv w:val="1"/>
      <w:marLeft w:val="120"/>
      <w:marRight w:val="120"/>
      <w:marTop w:val="0"/>
      <w:marBottom w:val="0"/>
      <w:divBdr>
        <w:top w:val="none" w:sz="0" w:space="0" w:color="auto"/>
        <w:left w:val="none" w:sz="0" w:space="0" w:color="auto"/>
        <w:bottom w:val="none" w:sz="0" w:space="0" w:color="auto"/>
        <w:right w:val="none" w:sz="0" w:space="0" w:color="auto"/>
      </w:divBdr>
      <w:divsChild>
        <w:div w:id="1082065401">
          <w:marLeft w:val="0"/>
          <w:marRight w:val="0"/>
          <w:marTop w:val="0"/>
          <w:marBottom w:val="0"/>
          <w:divBdr>
            <w:top w:val="none" w:sz="0" w:space="0" w:color="auto"/>
            <w:left w:val="none" w:sz="0" w:space="0" w:color="auto"/>
            <w:bottom w:val="none" w:sz="0" w:space="0" w:color="auto"/>
            <w:right w:val="none" w:sz="0" w:space="0" w:color="auto"/>
          </w:divBdr>
          <w:divsChild>
            <w:div w:id="7845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4487">
      <w:bodyDiv w:val="1"/>
      <w:marLeft w:val="120"/>
      <w:marRight w:val="120"/>
      <w:marTop w:val="0"/>
      <w:marBottom w:val="0"/>
      <w:divBdr>
        <w:top w:val="none" w:sz="0" w:space="0" w:color="auto"/>
        <w:left w:val="none" w:sz="0" w:space="0" w:color="auto"/>
        <w:bottom w:val="none" w:sz="0" w:space="0" w:color="auto"/>
        <w:right w:val="none" w:sz="0" w:space="0" w:color="auto"/>
      </w:divBdr>
      <w:divsChild>
        <w:div w:id="1270627961">
          <w:marLeft w:val="0"/>
          <w:marRight w:val="0"/>
          <w:marTop w:val="0"/>
          <w:marBottom w:val="0"/>
          <w:divBdr>
            <w:top w:val="none" w:sz="0" w:space="0" w:color="auto"/>
            <w:left w:val="none" w:sz="0" w:space="0" w:color="auto"/>
            <w:bottom w:val="none" w:sz="0" w:space="0" w:color="auto"/>
            <w:right w:val="none" w:sz="0" w:space="0" w:color="auto"/>
          </w:divBdr>
          <w:divsChild>
            <w:div w:id="19746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9518">
      <w:bodyDiv w:val="1"/>
      <w:marLeft w:val="120"/>
      <w:marRight w:val="120"/>
      <w:marTop w:val="0"/>
      <w:marBottom w:val="0"/>
      <w:divBdr>
        <w:top w:val="none" w:sz="0" w:space="0" w:color="auto"/>
        <w:left w:val="none" w:sz="0" w:space="0" w:color="auto"/>
        <w:bottom w:val="none" w:sz="0" w:space="0" w:color="auto"/>
        <w:right w:val="none" w:sz="0" w:space="0" w:color="auto"/>
      </w:divBdr>
      <w:divsChild>
        <w:div w:id="2022273434">
          <w:marLeft w:val="0"/>
          <w:marRight w:val="0"/>
          <w:marTop w:val="0"/>
          <w:marBottom w:val="0"/>
          <w:divBdr>
            <w:top w:val="none" w:sz="0" w:space="0" w:color="auto"/>
            <w:left w:val="none" w:sz="0" w:space="0" w:color="auto"/>
            <w:bottom w:val="none" w:sz="0" w:space="0" w:color="auto"/>
            <w:right w:val="none" w:sz="0" w:space="0" w:color="auto"/>
          </w:divBdr>
          <w:divsChild>
            <w:div w:id="8966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3647">
      <w:bodyDiv w:val="1"/>
      <w:marLeft w:val="120"/>
      <w:marRight w:val="120"/>
      <w:marTop w:val="0"/>
      <w:marBottom w:val="0"/>
      <w:divBdr>
        <w:top w:val="none" w:sz="0" w:space="0" w:color="auto"/>
        <w:left w:val="none" w:sz="0" w:space="0" w:color="auto"/>
        <w:bottom w:val="none" w:sz="0" w:space="0" w:color="auto"/>
        <w:right w:val="none" w:sz="0" w:space="0" w:color="auto"/>
      </w:divBdr>
      <w:divsChild>
        <w:div w:id="1089500905">
          <w:marLeft w:val="0"/>
          <w:marRight w:val="0"/>
          <w:marTop w:val="0"/>
          <w:marBottom w:val="0"/>
          <w:divBdr>
            <w:top w:val="none" w:sz="0" w:space="0" w:color="auto"/>
            <w:left w:val="none" w:sz="0" w:space="0" w:color="auto"/>
            <w:bottom w:val="none" w:sz="0" w:space="0" w:color="auto"/>
            <w:right w:val="none" w:sz="0" w:space="0" w:color="auto"/>
          </w:divBdr>
          <w:divsChild>
            <w:div w:id="18626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Hsueh</dc:creator>
  <cp:keywords/>
  <dc:description/>
  <cp:lastModifiedBy>Irene Hsueh</cp:lastModifiedBy>
  <cp:revision>80</cp:revision>
  <dcterms:created xsi:type="dcterms:W3CDTF">2021-02-12T00:15:00Z</dcterms:created>
  <dcterms:modified xsi:type="dcterms:W3CDTF">2021-04-02T14:03:00Z</dcterms:modified>
</cp:coreProperties>
</file>