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97BE5" w14:textId="5A064FE3" w:rsidR="00066816" w:rsidRPr="004D7789" w:rsidRDefault="002572D2" w:rsidP="00066816">
      <w:pPr>
        <w:spacing w:before="100" w:beforeAutospacing="1" w:after="100" w:afterAutospacing="1" w:line="240" w:lineRule="auto"/>
        <w:rPr>
          <w:rFonts w:ascii="Times New Roman" w:eastAsiaTheme="minorEastAsia" w:hAnsi="Times New Roman" w:cs="Times New Roman"/>
          <w:b/>
          <w:bCs/>
          <w:sz w:val="24"/>
          <w:szCs w:val="24"/>
          <w:lang w:eastAsia="zh-CN"/>
        </w:rPr>
      </w:pPr>
      <w:r>
        <w:rPr>
          <w:rFonts w:ascii="Times New Roman" w:eastAsiaTheme="minorEastAsia" w:hAnsi="Times New Roman" w:cs="Times New Roman"/>
          <w:b/>
          <w:bCs/>
          <w:sz w:val="24"/>
          <w:szCs w:val="24"/>
          <w:lang w:eastAsia="zh-CN"/>
        </w:rPr>
        <w:t>P</w:t>
      </w:r>
      <w:r w:rsidR="00066816" w:rsidRPr="004D7789">
        <w:rPr>
          <w:rFonts w:ascii="Times New Roman" w:eastAsiaTheme="minorEastAsia" w:hAnsi="Times New Roman" w:cs="Times New Roman"/>
          <w:b/>
          <w:bCs/>
          <w:sz w:val="24"/>
          <w:szCs w:val="24"/>
          <w:lang w:eastAsia="zh-CN"/>
        </w:rPr>
        <w:t xml:space="preserve">rediction of </w:t>
      </w:r>
      <w:r w:rsidR="003A6E14">
        <w:rPr>
          <w:rFonts w:ascii="Times New Roman" w:eastAsiaTheme="minorEastAsia" w:hAnsi="Times New Roman" w:cs="Times New Roman"/>
          <w:b/>
          <w:bCs/>
          <w:sz w:val="24"/>
          <w:szCs w:val="24"/>
          <w:lang w:eastAsia="zh-CN"/>
        </w:rPr>
        <w:t>long-term stability</w:t>
      </w:r>
      <w:r w:rsidR="00066816" w:rsidRPr="004D7789">
        <w:rPr>
          <w:rFonts w:ascii="Times New Roman" w:eastAsiaTheme="minorEastAsia" w:hAnsi="Times New Roman" w:cs="Times New Roman"/>
          <w:b/>
          <w:bCs/>
          <w:sz w:val="24"/>
          <w:szCs w:val="24"/>
          <w:lang w:eastAsia="zh-CN"/>
        </w:rPr>
        <w:t xml:space="preserve"> of lyophilized antibody formulations </w:t>
      </w:r>
      <w:r w:rsidR="0071202A">
        <w:rPr>
          <w:rFonts w:ascii="Times New Roman" w:eastAsiaTheme="minorEastAsia" w:hAnsi="Times New Roman" w:cs="Times New Roman"/>
          <w:b/>
          <w:bCs/>
          <w:sz w:val="24"/>
          <w:szCs w:val="24"/>
          <w:lang w:eastAsia="zh-CN"/>
        </w:rPr>
        <w:t>under storage and acce</w:t>
      </w:r>
      <w:r w:rsidR="003A6E14">
        <w:rPr>
          <w:rFonts w:ascii="Times New Roman" w:eastAsiaTheme="minorEastAsia" w:hAnsi="Times New Roman" w:cs="Times New Roman"/>
          <w:b/>
          <w:bCs/>
          <w:sz w:val="24"/>
          <w:szCs w:val="24"/>
          <w:lang w:eastAsia="zh-CN"/>
        </w:rPr>
        <w:t>lerated conditions</w:t>
      </w:r>
    </w:p>
    <w:p w14:paraId="6582D8E8" w14:textId="77777777" w:rsidR="00066816" w:rsidRDefault="00066816" w:rsidP="00066816">
      <w:pPr>
        <w:rPr>
          <w:rFonts w:ascii="Arial" w:hAnsi="Arial" w:cs="Arial"/>
          <w:sz w:val="24"/>
          <w:szCs w:val="24"/>
        </w:rPr>
      </w:pPr>
    </w:p>
    <w:p w14:paraId="67C81884" w14:textId="77777777" w:rsidR="00066816" w:rsidRPr="004D7789" w:rsidRDefault="00066816" w:rsidP="00066816">
      <w:pPr>
        <w:rPr>
          <w:rFonts w:ascii="Times New Roman" w:eastAsiaTheme="minorEastAsia" w:hAnsi="Times New Roman" w:cs="Times New Roman"/>
          <w:sz w:val="24"/>
          <w:szCs w:val="24"/>
          <w:lang w:eastAsia="zh-CN"/>
        </w:rPr>
      </w:pPr>
      <w:r w:rsidRPr="004D7789">
        <w:rPr>
          <w:rFonts w:ascii="Times New Roman" w:eastAsiaTheme="minorEastAsia" w:hAnsi="Times New Roman" w:cs="Times New Roman"/>
          <w:sz w:val="24"/>
          <w:szCs w:val="24"/>
          <w:lang w:eastAsia="zh-CN"/>
        </w:rPr>
        <w:t>Jiahui Xu, Yuan Cao</w:t>
      </w:r>
      <w:r>
        <w:rPr>
          <w:rFonts w:ascii="Times New Roman" w:eastAsiaTheme="minorEastAsia" w:hAnsi="Times New Roman" w:cs="Times New Roman"/>
          <w:sz w:val="24"/>
          <w:szCs w:val="24"/>
          <w:lang w:eastAsia="zh-CN"/>
        </w:rPr>
        <w:t xml:space="preserve">, (others?) Mohammed Shameem </w:t>
      </w:r>
      <w:r w:rsidRPr="004D7789">
        <w:rPr>
          <w:rFonts w:ascii="Times New Roman" w:eastAsiaTheme="minorEastAsia" w:hAnsi="Times New Roman" w:cs="Times New Roman"/>
          <w:sz w:val="24"/>
          <w:szCs w:val="24"/>
          <w:lang w:eastAsia="zh-CN"/>
        </w:rPr>
        <w:t>and Dingjiang Liu*</w:t>
      </w:r>
    </w:p>
    <w:p w14:paraId="026170CD" w14:textId="77777777" w:rsidR="00066816" w:rsidRPr="004D7789" w:rsidRDefault="00066816" w:rsidP="00066816">
      <w:pPr>
        <w:rPr>
          <w:rFonts w:ascii="Times New Roman" w:eastAsiaTheme="minorEastAsia" w:hAnsi="Times New Roman" w:cs="Times New Roman"/>
          <w:sz w:val="24"/>
          <w:szCs w:val="24"/>
          <w:lang w:eastAsia="zh-CN"/>
        </w:rPr>
      </w:pPr>
      <w:r w:rsidRPr="004D7789">
        <w:rPr>
          <w:rFonts w:ascii="Times New Roman" w:eastAsiaTheme="minorEastAsia" w:hAnsi="Times New Roman" w:cs="Times New Roman"/>
          <w:sz w:val="24"/>
          <w:szCs w:val="24"/>
          <w:lang w:eastAsia="zh-CN"/>
        </w:rPr>
        <w:br/>
      </w:r>
    </w:p>
    <w:p w14:paraId="6F310AB6" w14:textId="77777777" w:rsidR="00066816" w:rsidRPr="004D7789" w:rsidRDefault="00066816" w:rsidP="00066816">
      <w:pPr>
        <w:rPr>
          <w:rFonts w:ascii="Times New Roman" w:eastAsiaTheme="minorEastAsia" w:hAnsi="Times New Roman" w:cs="Times New Roman"/>
          <w:sz w:val="24"/>
          <w:szCs w:val="24"/>
          <w:lang w:eastAsia="zh-CN"/>
        </w:rPr>
      </w:pPr>
    </w:p>
    <w:p w14:paraId="4774E8B2" w14:textId="77777777" w:rsidR="00066816" w:rsidRPr="004D7789" w:rsidRDefault="00066816" w:rsidP="00066816">
      <w:pPr>
        <w:rPr>
          <w:rFonts w:ascii="Times New Roman" w:eastAsiaTheme="minorEastAsia" w:hAnsi="Times New Roman" w:cs="Times New Roman"/>
          <w:sz w:val="24"/>
          <w:szCs w:val="24"/>
          <w:lang w:eastAsia="zh-CN"/>
        </w:rPr>
      </w:pPr>
    </w:p>
    <w:p w14:paraId="6B0FD9E4" w14:textId="77777777" w:rsidR="00066816" w:rsidRPr="004D7789" w:rsidRDefault="00066816" w:rsidP="00066816">
      <w:pPr>
        <w:rPr>
          <w:rFonts w:ascii="Times New Roman" w:eastAsiaTheme="minorEastAsia" w:hAnsi="Times New Roman" w:cs="Times New Roman"/>
          <w:sz w:val="24"/>
          <w:szCs w:val="24"/>
          <w:lang w:eastAsia="zh-CN"/>
        </w:rPr>
      </w:pPr>
      <w:r w:rsidRPr="004D7789">
        <w:rPr>
          <w:rFonts w:ascii="Times New Roman" w:eastAsiaTheme="minorEastAsia" w:hAnsi="Times New Roman" w:cs="Times New Roman"/>
          <w:sz w:val="24"/>
          <w:szCs w:val="24"/>
          <w:lang w:eastAsia="zh-CN"/>
        </w:rPr>
        <w:t>Formulation Development, Regeneron Pharmaceuticals, Inc., Tarrytown, NY 10591, USA</w:t>
      </w:r>
    </w:p>
    <w:p w14:paraId="5A26E8E0" w14:textId="77777777" w:rsidR="00066816" w:rsidRPr="004D7789" w:rsidRDefault="00066816" w:rsidP="00066816">
      <w:pPr>
        <w:rPr>
          <w:rFonts w:ascii="Times New Roman" w:eastAsiaTheme="minorEastAsia" w:hAnsi="Times New Roman" w:cs="Times New Roman"/>
          <w:sz w:val="24"/>
          <w:szCs w:val="24"/>
          <w:lang w:eastAsia="zh-CN"/>
        </w:rPr>
      </w:pPr>
    </w:p>
    <w:p w14:paraId="21C0CCB1" w14:textId="77777777" w:rsidR="00066816" w:rsidRPr="004D7789" w:rsidRDefault="00066816" w:rsidP="00066816">
      <w:pPr>
        <w:rPr>
          <w:rFonts w:ascii="Times New Roman" w:eastAsiaTheme="minorEastAsia" w:hAnsi="Times New Roman" w:cs="Times New Roman"/>
          <w:sz w:val="24"/>
          <w:szCs w:val="24"/>
          <w:lang w:eastAsia="zh-CN"/>
        </w:rPr>
      </w:pPr>
      <w:r w:rsidRPr="004D7789">
        <w:rPr>
          <w:rFonts w:ascii="Times New Roman" w:eastAsiaTheme="minorEastAsia" w:hAnsi="Times New Roman" w:cs="Times New Roman"/>
          <w:sz w:val="24"/>
          <w:szCs w:val="24"/>
          <w:lang w:eastAsia="zh-CN"/>
        </w:rPr>
        <w:t xml:space="preserve">*Corresponding Author: </w:t>
      </w:r>
    </w:p>
    <w:p w14:paraId="7C796AAE" w14:textId="77777777" w:rsidR="00066816" w:rsidRPr="004D7789" w:rsidRDefault="00066816" w:rsidP="00066816">
      <w:pPr>
        <w:rPr>
          <w:rFonts w:ascii="Times New Roman" w:eastAsiaTheme="minorEastAsia" w:hAnsi="Times New Roman" w:cs="Times New Roman"/>
          <w:sz w:val="24"/>
          <w:szCs w:val="24"/>
          <w:lang w:eastAsia="zh-CN"/>
        </w:rPr>
      </w:pPr>
      <w:r w:rsidRPr="004D7789">
        <w:rPr>
          <w:rFonts w:ascii="Times New Roman" w:eastAsiaTheme="minorEastAsia" w:hAnsi="Times New Roman" w:cs="Times New Roman"/>
          <w:sz w:val="24"/>
          <w:szCs w:val="24"/>
          <w:lang w:eastAsia="zh-CN"/>
        </w:rPr>
        <w:t>Dingjiang Liu, Ph.D.</w:t>
      </w:r>
    </w:p>
    <w:p w14:paraId="58FE80E2" w14:textId="77777777" w:rsidR="00066816" w:rsidRPr="004D7789" w:rsidRDefault="00066816" w:rsidP="00066816">
      <w:pPr>
        <w:rPr>
          <w:rFonts w:ascii="Times New Roman" w:eastAsiaTheme="minorEastAsia" w:hAnsi="Times New Roman" w:cs="Times New Roman"/>
          <w:sz w:val="24"/>
          <w:szCs w:val="24"/>
          <w:lang w:eastAsia="zh-CN"/>
        </w:rPr>
      </w:pPr>
      <w:r w:rsidRPr="004D7789">
        <w:rPr>
          <w:rFonts w:ascii="Times New Roman" w:eastAsiaTheme="minorEastAsia" w:hAnsi="Times New Roman" w:cs="Times New Roman"/>
          <w:sz w:val="24"/>
          <w:szCs w:val="24"/>
          <w:lang w:eastAsia="zh-CN"/>
        </w:rPr>
        <w:t>Regeneron Pharmaceuticals, Inc.</w:t>
      </w:r>
    </w:p>
    <w:p w14:paraId="36A338B1" w14:textId="77777777" w:rsidR="00066816" w:rsidRPr="004D7789" w:rsidRDefault="00066816" w:rsidP="00066816">
      <w:pPr>
        <w:rPr>
          <w:rFonts w:ascii="Times New Roman" w:eastAsiaTheme="minorEastAsia" w:hAnsi="Times New Roman" w:cs="Times New Roman"/>
          <w:sz w:val="24"/>
          <w:szCs w:val="24"/>
          <w:lang w:eastAsia="zh-CN"/>
        </w:rPr>
      </w:pPr>
      <w:r w:rsidRPr="004D7789">
        <w:rPr>
          <w:rFonts w:ascii="Times New Roman" w:eastAsiaTheme="minorEastAsia" w:hAnsi="Times New Roman" w:cs="Times New Roman"/>
          <w:sz w:val="24"/>
          <w:szCs w:val="24"/>
          <w:lang w:eastAsia="zh-CN"/>
        </w:rPr>
        <w:t>Tarrytown, NY 10591, USA</w:t>
      </w:r>
    </w:p>
    <w:p w14:paraId="2EC2A8EE" w14:textId="77777777" w:rsidR="00066816" w:rsidRPr="004D7789" w:rsidRDefault="00066816" w:rsidP="00066816">
      <w:pPr>
        <w:rPr>
          <w:rFonts w:ascii="Times New Roman" w:eastAsiaTheme="minorEastAsia" w:hAnsi="Times New Roman" w:cs="Times New Roman"/>
          <w:sz w:val="24"/>
          <w:szCs w:val="24"/>
          <w:lang w:eastAsia="zh-CN"/>
        </w:rPr>
      </w:pPr>
      <w:r w:rsidRPr="004D7789">
        <w:rPr>
          <w:rFonts w:ascii="Times New Roman" w:eastAsiaTheme="minorEastAsia" w:hAnsi="Times New Roman" w:cs="Times New Roman"/>
          <w:sz w:val="24"/>
          <w:szCs w:val="24"/>
          <w:lang w:eastAsia="zh-CN"/>
        </w:rPr>
        <w:t>914-847-7330</w:t>
      </w:r>
    </w:p>
    <w:p w14:paraId="7CD78900" w14:textId="77777777" w:rsidR="00066816" w:rsidRPr="004D7789" w:rsidRDefault="00066816" w:rsidP="00066816">
      <w:pPr>
        <w:rPr>
          <w:rFonts w:ascii="Times New Roman" w:eastAsiaTheme="minorEastAsia" w:hAnsi="Times New Roman" w:cs="Times New Roman"/>
          <w:sz w:val="24"/>
          <w:szCs w:val="24"/>
          <w:lang w:eastAsia="zh-CN"/>
        </w:rPr>
      </w:pPr>
      <w:r w:rsidRPr="004D7789">
        <w:rPr>
          <w:rFonts w:ascii="Times New Roman" w:eastAsiaTheme="minorEastAsia" w:hAnsi="Times New Roman" w:cs="Times New Roman"/>
          <w:sz w:val="24"/>
          <w:szCs w:val="24"/>
          <w:lang w:eastAsia="zh-CN"/>
        </w:rPr>
        <w:t>Dingjiang.liu@regeneron.com</w:t>
      </w:r>
    </w:p>
    <w:p w14:paraId="73AFBD55" w14:textId="77777777" w:rsidR="00066816" w:rsidRPr="004D7789" w:rsidRDefault="00066816" w:rsidP="00066816">
      <w:pPr>
        <w:spacing w:after="0"/>
        <w:rPr>
          <w:rFonts w:ascii="Times New Roman" w:eastAsiaTheme="minorEastAsia" w:hAnsi="Times New Roman" w:cs="Times New Roman"/>
          <w:sz w:val="24"/>
          <w:szCs w:val="24"/>
          <w:lang w:eastAsia="zh-CN"/>
        </w:rPr>
      </w:pPr>
    </w:p>
    <w:p w14:paraId="37FF5B4B" w14:textId="77777777" w:rsidR="00066816" w:rsidRPr="004D7789" w:rsidRDefault="00066816" w:rsidP="00066816">
      <w:pPr>
        <w:spacing w:after="0"/>
        <w:rPr>
          <w:rFonts w:ascii="Times New Roman" w:eastAsiaTheme="minorEastAsia" w:hAnsi="Times New Roman" w:cs="Times New Roman"/>
          <w:sz w:val="24"/>
          <w:szCs w:val="24"/>
          <w:lang w:eastAsia="zh-CN"/>
        </w:rPr>
      </w:pPr>
    </w:p>
    <w:p w14:paraId="5A5E17FF" w14:textId="77777777" w:rsidR="00066816" w:rsidRPr="004D7789" w:rsidRDefault="00066816" w:rsidP="00066816">
      <w:pPr>
        <w:spacing w:after="0"/>
        <w:rPr>
          <w:rFonts w:ascii="Times New Roman" w:eastAsiaTheme="minorEastAsia" w:hAnsi="Times New Roman" w:cs="Times New Roman"/>
          <w:sz w:val="24"/>
          <w:szCs w:val="24"/>
          <w:lang w:eastAsia="zh-CN"/>
        </w:rPr>
      </w:pPr>
      <w:r w:rsidRPr="004D7789">
        <w:rPr>
          <w:rFonts w:ascii="Times New Roman" w:eastAsiaTheme="minorEastAsia" w:hAnsi="Times New Roman" w:cs="Times New Roman"/>
          <w:sz w:val="24"/>
          <w:szCs w:val="24"/>
          <w:lang w:eastAsia="zh-CN"/>
        </w:rPr>
        <w:t xml:space="preserve">Keywords:  Monoclonal antibody, Protein aggregation, Lyophilized drug product, Modeling, </w:t>
      </w:r>
      <w:r>
        <w:rPr>
          <w:rFonts w:ascii="Times New Roman" w:eastAsiaTheme="minorEastAsia" w:hAnsi="Times New Roman" w:cs="Times New Roman"/>
          <w:sz w:val="24"/>
          <w:szCs w:val="24"/>
          <w:lang w:eastAsia="zh-CN"/>
        </w:rPr>
        <w:t xml:space="preserve">Predictive stability, </w:t>
      </w:r>
      <w:r w:rsidRPr="004D7789">
        <w:rPr>
          <w:rFonts w:ascii="Times New Roman" w:eastAsiaTheme="minorEastAsia" w:hAnsi="Times New Roman" w:cs="Times New Roman"/>
          <w:sz w:val="24"/>
          <w:szCs w:val="24"/>
          <w:lang w:eastAsia="zh-CN"/>
        </w:rPr>
        <w:t>product shelf life</w:t>
      </w:r>
    </w:p>
    <w:p w14:paraId="66CB83FA" w14:textId="77777777" w:rsidR="00066816" w:rsidRPr="004D7789" w:rsidRDefault="00066816" w:rsidP="00066816">
      <w:pPr>
        <w:spacing w:after="0"/>
        <w:rPr>
          <w:rFonts w:ascii="Times New Roman" w:eastAsiaTheme="minorEastAsia" w:hAnsi="Times New Roman" w:cs="Times New Roman"/>
          <w:sz w:val="24"/>
          <w:szCs w:val="24"/>
          <w:lang w:eastAsia="zh-CN"/>
        </w:rPr>
      </w:pPr>
    </w:p>
    <w:p w14:paraId="2892EEB4" w14:textId="77777777" w:rsidR="00066816" w:rsidRPr="004D7789" w:rsidRDefault="00066816" w:rsidP="00066816">
      <w:pPr>
        <w:spacing w:after="0"/>
        <w:rPr>
          <w:rFonts w:ascii="Times New Roman" w:eastAsiaTheme="minorEastAsia" w:hAnsi="Times New Roman" w:cs="Times New Roman"/>
          <w:sz w:val="24"/>
          <w:szCs w:val="24"/>
          <w:lang w:eastAsia="zh-CN"/>
        </w:rPr>
      </w:pPr>
    </w:p>
    <w:p w14:paraId="27DC43E9" w14:textId="77777777" w:rsidR="00066816" w:rsidRPr="004D7789" w:rsidRDefault="00066816" w:rsidP="00066816">
      <w:pPr>
        <w:spacing w:after="0"/>
        <w:rPr>
          <w:rFonts w:ascii="Times New Roman" w:eastAsiaTheme="minorEastAsia" w:hAnsi="Times New Roman" w:cs="Times New Roman"/>
          <w:sz w:val="24"/>
          <w:szCs w:val="24"/>
          <w:lang w:eastAsia="zh-CN"/>
        </w:rPr>
      </w:pPr>
    </w:p>
    <w:p w14:paraId="4826174A" w14:textId="77777777" w:rsidR="00066816" w:rsidRPr="004D7789" w:rsidRDefault="00066816" w:rsidP="00066816">
      <w:pPr>
        <w:spacing w:after="0"/>
        <w:rPr>
          <w:rFonts w:ascii="Times New Roman" w:eastAsiaTheme="minorEastAsia" w:hAnsi="Times New Roman" w:cs="Times New Roman"/>
          <w:sz w:val="24"/>
          <w:szCs w:val="24"/>
          <w:lang w:eastAsia="zh-CN"/>
        </w:rPr>
      </w:pPr>
    </w:p>
    <w:p w14:paraId="78583CF5" w14:textId="77777777" w:rsidR="00066816" w:rsidRPr="004D7789" w:rsidRDefault="00066816" w:rsidP="00066816">
      <w:pPr>
        <w:spacing w:after="0"/>
        <w:rPr>
          <w:rFonts w:ascii="Times New Roman" w:eastAsiaTheme="minorEastAsia" w:hAnsi="Times New Roman" w:cs="Times New Roman"/>
          <w:sz w:val="24"/>
          <w:szCs w:val="24"/>
          <w:lang w:eastAsia="zh-CN"/>
        </w:rPr>
      </w:pPr>
    </w:p>
    <w:p w14:paraId="6C27835B" w14:textId="77777777" w:rsidR="00066816" w:rsidRPr="004D7789" w:rsidRDefault="00066816" w:rsidP="00066816">
      <w:pPr>
        <w:spacing w:after="0"/>
        <w:rPr>
          <w:rFonts w:ascii="Times New Roman" w:eastAsiaTheme="minorEastAsia" w:hAnsi="Times New Roman" w:cs="Times New Roman"/>
          <w:sz w:val="24"/>
          <w:szCs w:val="24"/>
          <w:lang w:eastAsia="zh-CN"/>
        </w:rPr>
      </w:pPr>
    </w:p>
    <w:p w14:paraId="42E719BE" w14:textId="77777777" w:rsidR="00066816" w:rsidRPr="004D7789" w:rsidRDefault="00066816" w:rsidP="00066816">
      <w:pPr>
        <w:spacing w:after="0"/>
        <w:rPr>
          <w:rFonts w:ascii="Times New Roman" w:eastAsiaTheme="minorEastAsia" w:hAnsi="Times New Roman" w:cs="Times New Roman"/>
          <w:sz w:val="24"/>
          <w:szCs w:val="24"/>
          <w:lang w:eastAsia="zh-CN"/>
        </w:rPr>
      </w:pPr>
    </w:p>
    <w:p w14:paraId="36D36637" w14:textId="77777777" w:rsidR="00066816" w:rsidRPr="004D7789" w:rsidRDefault="00066816" w:rsidP="00066816">
      <w:pPr>
        <w:spacing w:after="0"/>
        <w:rPr>
          <w:rFonts w:ascii="Times New Roman" w:eastAsiaTheme="minorEastAsia" w:hAnsi="Times New Roman" w:cs="Times New Roman"/>
          <w:sz w:val="24"/>
          <w:szCs w:val="24"/>
          <w:lang w:eastAsia="zh-CN"/>
        </w:rPr>
      </w:pPr>
    </w:p>
    <w:p w14:paraId="67051DCD" w14:textId="77777777" w:rsidR="00066816" w:rsidRPr="004D7789" w:rsidRDefault="00066816" w:rsidP="00066816">
      <w:pPr>
        <w:spacing w:after="0"/>
        <w:rPr>
          <w:rFonts w:ascii="Times New Roman" w:eastAsiaTheme="minorEastAsia" w:hAnsi="Times New Roman" w:cs="Times New Roman"/>
          <w:sz w:val="24"/>
          <w:szCs w:val="24"/>
          <w:lang w:eastAsia="zh-CN"/>
        </w:rPr>
      </w:pPr>
    </w:p>
    <w:p w14:paraId="4A5528CC" w14:textId="77777777" w:rsidR="00066816" w:rsidRPr="004D7789" w:rsidRDefault="00066816" w:rsidP="00066816">
      <w:pPr>
        <w:spacing w:after="0"/>
        <w:rPr>
          <w:rFonts w:ascii="Times New Roman" w:eastAsiaTheme="minorEastAsia" w:hAnsi="Times New Roman" w:cs="Times New Roman"/>
          <w:sz w:val="24"/>
          <w:szCs w:val="24"/>
          <w:lang w:eastAsia="zh-CN"/>
        </w:rPr>
      </w:pPr>
    </w:p>
    <w:p w14:paraId="400B0675" w14:textId="77777777" w:rsidR="00066816" w:rsidRPr="004D7789" w:rsidRDefault="00066816" w:rsidP="00066816">
      <w:pPr>
        <w:spacing w:after="0"/>
        <w:rPr>
          <w:rFonts w:ascii="Times New Roman" w:eastAsiaTheme="minorEastAsia" w:hAnsi="Times New Roman" w:cs="Times New Roman"/>
          <w:sz w:val="24"/>
          <w:szCs w:val="24"/>
          <w:lang w:eastAsia="zh-CN"/>
        </w:rPr>
      </w:pPr>
    </w:p>
    <w:p w14:paraId="02038303" w14:textId="77777777" w:rsidR="00066816" w:rsidRPr="004D7789" w:rsidRDefault="00066816" w:rsidP="00066816">
      <w:pPr>
        <w:spacing w:after="0"/>
        <w:rPr>
          <w:rFonts w:ascii="Times New Roman" w:eastAsiaTheme="minorEastAsia" w:hAnsi="Times New Roman" w:cs="Times New Roman"/>
          <w:sz w:val="24"/>
          <w:szCs w:val="24"/>
          <w:lang w:eastAsia="zh-CN"/>
        </w:rPr>
      </w:pPr>
    </w:p>
    <w:p w14:paraId="5BC5A8A9" w14:textId="77777777" w:rsidR="00066816" w:rsidRPr="004D7789" w:rsidRDefault="00066816" w:rsidP="00066816">
      <w:pPr>
        <w:spacing w:after="0"/>
        <w:rPr>
          <w:rFonts w:ascii="Times New Roman" w:eastAsiaTheme="minorEastAsia" w:hAnsi="Times New Roman" w:cs="Times New Roman"/>
          <w:sz w:val="24"/>
          <w:szCs w:val="24"/>
          <w:lang w:eastAsia="zh-CN"/>
        </w:rPr>
      </w:pPr>
    </w:p>
    <w:p w14:paraId="48E4396F" w14:textId="77777777" w:rsidR="00066816" w:rsidRPr="004D7789" w:rsidRDefault="00066816" w:rsidP="00066816">
      <w:pPr>
        <w:spacing w:after="0"/>
        <w:rPr>
          <w:rFonts w:ascii="Times New Roman" w:eastAsiaTheme="minorEastAsia" w:hAnsi="Times New Roman" w:cs="Times New Roman"/>
          <w:sz w:val="24"/>
          <w:szCs w:val="24"/>
          <w:lang w:eastAsia="zh-CN"/>
        </w:rPr>
      </w:pPr>
    </w:p>
    <w:p w14:paraId="767C203A" w14:textId="77777777" w:rsidR="00066816" w:rsidRPr="004D7789" w:rsidRDefault="00066816" w:rsidP="00066816">
      <w:pPr>
        <w:spacing w:after="0"/>
        <w:rPr>
          <w:rFonts w:ascii="Times New Roman" w:eastAsiaTheme="minorEastAsia" w:hAnsi="Times New Roman" w:cs="Times New Roman"/>
          <w:sz w:val="24"/>
          <w:szCs w:val="24"/>
          <w:lang w:eastAsia="zh-CN"/>
        </w:rPr>
      </w:pPr>
    </w:p>
    <w:p w14:paraId="673B2166" w14:textId="77777777" w:rsidR="00066816" w:rsidRPr="00247314" w:rsidRDefault="00066816" w:rsidP="00066816">
      <w:pPr>
        <w:spacing w:before="100" w:beforeAutospacing="1" w:after="100" w:afterAutospacing="1" w:line="240" w:lineRule="auto"/>
        <w:rPr>
          <w:rFonts w:ascii="Times New Roman" w:eastAsiaTheme="minorEastAsia" w:hAnsi="Times New Roman" w:cs="Times New Roman"/>
          <w:b/>
          <w:bCs/>
          <w:sz w:val="24"/>
          <w:szCs w:val="24"/>
          <w:lang w:eastAsia="zh-CN"/>
        </w:rPr>
      </w:pPr>
      <w:r w:rsidRPr="00247314">
        <w:rPr>
          <w:rFonts w:ascii="Times New Roman" w:eastAsiaTheme="minorEastAsia" w:hAnsi="Times New Roman" w:cs="Times New Roman"/>
          <w:b/>
          <w:bCs/>
          <w:sz w:val="24"/>
          <w:szCs w:val="24"/>
          <w:lang w:eastAsia="zh-CN"/>
        </w:rPr>
        <w:lastRenderedPageBreak/>
        <w:t>Abstract</w:t>
      </w:r>
    </w:p>
    <w:p w14:paraId="7E87386C" w14:textId="084E1431" w:rsidR="00C75862" w:rsidRDefault="00C75862" w:rsidP="00066816">
      <w:pPr>
        <w:spacing w:line="480" w:lineRule="auto"/>
        <w:rPr>
          <w:rFonts w:ascii="Times New Roman" w:eastAsiaTheme="minorEastAsia" w:hAnsi="Times New Roman" w:cs="Times New Roman"/>
          <w:sz w:val="24"/>
          <w:szCs w:val="24"/>
          <w:lang w:eastAsia="zh-CN"/>
        </w:rPr>
      </w:pPr>
      <w:r w:rsidRPr="00C75862">
        <w:rPr>
          <w:rFonts w:ascii="Times New Roman" w:eastAsiaTheme="minorEastAsia" w:hAnsi="Times New Roman" w:cs="Times New Roman"/>
          <w:sz w:val="24"/>
          <w:szCs w:val="24"/>
          <w:lang w:eastAsia="zh-CN"/>
        </w:rPr>
        <w:t>The long-term stability of monoclonal antibodies is a critical consideration in the development of lyophilized biologic drug products. Despite concerns regarding the robustness of early predictions, the ability to accurately forecast long-term stability from accelerated stability studies remains of significant interest. In this study, we utilized a combination of accelerated stability studies (up to 6 months) and a stretched time kinetic model to predict the long-term stability</w:t>
      </w:r>
      <w:r w:rsidR="00004844">
        <w:rPr>
          <w:rFonts w:ascii="Times New Roman" w:eastAsiaTheme="minorEastAsia" w:hAnsi="Times New Roman" w:cs="Times New Roman"/>
          <w:sz w:val="24"/>
          <w:szCs w:val="24"/>
          <w:lang w:eastAsia="zh-CN"/>
        </w:rPr>
        <w:t xml:space="preserve"> </w:t>
      </w:r>
      <w:proofErr w:type="gramStart"/>
      <w:r w:rsidR="00004844">
        <w:rPr>
          <w:rFonts w:ascii="Times New Roman" w:eastAsiaTheme="minorEastAsia" w:hAnsi="Times New Roman" w:cs="Times New Roman"/>
          <w:sz w:val="24"/>
          <w:szCs w:val="24"/>
          <w:lang w:eastAsia="zh-CN"/>
        </w:rPr>
        <w:t xml:space="preserve">under </w:t>
      </w:r>
      <w:r w:rsidRPr="00C75862">
        <w:rPr>
          <w:rFonts w:ascii="Times New Roman" w:eastAsiaTheme="minorEastAsia" w:hAnsi="Times New Roman" w:cs="Times New Roman"/>
          <w:sz w:val="24"/>
          <w:szCs w:val="24"/>
          <w:lang w:eastAsia="zh-CN"/>
        </w:rPr>
        <w:t xml:space="preserve"> (</w:t>
      </w:r>
      <w:proofErr w:type="gramEnd"/>
      <w:r w:rsidRPr="00C75862">
        <w:rPr>
          <w:rFonts w:ascii="Times New Roman" w:eastAsiaTheme="minorEastAsia" w:hAnsi="Times New Roman" w:cs="Times New Roman"/>
          <w:sz w:val="24"/>
          <w:szCs w:val="24"/>
          <w:lang w:eastAsia="zh-CN"/>
        </w:rPr>
        <w:t xml:space="preserve">up to 3 years) of various monoclonal antibody formulations. Specifically, we demonstrated the ability to reliably forecast protein stability at the intended storage condition (5 °C) using data collected over six months for multiple quality attributes at various temperatures, including standard storage (5 °C), accelerated (25 °C), and stress conditions (40 °C and 50 °C). Stability studies were conducted on several monoclonal antibodies, including IgG1, IgG4, and bispecific </w:t>
      </w:r>
      <w:proofErr w:type="spellStart"/>
      <w:r w:rsidRPr="00C75862">
        <w:rPr>
          <w:rFonts w:ascii="Times New Roman" w:eastAsiaTheme="minorEastAsia" w:hAnsi="Times New Roman" w:cs="Times New Roman"/>
          <w:sz w:val="24"/>
          <w:szCs w:val="24"/>
          <w:lang w:eastAsia="zh-CN"/>
        </w:rPr>
        <w:t>mAbs</w:t>
      </w:r>
      <w:proofErr w:type="spellEnd"/>
      <w:r w:rsidRPr="00C75862">
        <w:rPr>
          <w:rFonts w:ascii="Times New Roman" w:eastAsiaTheme="minorEastAsia" w:hAnsi="Times New Roman" w:cs="Times New Roman"/>
          <w:sz w:val="24"/>
          <w:szCs w:val="24"/>
          <w:lang w:eastAsia="zh-CN"/>
        </w:rPr>
        <w:t>. Compared to traditional linear extrapolation methods, our approach demonstrated enhanced robustness and accuracy in predicting long-term stability.</w:t>
      </w:r>
    </w:p>
    <w:p w14:paraId="794DF70B" w14:textId="77777777" w:rsidR="00066816" w:rsidRDefault="00066816" w:rsidP="00066816">
      <w:pPr>
        <w:rPr>
          <w:rFonts w:ascii="Times New Roman" w:eastAsiaTheme="minorEastAsia" w:hAnsi="Times New Roman" w:cs="Times New Roman"/>
          <w:sz w:val="24"/>
          <w:szCs w:val="24"/>
          <w:lang w:eastAsia="zh-CN"/>
        </w:rPr>
      </w:pPr>
    </w:p>
    <w:p w14:paraId="3F0B6518" w14:textId="77777777" w:rsidR="00066816" w:rsidRPr="00402F07" w:rsidRDefault="00066816" w:rsidP="00066816">
      <w:pPr>
        <w:rPr>
          <w:rFonts w:ascii="Times New Roman" w:eastAsiaTheme="minorEastAsia" w:hAnsi="Times New Roman" w:cs="Times New Roman"/>
          <w:b/>
          <w:bCs/>
          <w:sz w:val="24"/>
          <w:szCs w:val="24"/>
          <w:lang w:eastAsia="zh-CN"/>
        </w:rPr>
      </w:pPr>
      <w:r w:rsidRPr="00402F07">
        <w:rPr>
          <w:rFonts w:ascii="Times New Roman" w:eastAsiaTheme="minorEastAsia" w:hAnsi="Times New Roman" w:cs="Times New Roman"/>
          <w:b/>
          <w:bCs/>
          <w:sz w:val="24"/>
          <w:szCs w:val="24"/>
          <w:lang w:eastAsia="zh-CN"/>
        </w:rPr>
        <w:t>Keywords</w:t>
      </w:r>
    </w:p>
    <w:p w14:paraId="33322C8D" w14:textId="77777777" w:rsidR="00066816" w:rsidRDefault="00066816" w:rsidP="00066816">
      <w:pPr>
        <w:rPr>
          <w:rFonts w:ascii="Times New Roman" w:eastAsiaTheme="minorEastAsia" w:hAnsi="Times New Roman" w:cs="Times New Roman"/>
          <w:sz w:val="24"/>
          <w:szCs w:val="24"/>
          <w:lang w:eastAsia="zh-CN"/>
        </w:rPr>
      </w:pPr>
      <w:r w:rsidRPr="00890F93">
        <w:rPr>
          <w:rFonts w:ascii="Times New Roman" w:eastAsiaTheme="minorEastAsia" w:hAnsi="Times New Roman" w:cs="Times New Roman"/>
          <w:sz w:val="24"/>
          <w:szCs w:val="24"/>
          <w:lang w:eastAsia="zh-CN"/>
        </w:rPr>
        <w:t>Monoclonal antibody, Protein aggregation, Lyophilized drug product, Modeling, Predictive stability, product shelf life</w:t>
      </w:r>
    </w:p>
    <w:p w14:paraId="26E3E71B" w14:textId="77777777" w:rsidR="00066816" w:rsidRDefault="00066816" w:rsidP="00066816">
      <w:pPr>
        <w:rPr>
          <w:rFonts w:ascii="Times New Roman" w:eastAsiaTheme="minorEastAsia" w:hAnsi="Times New Roman" w:cs="Times New Roman"/>
          <w:sz w:val="24"/>
          <w:szCs w:val="24"/>
          <w:lang w:eastAsia="zh-CN"/>
        </w:rPr>
      </w:pPr>
    </w:p>
    <w:p w14:paraId="1025AE09" w14:textId="77777777" w:rsidR="00066816" w:rsidRPr="00402F07" w:rsidRDefault="00066816" w:rsidP="00066816">
      <w:pPr>
        <w:rPr>
          <w:rFonts w:ascii="Times New Roman" w:eastAsiaTheme="minorEastAsia" w:hAnsi="Times New Roman" w:cs="Times New Roman"/>
          <w:b/>
          <w:bCs/>
          <w:sz w:val="24"/>
          <w:szCs w:val="24"/>
          <w:lang w:eastAsia="zh-CN"/>
        </w:rPr>
      </w:pPr>
      <w:r w:rsidRPr="00402F07">
        <w:rPr>
          <w:rFonts w:ascii="Times New Roman" w:eastAsiaTheme="minorEastAsia" w:hAnsi="Times New Roman" w:cs="Times New Roman"/>
          <w:b/>
          <w:bCs/>
          <w:sz w:val="24"/>
          <w:szCs w:val="24"/>
          <w:lang w:eastAsia="zh-CN"/>
        </w:rPr>
        <w:t>Abbreviations</w:t>
      </w:r>
    </w:p>
    <w:p w14:paraId="10923DBA" w14:textId="77777777" w:rsidR="00066816" w:rsidRPr="004D7789" w:rsidRDefault="00066816" w:rsidP="00066816">
      <w:pPr>
        <w:rPr>
          <w:rFonts w:ascii="Times New Roman" w:eastAsiaTheme="minorEastAsia" w:hAnsi="Times New Roman" w:cs="Times New Roman"/>
          <w:sz w:val="24"/>
          <w:szCs w:val="24"/>
          <w:lang w:eastAsia="zh-CN"/>
        </w:rPr>
      </w:pPr>
      <w:r w:rsidRPr="004D7789">
        <w:rPr>
          <w:rFonts w:ascii="Times New Roman" w:eastAsiaTheme="minorEastAsia" w:hAnsi="Times New Roman" w:cs="Times New Roman"/>
          <w:sz w:val="24"/>
          <w:szCs w:val="24"/>
          <w:lang w:eastAsia="zh-CN"/>
        </w:rPr>
        <w:br w:type="page"/>
      </w:r>
    </w:p>
    <w:p w14:paraId="5556D3B9" w14:textId="77777777" w:rsidR="00066816" w:rsidRPr="00CA6F1A" w:rsidRDefault="00066816" w:rsidP="00066816">
      <w:pPr>
        <w:pStyle w:val="1"/>
        <w:numPr>
          <w:ilvl w:val="0"/>
          <w:numId w:val="1"/>
        </w:numPr>
        <w:tabs>
          <w:tab w:val="num" w:pos="360"/>
        </w:tabs>
        <w:spacing w:after="240"/>
        <w:ind w:left="0" w:firstLine="0"/>
        <w:rPr>
          <w:rFonts w:ascii="Times New Roman" w:hAnsi="Times New Roman" w:cs="Times New Roman"/>
          <w:b/>
          <w:bCs/>
          <w:color w:val="auto"/>
          <w:lang w:eastAsia="zh-CN"/>
        </w:rPr>
      </w:pPr>
      <w:r w:rsidRPr="00CA6F1A">
        <w:rPr>
          <w:rFonts w:ascii="Times New Roman" w:hAnsi="Times New Roman" w:cs="Times New Roman"/>
          <w:b/>
          <w:bCs/>
          <w:color w:val="auto"/>
          <w:lang w:eastAsia="zh-CN"/>
        </w:rPr>
        <w:lastRenderedPageBreak/>
        <w:t>Introduction</w:t>
      </w:r>
    </w:p>
    <w:p w14:paraId="04586A70" w14:textId="330C7504" w:rsidR="00C75862" w:rsidRDefault="00B55D38" w:rsidP="00066816">
      <w:pPr>
        <w:spacing w:line="480" w:lineRule="auto"/>
        <w:ind w:firstLine="360"/>
        <w:jc w:val="both"/>
        <w:rPr>
          <w:rFonts w:ascii="Times New Roman" w:eastAsiaTheme="minorEastAsia" w:hAnsi="Times New Roman" w:cs="Times New Roman"/>
          <w:sz w:val="24"/>
          <w:szCs w:val="24"/>
          <w:lang w:eastAsia="zh-CN"/>
        </w:rPr>
      </w:pPr>
      <w:r w:rsidRPr="00B55D38">
        <w:rPr>
          <w:rFonts w:ascii="Times New Roman" w:eastAsiaTheme="minorEastAsia" w:hAnsi="Times New Roman" w:cs="Times New Roman"/>
          <w:sz w:val="24"/>
          <w:szCs w:val="24"/>
          <w:lang w:eastAsia="zh-CN"/>
        </w:rPr>
        <w:t>Monoclonal antibody (</w:t>
      </w:r>
      <w:proofErr w:type="spellStart"/>
      <w:r w:rsidRPr="00B55D38">
        <w:rPr>
          <w:rFonts w:ascii="Times New Roman" w:eastAsiaTheme="minorEastAsia" w:hAnsi="Times New Roman" w:cs="Times New Roman"/>
          <w:sz w:val="24"/>
          <w:szCs w:val="24"/>
          <w:lang w:eastAsia="zh-CN"/>
        </w:rPr>
        <w:t>mAb</w:t>
      </w:r>
      <w:proofErr w:type="spellEnd"/>
      <w:r w:rsidRPr="00B55D38">
        <w:rPr>
          <w:rFonts w:ascii="Times New Roman" w:eastAsiaTheme="minorEastAsia" w:hAnsi="Times New Roman" w:cs="Times New Roman"/>
          <w:sz w:val="24"/>
          <w:szCs w:val="24"/>
          <w:lang w:eastAsia="zh-CN"/>
        </w:rPr>
        <w:t xml:space="preserve">)-based biologics have emerged as a key therapeutic approach in recent years. As of December 2024, over 200 antibody-based therapies have been approved for market use, with nearly 1,400 investigational candidates currently in clinical trials for the treatment of various diseases.  </w:t>
      </w:r>
      <w:r w:rsidR="00066816" w:rsidRPr="009C1425">
        <w:rPr>
          <w:rFonts w:ascii="Times New Roman" w:eastAsiaTheme="minorEastAsia" w:hAnsi="Times New Roman" w:cs="Times New Roman"/>
          <w:sz w:val="24"/>
          <w:szCs w:val="24"/>
          <w:lang w:eastAsia="zh-CN"/>
        </w:rPr>
        <w:fldChar w:fldCharType="begin"/>
      </w:r>
      <w:r w:rsidR="00066816" w:rsidRPr="009C1425">
        <w:rPr>
          <w:rFonts w:ascii="Times New Roman" w:eastAsiaTheme="minorEastAsia" w:hAnsi="Times New Roman" w:cs="Times New Roman"/>
          <w:sz w:val="24"/>
          <w:szCs w:val="24"/>
          <w:lang w:eastAsia="zh-CN"/>
        </w:rPr>
        <w:instrText xml:space="preserve"> ADDIN EN.CITE &lt;EndNote&gt;&lt;Cite&gt;&lt;Author&gt;Mullard&lt;/Author&gt;&lt;Year&gt;2022&lt;/Year&gt;&lt;RecNum&gt;12&lt;/RecNum&gt;&lt;DisplayText&gt;(1)&lt;/DisplayText&gt;&lt;record&gt;&lt;rec-number&gt;12&lt;/rec-number&gt;&lt;foreign-keys&gt;&lt;key app="EN" db-id="d00sepeew9evdmetssqv59stevvv520pwpxd" timestamp="1675744273"&gt;12&lt;/key&gt;&lt;key app="ENWeb" db-id=""&gt;0&lt;/key&gt;&lt;/foreign-keys&gt;&lt;ref-type name="Journal Article"&gt;17&lt;/ref-type&gt;&lt;contributors&gt;&lt;authors&gt;&lt;author&gt;Mullard, A.&lt;/author&gt;&lt;/authors&gt;&lt;/contributors&gt;&lt;titles&gt;&lt;title&gt;2021 FDA approvals&lt;/title&gt;&lt;secondary-title&gt;Nat Rev Drug Discov&lt;/secondary-title&gt;&lt;/titles&gt;&lt;periodical&gt;&lt;full-title&gt;Nat Rev Drug Discov&lt;/full-title&gt;&lt;/periodical&gt;&lt;pages&gt;83-88&lt;/pages&gt;&lt;volume&gt;21&lt;/volume&gt;&lt;number&gt;2&lt;/number&gt;&lt;edition&gt;2022/01/06&lt;/edition&gt;&lt;keywords&gt;&lt;keyword&gt;Drug Approval/*statistics &amp;amp; numerical data&lt;/keyword&gt;&lt;keyword&gt;Humans&lt;/keyword&gt;&lt;keyword&gt;United States&lt;/keyword&gt;&lt;keyword&gt;United States Food and Drug Administration&lt;/keyword&gt;&lt;/keywords&gt;&lt;dates&gt;&lt;year&gt;2022&lt;/year&gt;&lt;pub-dates&gt;&lt;date&gt;Feb&lt;/date&gt;&lt;/pub-dates&gt;&lt;/dates&gt;&lt;isbn&gt;1474-1784 (Electronic)&amp;#xD;1474-1776 (Linking)&lt;/isbn&gt;&lt;accession-num&gt;34983958&lt;/accession-num&gt;&lt;urls&gt;&lt;related-urls&gt;&lt;url&gt;https://www.ncbi.nlm.nih.gov/pubmed/34983958&lt;/url&gt;&lt;/related-urls&gt;&lt;/urls&gt;&lt;electronic-resource-num&gt;10.1038/d41573-022-00001-9&lt;/electronic-resource-num&gt;&lt;/record&gt;&lt;/Cite&gt;&lt;/EndNote&gt;</w:instrText>
      </w:r>
      <w:r w:rsidR="00066816" w:rsidRPr="009C1425">
        <w:rPr>
          <w:rFonts w:ascii="Times New Roman" w:eastAsiaTheme="minorEastAsia" w:hAnsi="Times New Roman" w:cs="Times New Roman"/>
          <w:sz w:val="24"/>
          <w:szCs w:val="24"/>
          <w:lang w:eastAsia="zh-CN"/>
        </w:rPr>
        <w:fldChar w:fldCharType="separate"/>
      </w:r>
      <w:r w:rsidR="00066816" w:rsidRPr="009C1425">
        <w:rPr>
          <w:rFonts w:ascii="Times New Roman" w:eastAsiaTheme="minorEastAsia" w:hAnsi="Times New Roman" w:cs="Times New Roman"/>
          <w:noProof/>
          <w:sz w:val="24"/>
          <w:szCs w:val="24"/>
          <w:lang w:eastAsia="zh-CN"/>
        </w:rPr>
        <w:t>(1)</w:t>
      </w:r>
      <w:r w:rsidR="00066816" w:rsidRPr="009C1425">
        <w:rPr>
          <w:rFonts w:ascii="Times New Roman" w:eastAsiaTheme="minorEastAsia" w:hAnsi="Times New Roman" w:cs="Times New Roman"/>
          <w:sz w:val="24"/>
          <w:szCs w:val="24"/>
          <w:lang w:eastAsia="zh-CN"/>
        </w:rPr>
        <w:fldChar w:fldCharType="end"/>
      </w:r>
      <w:r w:rsidR="00066816" w:rsidRPr="009C1425">
        <w:rPr>
          <w:rFonts w:ascii="Times New Roman" w:eastAsiaTheme="minorEastAsia" w:hAnsi="Times New Roman" w:cs="Times New Roman"/>
          <w:sz w:val="24"/>
          <w:szCs w:val="24"/>
          <w:lang w:eastAsia="zh-CN"/>
        </w:rPr>
        <w:t xml:space="preserve"> </w:t>
      </w:r>
      <w:r w:rsidR="00C75862" w:rsidRPr="00C75862">
        <w:rPr>
          <w:rFonts w:ascii="Times New Roman" w:eastAsiaTheme="minorEastAsia" w:hAnsi="Times New Roman" w:cs="Times New Roman"/>
          <w:sz w:val="24"/>
          <w:szCs w:val="24"/>
          <w:lang w:eastAsia="zh-CN"/>
        </w:rPr>
        <w:t>However, the stability of these biologics remains a critical challenge due to their susceptibility to various degradation pathways, including covalent modifications, size alterations, and conformational changes, all of which can impact the biological activity of the product.</w:t>
      </w:r>
    </w:p>
    <w:p w14:paraId="5B1D8BDD" w14:textId="62C485FF" w:rsidR="00C75862" w:rsidRDefault="00C75862" w:rsidP="00066816">
      <w:pPr>
        <w:spacing w:line="480" w:lineRule="auto"/>
        <w:ind w:firstLine="360"/>
        <w:jc w:val="both"/>
        <w:rPr>
          <w:rFonts w:ascii="Times New Roman" w:eastAsiaTheme="minorEastAsia" w:hAnsi="Times New Roman" w:cs="Times New Roman"/>
          <w:sz w:val="24"/>
          <w:szCs w:val="24"/>
          <w:lang w:eastAsia="zh-CN"/>
        </w:rPr>
      </w:pPr>
      <w:r w:rsidRPr="00C75862">
        <w:rPr>
          <w:rFonts w:ascii="Times New Roman" w:eastAsiaTheme="minorEastAsia" w:hAnsi="Times New Roman" w:cs="Times New Roman"/>
          <w:sz w:val="24"/>
          <w:szCs w:val="24"/>
          <w:lang w:eastAsia="zh-CN"/>
        </w:rPr>
        <w:t>One of the most widely used approaches for predicting drug stability is the Arrhenius equation, which assesses the temperature dependence of degradation rates​</w:t>
      </w:r>
      <w:r>
        <w:rPr>
          <w:rFonts w:ascii="Times New Roman" w:eastAsiaTheme="minorEastAsia" w:hAnsi="Times New Roman" w:cs="Times New Roman"/>
          <w:sz w:val="24"/>
          <w:szCs w:val="24"/>
          <w:lang w:eastAsia="zh-CN"/>
        </w:rPr>
        <w:t xml:space="preserve"> </w:t>
      </w:r>
      <w:r w:rsidRPr="00C75862">
        <w:rPr>
          <w:rFonts w:ascii="Times New Roman" w:eastAsiaTheme="minorEastAsia" w:hAnsi="Times New Roman" w:cs="Times New Roman"/>
          <w:sz w:val="24"/>
          <w:szCs w:val="24"/>
          <w:lang w:eastAsia="zh-CN"/>
        </w:rPr>
        <w:t xml:space="preserve">While this model is effective for small molecules, its application to biologics, particularly </w:t>
      </w:r>
      <w:proofErr w:type="spellStart"/>
      <w:r w:rsidRPr="00C75862">
        <w:rPr>
          <w:rFonts w:ascii="Times New Roman" w:eastAsiaTheme="minorEastAsia" w:hAnsi="Times New Roman" w:cs="Times New Roman"/>
          <w:sz w:val="24"/>
          <w:szCs w:val="24"/>
          <w:lang w:eastAsia="zh-CN"/>
        </w:rPr>
        <w:t>mAbs</w:t>
      </w:r>
      <w:proofErr w:type="spellEnd"/>
      <w:r w:rsidRPr="00C75862">
        <w:rPr>
          <w:rFonts w:ascii="Times New Roman" w:eastAsiaTheme="minorEastAsia" w:hAnsi="Times New Roman" w:cs="Times New Roman"/>
          <w:sz w:val="24"/>
          <w:szCs w:val="24"/>
          <w:lang w:eastAsia="zh-CN"/>
        </w:rPr>
        <w:t>, is challenging due to the complexity of protein stability. The conventional Arrhenius model often fails to account for the multifaceted degradation pathways seen in biologics. Despite these challenges,</w:t>
      </w:r>
      <w:r w:rsidR="00B77AFE" w:rsidRPr="00B77AFE">
        <w:t xml:space="preserve"> </w:t>
      </w:r>
      <w:r w:rsidR="00B77AFE">
        <w:rPr>
          <w:rFonts w:ascii="Times New Roman" w:eastAsiaTheme="minorEastAsia" w:hAnsi="Times New Roman" w:cs="Times New Roman"/>
          <w:sz w:val="24"/>
          <w:szCs w:val="24"/>
          <w:lang w:eastAsia="zh-CN"/>
        </w:rPr>
        <w:t>a</w:t>
      </w:r>
      <w:r w:rsidR="00B77AFE" w:rsidRPr="00B77AFE">
        <w:rPr>
          <w:rFonts w:ascii="Times New Roman" w:eastAsiaTheme="minorEastAsia" w:hAnsi="Times New Roman" w:cs="Times New Roman"/>
          <w:sz w:val="24"/>
          <w:szCs w:val="24"/>
          <w:lang w:eastAsia="zh-CN"/>
        </w:rPr>
        <w:t xml:space="preserve"> growing number of literatures demonstrates predictive stability for biologics, where the long-term stability of liquid drug product quality attributes is accurately predicted </w:t>
      </w:r>
      <w:r w:rsidRPr="00C75862">
        <w:rPr>
          <w:rFonts w:ascii="Times New Roman" w:eastAsiaTheme="minorEastAsia" w:hAnsi="Times New Roman" w:cs="Times New Roman"/>
          <w:sz w:val="24"/>
          <w:szCs w:val="24"/>
          <w:lang w:eastAsia="zh-CN"/>
        </w:rPr>
        <w:t xml:space="preserve">using temperature-dependent kinetics, including the application of the Arrhenius equation to </w:t>
      </w:r>
      <w:r w:rsidR="00B77AFE">
        <w:rPr>
          <w:rFonts w:ascii="Times New Roman" w:eastAsiaTheme="minorEastAsia" w:hAnsi="Times New Roman" w:cs="Times New Roman"/>
          <w:sz w:val="24"/>
          <w:szCs w:val="24"/>
          <w:lang w:eastAsia="zh-CN"/>
        </w:rPr>
        <w:t>liquid</w:t>
      </w:r>
      <w:r w:rsidRPr="00C75862">
        <w:rPr>
          <w:rFonts w:ascii="Times New Roman" w:eastAsiaTheme="minorEastAsia" w:hAnsi="Times New Roman" w:cs="Times New Roman"/>
          <w:sz w:val="24"/>
          <w:szCs w:val="24"/>
          <w:lang w:eastAsia="zh-CN"/>
        </w:rPr>
        <w:t xml:space="preserve"> </w:t>
      </w:r>
      <w:proofErr w:type="spellStart"/>
      <w:r w:rsidRPr="00C75862">
        <w:rPr>
          <w:rFonts w:ascii="Times New Roman" w:eastAsiaTheme="minorEastAsia" w:hAnsi="Times New Roman" w:cs="Times New Roman"/>
          <w:sz w:val="24"/>
          <w:szCs w:val="24"/>
          <w:lang w:eastAsia="zh-CN"/>
        </w:rPr>
        <w:t>mAb</w:t>
      </w:r>
      <w:proofErr w:type="spellEnd"/>
      <w:r w:rsidR="00B77AFE">
        <w:rPr>
          <w:rFonts w:ascii="Times New Roman" w:eastAsiaTheme="minorEastAsia" w:hAnsi="Times New Roman" w:cs="Times New Roman"/>
          <w:sz w:val="24"/>
          <w:szCs w:val="24"/>
          <w:lang w:eastAsia="zh-CN"/>
        </w:rPr>
        <w:t xml:space="preserve"> drug products.</w:t>
      </w:r>
      <w:r w:rsidR="00B77AFE" w:rsidRPr="00B77AFE">
        <w:t xml:space="preserve"> </w:t>
      </w:r>
      <w:r w:rsidR="00B77AFE" w:rsidRPr="00B77AFE">
        <w:rPr>
          <w:rFonts w:ascii="Times New Roman" w:eastAsiaTheme="minorEastAsia" w:hAnsi="Times New Roman" w:cs="Times New Roman"/>
          <w:sz w:val="24"/>
          <w:szCs w:val="24"/>
          <w:lang w:eastAsia="zh-CN"/>
        </w:rPr>
        <w:t>(2-4)</w:t>
      </w:r>
    </w:p>
    <w:p w14:paraId="369848AF" w14:textId="3080A4CC" w:rsidR="00C75862" w:rsidRDefault="00C75862" w:rsidP="00066816">
      <w:pPr>
        <w:spacing w:line="480" w:lineRule="auto"/>
        <w:ind w:firstLine="360"/>
        <w:jc w:val="both"/>
      </w:pPr>
      <w:r w:rsidRPr="00C75862">
        <w:rPr>
          <w:rFonts w:ascii="Times New Roman" w:eastAsiaTheme="minorEastAsia" w:hAnsi="Times New Roman" w:cs="Times New Roman"/>
          <w:sz w:val="24"/>
          <w:szCs w:val="24"/>
          <w:lang w:eastAsia="zh-CN"/>
        </w:rPr>
        <w:t>In this study, we build upon previous work by applying a combination of stretched time kinetics and the Arrhenius relationship to predict the long-term stability</w:t>
      </w:r>
      <w:r w:rsidR="00B77AFE">
        <w:rPr>
          <w:rFonts w:ascii="Times New Roman" w:eastAsiaTheme="minorEastAsia" w:hAnsi="Times New Roman" w:cs="Times New Roman"/>
          <w:sz w:val="24"/>
          <w:szCs w:val="24"/>
          <w:lang w:eastAsia="zh-CN"/>
        </w:rPr>
        <w:t xml:space="preserve"> under storage condition and accelerated condition</w:t>
      </w:r>
      <w:r w:rsidRPr="00C75862">
        <w:rPr>
          <w:rFonts w:ascii="Times New Roman" w:eastAsiaTheme="minorEastAsia" w:hAnsi="Times New Roman" w:cs="Times New Roman"/>
          <w:sz w:val="24"/>
          <w:szCs w:val="24"/>
          <w:lang w:eastAsia="zh-CN"/>
        </w:rPr>
        <w:t xml:space="preserve"> of lyophilized </w:t>
      </w:r>
      <w:proofErr w:type="spellStart"/>
      <w:r w:rsidRPr="00C75862">
        <w:rPr>
          <w:rFonts w:ascii="Times New Roman" w:eastAsiaTheme="minorEastAsia" w:hAnsi="Times New Roman" w:cs="Times New Roman"/>
          <w:sz w:val="24"/>
          <w:szCs w:val="24"/>
          <w:lang w:eastAsia="zh-CN"/>
        </w:rPr>
        <w:t>mAb</w:t>
      </w:r>
      <w:proofErr w:type="spellEnd"/>
      <w:r w:rsidRPr="00C75862">
        <w:rPr>
          <w:rFonts w:ascii="Times New Roman" w:eastAsiaTheme="minorEastAsia" w:hAnsi="Times New Roman" w:cs="Times New Roman"/>
          <w:sz w:val="24"/>
          <w:szCs w:val="24"/>
          <w:lang w:eastAsia="zh-CN"/>
        </w:rPr>
        <w:t xml:space="preserve"> formulations. Our analysis focuses on the formation of high molecular weight (HMW) species, specifically dimers, as the primary degradation product under a range of temperature conditions (5 °C to 50 °C). By integrating stretched time kinetics into the Arrhenius model, we offer a robust method for predicting long-term stability </w:t>
      </w:r>
      <w:r w:rsidR="009E3C25">
        <w:rPr>
          <w:rFonts w:ascii="Times New Roman" w:eastAsiaTheme="minorEastAsia" w:hAnsi="Times New Roman" w:cs="Times New Roman"/>
          <w:sz w:val="24"/>
          <w:szCs w:val="24"/>
          <w:lang w:eastAsia="zh-CN"/>
        </w:rPr>
        <w:t xml:space="preserve">under both storage </w:t>
      </w:r>
      <w:r w:rsidR="009E3C25">
        <w:rPr>
          <w:rFonts w:ascii="Times New Roman" w:eastAsiaTheme="minorEastAsia" w:hAnsi="Times New Roman" w:cs="Times New Roman"/>
          <w:sz w:val="24"/>
          <w:szCs w:val="24"/>
          <w:lang w:eastAsia="zh-CN"/>
        </w:rPr>
        <w:lastRenderedPageBreak/>
        <w:t xml:space="preserve">and acerated conditions </w:t>
      </w:r>
      <w:r w:rsidRPr="00C75862">
        <w:rPr>
          <w:rFonts w:ascii="Times New Roman" w:eastAsiaTheme="minorEastAsia" w:hAnsi="Times New Roman" w:cs="Times New Roman"/>
          <w:sz w:val="24"/>
          <w:szCs w:val="24"/>
          <w:lang w:eastAsia="zh-CN"/>
        </w:rPr>
        <w:t xml:space="preserve">based on short-term stability </w:t>
      </w:r>
      <w:r w:rsidR="009E3C25">
        <w:rPr>
          <w:rFonts w:ascii="Times New Roman" w:eastAsiaTheme="minorEastAsia" w:hAnsi="Times New Roman" w:cs="Times New Roman"/>
          <w:sz w:val="24"/>
          <w:szCs w:val="24"/>
          <w:lang w:eastAsia="zh-CN"/>
        </w:rPr>
        <w:t>data</w:t>
      </w:r>
      <w:r w:rsidRPr="00C75862">
        <w:rPr>
          <w:rFonts w:ascii="Times New Roman" w:eastAsiaTheme="minorEastAsia" w:hAnsi="Times New Roman" w:cs="Times New Roman"/>
          <w:sz w:val="24"/>
          <w:szCs w:val="24"/>
          <w:lang w:eastAsia="zh-CN"/>
        </w:rPr>
        <w:t>, providing an invaluable tool for early-stage product development.</w:t>
      </w:r>
      <w:r w:rsidR="009E3C25" w:rsidRPr="009E3C25">
        <w:t xml:space="preserve"> </w:t>
      </w:r>
    </w:p>
    <w:p w14:paraId="0A864938" w14:textId="77777777" w:rsidR="006504A3" w:rsidRDefault="006504A3" w:rsidP="006504A3">
      <w:pPr>
        <w:pStyle w:val="1"/>
        <w:spacing w:after="240"/>
        <w:rPr>
          <w:rFonts w:ascii="Times New Roman" w:hAnsi="Times New Roman" w:cs="Times New Roman"/>
          <w:b/>
          <w:bCs/>
          <w:color w:val="auto"/>
          <w:lang w:eastAsia="zh-CN"/>
        </w:rPr>
      </w:pPr>
      <w:r>
        <w:rPr>
          <w:rFonts w:ascii="Times New Roman" w:hAnsi="Times New Roman" w:cs="Times New Roman"/>
          <w:b/>
          <w:bCs/>
          <w:color w:val="auto"/>
          <w:lang w:eastAsia="zh-CN"/>
        </w:rPr>
        <w:t>2. Materials and Methods</w:t>
      </w:r>
    </w:p>
    <w:p w14:paraId="5CB39FAA" w14:textId="77777777" w:rsidR="006504A3" w:rsidRDefault="006504A3" w:rsidP="006504A3">
      <w:pPr>
        <w:pStyle w:val="2"/>
        <w:spacing w:after="240"/>
        <w:rPr>
          <w:rFonts w:ascii="Times New Roman" w:hAnsi="Times New Roman" w:cs="Times New Roman"/>
          <w:b/>
          <w:bCs/>
          <w:color w:val="auto"/>
          <w:lang w:eastAsia="zh-CN"/>
        </w:rPr>
      </w:pPr>
      <w:r>
        <w:rPr>
          <w:rFonts w:ascii="Times New Roman" w:hAnsi="Times New Roman" w:cs="Times New Roman"/>
          <w:b/>
          <w:bCs/>
          <w:color w:val="auto"/>
          <w:lang w:eastAsia="zh-CN"/>
        </w:rPr>
        <w:t>2.1 Reagents and chemicals</w:t>
      </w:r>
    </w:p>
    <w:p w14:paraId="7201310B" w14:textId="77777777" w:rsidR="006504A3" w:rsidRDefault="006504A3" w:rsidP="006504A3">
      <w:pPr>
        <w:spacing w:line="480" w:lineRule="auto"/>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Monoclonal antibodies were manufactured by Regeneron Pharmaceuticals Inc. (Tarrytown, NY). Sodium chloride, sodium phosphate monobasic, and dibasic were sourced from J.T. Baker (Phillipsburg, NJ, USA). Sodium perchlorate and urea were obtained from Sigma (St. Louis, MO, USA), while histidine and histidine hydrochloride monohydrate were supplied by Ajinomoto (Eddyville, IA). Sucrose was procured from Ferro </w:t>
      </w:r>
      <w:proofErr w:type="spellStart"/>
      <w:r>
        <w:rPr>
          <w:rFonts w:ascii="Times New Roman" w:eastAsiaTheme="minorEastAsia" w:hAnsi="Times New Roman" w:cs="Times New Roman"/>
          <w:sz w:val="24"/>
          <w:szCs w:val="24"/>
          <w:lang w:eastAsia="zh-CN"/>
        </w:rPr>
        <w:t>Pfanstiehl</w:t>
      </w:r>
      <w:proofErr w:type="spellEnd"/>
      <w:r>
        <w:rPr>
          <w:rFonts w:ascii="Times New Roman" w:eastAsiaTheme="minorEastAsia" w:hAnsi="Times New Roman" w:cs="Times New Roman"/>
          <w:sz w:val="24"/>
          <w:szCs w:val="24"/>
          <w:lang w:eastAsia="zh-CN"/>
        </w:rPr>
        <w:t xml:space="preserve"> (Waukegan, IL), and polysorbate 80 was purchased from Avantor (Phillipsburg, NJ). All reagents were of analytical grade or higher.</w:t>
      </w:r>
    </w:p>
    <w:p w14:paraId="32C36F9A" w14:textId="77777777" w:rsidR="006504A3" w:rsidRDefault="006504A3" w:rsidP="006504A3">
      <w:pPr>
        <w:pStyle w:val="2"/>
        <w:spacing w:after="240"/>
        <w:rPr>
          <w:rFonts w:ascii="Times New Roman" w:hAnsi="Times New Roman" w:cs="Times New Roman"/>
          <w:b/>
          <w:bCs/>
          <w:color w:val="auto"/>
          <w:lang w:eastAsia="zh-CN"/>
        </w:rPr>
      </w:pPr>
      <w:r>
        <w:rPr>
          <w:rFonts w:ascii="Times New Roman" w:hAnsi="Times New Roman" w:cs="Times New Roman"/>
          <w:b/>
          <w:bCs/>
          <w:color w:val="auto"/>
          <w:lang w:eastAsia="zh-CN"/>
        </w:rPr>
        <w:t>2.2 Stability studies</w:t>
      </w:r>
    </w:p>
    <w:p w14:paraId="0E9D437C" w14:textId="77777777" w:rsidR="006504A3" w:rsidRDefault="006504A3" w:rsidP="006504A3">
      <w:pPr>
        <w:spacing w:line="480" w:lineRule="auto"/>
        <w:jc w:val="both"/>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The monoclonal antibody drug products, including IgG1, IgG4, and bispecific antibodies, were formulated at a concentration of 50 mg/mL in 10 mM histidine (pH 6.0), 5% sucrose, and 0.1% (w/v) polysorbate 80. The formulations were filled into glass vials and subjected to lyophilization under standard lyophilization cycles (details not shown), using an FTS </w:t>
      </w:r>
      <w:proofErr w:type="spellStart"/>
      <w:r>
        <w:rPr>
          <w:rFonts w:ascii="Times New Roman" w:eastAsiaTheme="minorEastAsia" w:hAnsi="Times New Roman" w:cs="Times New Roman"/>
          <w:sz w:val="24"/>
          <w:szCs w:val="24"/>
          <w:lang w:eastAsia="zh-CN"/>
        </w:rPr>
        <w:t>LyoStar</w:t>
      </w:r>
      <w:proofErr w:type="spellEnd"/>
      <w:r>
        <w:rPr>
          <w:rFonts w:ascii="Times New Roman" w:eastAsiaTheme="minorEastAsia" w:hAnsi="Times New Roman" w:cs="Times New Roman"/>
          <w:sz w:val="24"/>
          <w:szCs w:val="24"/>
          <w:lang w:eastAsia="zh-CN"/>
        </w:rPr>
        <w:t xml:space="preserve">™ III </w:t>
      </w:r>
      <w:proofErr w:type="spellStart"/>
      <w:r>
        <w:rPr>
          <w:rFonts w:ascii="Times New Roman" w:eastAsiaTheme="minorEastAsia" w:hAnsi="Times New Roman" w:cs="Times New Roman"/>
          <w:sz w:val="24"/>
          <w:szCs w:val="24"/>
          <w:lang w:eastAsia="zh-CN"/>
        </w:rPr>
        <w:t>lyophilizer</w:t>
      </w:r>
      <w:proofErr w:type="spellEnd"/>
      <w:r>
        <w:rPr>
          <w:rFonts w:ascii="Times New Roman" w:eastAsiaTheme="minorEastAsia" w:hAnsi="Times New Roman" w:cs="Times New Roman"/>
          <w:sz w:val="24"/>
          <w:szCs w:val="24"/>
          <w:lang w:eastAsia="zh-CN"/>
        </w:rPr>
        <w:t>. The lyophilized drug products exhibited less than 1% residual moisture and acceptable cake appearance.</w:t>
      </w:r>
    </w:p>
    <w:p w14:paraId="2CFEB3C1" w14:textId="3EE28903" w:rsidR="006504A3" w:rsidRDefault="006504A3" w:rsidP="006504A3">
      <w:pPr>
        <w:spacing w:line="480" w:lineRule="auto"/>
        <w:jc w:val="both"/>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Post-lyophilization, the vials were stored at the recommended long-term storage condition of 5 °C for up to 36 months. In addition to this, accelerated stability studies were conducted at 25 °C, while stress stability studies were performed at elevated temperatures of 40 °C, 45 °C, or 50 °C. Samples were analyzed at predefined intervals (1, 3, 6, 9, 12, 18, 24, and 36 months). Prior to analysis, the </w:t>
      </w:r>
      <w:r>
        <w:rPr>
          <w:rFonts w:ascii="Times New Roman" w:eastAsiaTheme="minorEastAsia" w:hAnsi="Times New Roman" w:cs="Times New Roman"/>
          <w:sz w:val="24"/>
          <w:szCs w:val="24"/>
          <w:lang w:eastAsia="zh-CN"/>
        </w:rPr>
        <w:lastRenderedPageBreak/>
        <w:t>lyophilized drug products were reconstituted with sterile water for injection (WFI) to a concentration of 50 mg/</w:t>
      </w:r>
      <w:proofErr w:type="spellStart"/>
      <w:r>
        <w:rPr>
          <w:rFonts w:ascii="Times New Roman" w:eastAsiaTheme="minorEastAsia" w:hAnsi="Times New Roman" w:cs="Times New Roman"/>
          <w:sz w:val="24"/>
          <w:szCs w:val="24"/>
          <w:lang w:eastAsia="zh-CN"/>
        </w:rPr>
        <w:t>mL.</w:t>
      </w:r>
      <w:proofErr w:type="spellEnd"/>
    </w:p>
    <w:p w14:paraId="4242CED3" w14:textId="0FC6EE56" w:rsidR="006504A3" w:rsidRDefault="006504A3" w:rsidP="006504A3">
      <w:pPr>
        <w:spacing w:line="480" w:lineRule="auto"/>
        <w:jc w:val="both"/>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In accordance with ICH guidelines, real-time storage conditions (5 °C), accelerated conditions (25 °C), and stress conditions (40 °C </w:t>
      </w:r>
      <w:r>
        <w:rPr>
          <w:rFonts w:ascii="Times New Roman" w:eastAsiaTheme="minorEastAsia" w:hAnsi="Times New Roman" w:cs="Times New Roman"/>
          <w:sz w:val="24"/>
          <w:szCs w:val="24"/>
          <w:lang w:eastAsia="zh-CN"/>
        </w:rPr>
        <w:t>or/a</w:t>
      </w:r>
      <w:r>
        <w:rPr>
          <w:rFonts w:ascii="Times New Roman" w:eastAsiaTheme="minorEastAsia" w:hAnsi="Times New Roman" w:cs="Times New Roman"/>
          <w:sz w:val="24"/>
          <w:szCs w:val="24"/>
          <w:lang w:eastAsia="zh-CN"/>
        </w:rPr>
        <w:t xml:space="preserve">nd </w:t>
      </w:r>
      <w:r>
        <w:rPr>
          <w:rFonts w:ascii="Times New Roman" w:eastAsiaTheme="minorEastAsia" w:hAnsi="Times New Roman" w:cs="Times New Roman"/>
          <w:sz w:val="24"/>
          <w:szCs w:val="24"/>
          <w:lang w:eastAsia="zh-CN"/>
        </w:rPr>
        <w:t>5</w:t>
      </w:r>
      <w:r>
        <w:rPr>
          <w:rFonts w:ascii="Times New Roman" w:eastAsiaTheme="minorEastAsia" w:hAnsi="Times New Roman" w:cs="Times New Roman"/>
          <w:sz w:val="24"/>
          <w:szCs w:val="24"/>
          <w:lang w:eastAsia="zh-CN"/>
        </w:rPr>
        <w:t xml:space="preserve">0 °C) were utilized for the stability studies. For the purposes of this </w:t>
      </w:r>
      <w:r w:rsidR="000D748F">
        <w:rPr>
          <w:rFonts w:ascii="Times New Roman" w:eastAsiaTheme="minorEastAsia" w:hAnsi="Times New Roman" w:cs="Times New Roman"/>
          <w:sz w:val="24"/>
          <w:szCs w:val="24"/>
          <w:lang w:eastAsia="zh-CN"/>
        </w:rPr>
        <w:t>study, 5</w:t>
      </w:r>
      <w:r>
        <w:rPr>
          <w:rFonts w:ascii="Times New Roman" w:eastAsiaTheme="minorEastAsia" w:hAnsi="Times New Roman" w:cs="Times New Roman"/>
          <w:sz w:val="24"/>
          <w:szCs w:val="24"/>
          <w:lang w:eastAsia="zh-CN"/>
        </w:rPr>
        <w:t xml:space="preserve"> °C is referred to </w:t>
      </w:r>
      <w:r w:rsidR="000D748F">
        <w:rPr>
          <w:rFonts w:ascii="Times New Roman" w:eastAsiaTheme="minorEastAsia" w:hAnsi="Times New Roman" w:cs="Times New Roman"/>
          <w:sz w:val="24"/>
          <w:szCs w:val="24"/>
          <w:lang w:eastAsia="zh-CN"/>
        </w:rPr>
        <w:t xml:space="preserve">storage condition and </w:t>
      </w:r>
      <w:r w:rsidR="000D748F">
        <w:rPr>
          <w:rFonts w:ascii="Times New Roman" w:eastAsiaTheme="minorEastAsia" w:hAnsi="Times New Roman" w:cs="Times New Roman"/>
          <w:sz w:val="24"/>
          <w:szCs w:val="24"/>
          <w:lang w:eastAsia="zh-CN"/>
        </w:rPr>
        <w:t>25 °C</w:t>
      </w:r>
      <w:r w:rsidR="000D748F">
        <w:rPr>
          <w:rFonts w:ascii="Times New Roman" w:eastAsiaTheme="minorEastAsia" w:hAnsi="Times New Roman" w:cs="Times New Roman"/>
          <w:sz w:val="24"/>
          <w:szCs w:val="24"/>
          <w:lang w:eastAsia="zh-CN"/>
        </w:rPr>
        <w:t xml:space="preserve"> is referred to accelerated condition.</w:t>
      </w:r>
    </w:p>
    <w:p w14:paraId="18055B15" w14:textId="77777777" w:rsidR="006504A3" w:rsidRDefault="006504A3" w:rsidP="006504A3">
      <w:pPr>
        <w:pStyle w:val="2"/>
        <w:spacing w:after="240"/>
        <w:rPr>
          <w:rFonts w:ascii="Times New Roman" w:hAnsi="Times New Roman" w:cs="Times New Roman"/>
          <w:b/>
          <w:bCs/>
          <w:color w:val="auto"/>
          <w:lang w:eastAsia="zh-CN"/>
        </w:rPr>
      </w:pPr>
      <w:r>
        <w:rPr>
          <w:rFonts w:ascii="Times New Roman" w:hAnsi="Times New Roman" w:cs="Times New Roman"/>
          <w:b/>
          <w:bCs/>
          <w:color w:val="auto"/>
          <w:lang w:eastAsia="zh-CN"/>
        </w:rPr>
        <w:t>2.3 SE–UPLC</w:t>
      </w:r>
    </w:p>
    <w:p w14:paraId="2083F3B9" w14:textId="77777777" w:rsidR="006504A3" w:rsidRDefault="006504A3" w:rsidP="006504A3">
      <w:pPr>
        <w:spacing w:line="480" w:lineRule="auto"/>
        <w:jc w:val="both"/>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Size-exclusion chromatography (SEC) was performed using a Waters </w:t>
      </w:r>
      <w:proofErr w:type="spellStart"/>
      <w:r>
        <w:rPr>
          <w:rFonts w:ascii="Times New Roman" w:eastAsiaTheme="minorEastAsia" w:hAnsi="Times New Roman" w:cs="Times New Roman"/>
          <w:sz w:val="24"/>
          <w:szCs w:val="24"/>
          <w:lang w:eastAsia="zh-CN"/>
        </w:rPr>
        <w:t>Acquity</w:t>
      </w:r>
      <w:proofErr w:type="spellEnd"/>
      <w:r>
        <w:rPr>
          <w:rFonts w:ascii="Times New Roman" w:eastAsiaTheme="minorEastAsia" w:hAnsi="Times New Roman" w:cs="Times New Roman"/>
          <w:sz w:val="24"/>
          <w:szCs w:val="24"/>
          <w:lang w:eastAsia="zh-CN"/>
        </w:rPr>
        <w:t xml:space="preserve"> Ultra-Performance Liquid Chromatography (UPLC) system equipped with UV detection at 280 nm. The chromatographic separation was achieved using an ACQUITY UPLC BEH200 SEC 1.7 </w:t>
      </w:r>
      <w:proofErr w:type="spellStart"/>
      <w:r>
        <w:rPr>
          <w:rFonts w:ascii="Times New Roman" w:eastAsiaTheme="minorEastAsia" w:hAnsi="Times New Roman" w:cs="Times New Roman"/>
          <w:sz w:val="24"/>
          <w:szCs w:val="24"/>
          <w:lang w:eastAsia="zh-CN"/>
        </w:rPr>
        <w:t>μm</w:t>
      </w:r>
      <w:proofErr w:type="spellEnd"/>
      <w:r>
        <w:rPr>
          <w:rFonts w:ascii="Times New Roman" w:eastAsiaTheme="minorEastAsia" w:hAnsi="Times New Roman" w:cs="Times New Roman"/>
          <w:sz w:val="24"/>
          <w:szCs w:val="24"/>
          <w:lang w:eastAsia="zh-CN"/>
        </w:rPr>
        <w:t xml:space="preserve"> 4.6 × 300 mm column (Waters cat. #186005226). The mobile phase consisted of 10 mM phosphate buffer with either 1 M sodium perchlorate or sodium chloride at pH 7.0. The flow rate was set at 0.4 mL/min with a total run time of 12 minutes. The high molecular weight (HMW) species, low molecular weight (LMW) species, and main peak were each integrated as distinct size variant groups.</w:t>
      </w:r>
    </w:p>
    <w:p w14:paraId="0129B170" w14:textId="77777777" w:rsidR="006504A3" w:rsidRDefault="006504A3" w:rsidP="006504A3">
      <w:pPr>
        <w:spacing w:line="480" w:lineRule="auto"/>
        <w:rPr>
          <w:rFonts w:ascii="Times New Roman" w:eastAsiaTheme="minorEastAsia" w:hAnsi="Times New Roman" w:cs="Times New Roman"/>
          <w:sz w:val="24"/>
          <w:szCs w:val="24"/>
          <w:lang w:eastAsia="zh-CN"/>
        </w:rPr>
      </w:pPr>
      <w:r>
        <w:rPr>
          <w:rFonts w:ascii="Times New Roman" w:hAnsi="Times New Roman" w:cs="Times New Roman"/>
          <w:b/>
          <w:bCs/>
          <w:lang w:eastAsia="zh-CN"/>
        </w:rPr>
        <w:t xml:space="preserve">2.4 </w:t>
      </w:r>
      <w:r>
        <w:rPr>
          <w:rFonts w:ascii="Times New Roman" w:hAnsi="Times New Roman" w:cs="Times New Roman"/>
          <w:b/>
          <w:bCs/>
          <w:sz w:val="24"/>
          <w:szCs w:val="24"/>
          <w:lang w:eastAsia="zh-CN"/>
        </w:rPr>
        <w:t>Data modeling and prediction</w:t>
      </w:r>
    </w:p>
    <w:p w14:paraId="3788D620" w14:textId="5BF82D89" w:rsidR="006504A3" w:rsidRDefault="006504A3" w:rsidP="006504A3">
      <w:pPr>
        <w:spacing w:after="0" w:line="480" w:lineRule="auto"/>
        <w:jc w:val="both"/>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Aggregation was monitored using the SE-UPLC method, with the total percentage of aggregates being calculated. Across all formulations and time points, dimers were identified as the predominant species among the aggregates. SE-UPLC overlay chromatograms indicated minimal fragmentation, regardless of temperature or IgG subclass types (</w:t>
      </w:r>
      <w:r>
        <w:rPr>
          <w:rFonts w:ascii="Times New Roman" w:eastAsiaTheme="minorEastAsia" w:hAnsi="Times New Roman" w:cs="Times New Roman"/>
          <w:sz w:val="24"/>
          <w:szCs w:val="24"/>
          <w:lang w:eastAsia="zh-CN"/>
        </w:rPr>
        <w:fldChar w:fldCharType="begin"/>
      </w:r>
      <w:r>
        <w:rPr>
          <w:rFonts w:ascii="Times New Roman" w:eastAsiaTheme="minorEastAsia" w:hAnsi="Times New Roman" w:cs="Times New Roman"/>
          <w:sz w:val="24"/>
          <w:szCs w:val="24"/>
          <w:lang w:eastAsia="zh-CN"/>
        </w:rPr>
        <w:instrText xml:space="preserve"> REF _Ref147395205 \h  \* MERGEFORMAT </w:instrText>
      </w:r>
      <w:r>
        <w:rPr>
          <w:rFonts w:ascii="Times New Roman" w:eastAsiaTheme="minorEastAsia" w:hAnsi="Times New Roman" w:cs="Times New Roman"/>
          <w:sz w:val="24"/>
          <w:szCs w:val="24"/>
          <w:lang w:eastAsia="zh-CN"/>
        </w:rPr>
      </w:r>
      <w:r>
        <w:rPr>
          <w:rFonts w:ascii="Times New Roman" w:eastAsiaTheme="minorEastAsia" w:hAnsi="Times New Roman" w:cs="Times New Roman"/>
          <w:sz w:val="24"/>
          <w:szCs w:val="24"/>
          <w:lang w:eastAsia="zh-CN"/>
        </w:rPr>
        <w:fldChar w:fldCharType="separate"/>
      </w:r>
      <w:r>
        <w:rPr>
          <w:rFonts w:ascii="Times New Roman" w:hAnsi="Times New Roman" w:cs="Times New Roman"/>
          <w:i/>
          <w:iCs/>
        </w:rPr>
        <w:t xml:space="preserve">Figure S </w:t>
      </w:r>
      <w:r>
        <w:rPr>
          <w:rFonts w:ascii="Times New Roman" w:hAnsi="Times New Roman" w:cs="Times New Roman"/>
          <w:i/>
          <w:iCs/>
          <w:noProof/>
        </w:rPr>
        <w:t>1</w:t>
      </w:r>
      <w:r>
        <w:rPr>
          <w:rFonts w:ascii="Times New Roman" w:eastAsiaTheme="minorEastAsia" w:hAnsi="Times New Roman" w:cs="Times New Roman"/>
          <w:sz w:val="24"/>
          <w:szCs w:val="24"/>
          <w:lang w:eastAsia="zh-CN"/>
        </w:rPr>
        <w:fldChar w:fldCharType="end"/>
      </w:r>
      <w:r>
        <w:rPr>
          <w:rFonts w:ascii="Times New Roman" w:eastAsiaTheme="minorEastAsia" w:hAnsi="Times New Roman" w:cs="Times New Roman"/>
          <w:sz w:val="24"/>
          <w:szCs w:val="24"/>
          <w:lang w:eastAsia="zh-CN"/>
        </w:rPr>
        <w:t xml:space="preserve"> and </w:t>
      </w:r>
      <w:r>
        <w:rPr>
          <w:rFonts w:ascii="Times New Roman" w:eastAsiaTheme="minorEastAsia" w:hAnsi="Times New Roman" w:cs="Times New Roman"/>
          <w:sz w:val="24"/>
          <w:szCs w:val="24"/>
          <w:lang w:eastAsia="zh-CN"/>
        </w:rPr>
        <w:fldChar w:fldCharType="begin"/>
      </w:r>
      <w:r>
        <w:rPr>
          <w:rFonts w:ascii="Times New Roman" w:eastAsiaTheme="minorEastAsia" w:hAnsi="Times New Roman" w:cs="Times New Roman"/>
          <w:sz w:val="24"/>
          <w:szCs w:val="24"/>
          <w:lang w:eastAsia="zh-CN"/>
        </w:rPr>
        <w:instrText xml:space="preserve"> REF _Ref147395206 \h  \* MERGEFORMAT </w:instrText>
      </w:r>
      <w:r>
        <w:rPr>
          <w:rFonts w:ascii="Times New Roman" w:eastAsiaTheme="minorEastAsia" w:hAnsi="Times New Roman" w:cs="Times New Roman"/>
          <w:sz w:val="24"/>
          <w:szCs w:val="24"/>
          <w:lang w:eastAsia="zh-CN"/>
        </w:rPr>
      </w:r>
      <w:r>
        <w:rPr>
          <w:rFonts w:ascii="Times New Roman" w:eastAsiaTheme="minorEastAsia" w:hAnsi="Times New Roman" w:cs="Times New Roman"/>
          <w:sz w:val="24"/>
          <w:szCs w:val="24"/>
          <w:lang w:eastAsia="zh-CN"/>
        </w:rPr>
        <w:fldChar w:fldCharType="separate"/>
      </w:r>
      <w:r>
        <w:rPr>
          <w:rFonts w:ascii="Times New Roman" w:hAnsi="Times New Roman" w:cs="Times New Roman"/>
        </w:rPr>
        <w:t xml:space="preserve">Figure S </w:t>
      </w:r>
      <w:r>
        <w:rPr>
          <w:rFonts w:ascii="Times New Roman" w:hAnsi="Times New Roman" w:cs="Times New Roman"/>
          <w:i/>
          <w:iCs/>
          <w:noProof/>
        </w:rPr>
        <w:t>2</w:t>
      </w:r>
      <w:r>
        <w:rPr>
          <w:rFonts w:ascii="Times New Roman" w:eastAsiaTheme="minorEastAsia" w:hAnsi="Times New Roman" w:cs="Times New Roman"/>
          <w:sz w:val="24"/>
          <w:szCs w:val="24"/>
          <w:lang w:eastAsia="zh-CN"/>
        </w:rPr>
        <w:fldChar w:fldCharType="end"/>
      </w:r>
      <w:r>
        <w:rPr>
          <w:rFonts w:ascii="Times New Roman" w:eastAsiaTheme="minorEastAsia" w:hAnsi="Times New Roman" w:cs="Times New Roman"/>
          <w:sz w:val="24"/>
          <w:szCs w:val="24"/>
          <w:lang w:eastAsia="zh-CN"/>
        </w:rPr>
        <w:t xml:space="preserve">). As a result, only the percentage of total HMW species was considered in </w:t>
      </w:r>
      <w:r w:rsidR="000D748F">
        <w:rPr>
          <w:rFonts w:ascii="Times New Roman" w:eastAsiaTheme="minorEastAsia" w:hAnsi="Times New Roman" w:cs="Times New Roman"/>
          <w:sz w:val="24"/>
          <w:szCs w:val="24"/>
          <w:lang w:eastAsia="zh-CN"/>
        </w:rPr>
        <w:t>kinetic</w:t>
      </w:r>
      <w:r>
        <w:rPr>
          <w:rFonts w:ascii="Times New Roman" w:eastAsiaTheme="minorEastAsia" w:hAnsi="Times New Roman" w:cs="Times New Roman"/>
          <w:sz w:val="24"/>
          <w:szCs w:val="24"/>
          <w:lang w:eastAsia="zh-CN"/>
        </w:rPr>
        <w:t xml:space="preserve"> modeling.</w:t>
      </w:r>
    </w:p>
    <w:p w14:paraId="178B6B8F" w14:textId="77777777" w:rsidR="006504A3" w:rsidRDefault="006504A3" w:rsidP="006504A3">
      <w:pPr>
        <w:spacing w:after="0" w:line="480" w:lineRule="auto"/>
        <w:jc w:val="both"/>
        <w:rPr>
          <w:rFonts w:ascii="Times New Roman" w:eastAsiaTheme="minorEastAsia" w:hAnsi="Times New Roman" w:cs="Times New Roman"/>
          <w:sz w:val="24"/>
          <w:szCs w:val="24"/>
          <w:lang w:eastAsia="zh-CN"/>
        </w:rPr>
      </w:pPr>
    </w:p>
    <w:p w14:paraId="5AAA1B66" w14:textId="77777777" w:rsidR="006504A3" w:rsidRDefault="006504A3" w:rsidP="006504A3">
      <w:pPr>
        <w:spacing w:after="0" w:line="480" w:lineRule="auto"/>
        <w:jc w:val="both"/>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lastRenderedPageBreak/>
        <w:t>The stretched time kinetic model, as described by Pikal</w:t>
      </w:r>
      <w:r>
        <w:rPr>
          <w:rFonts w:ascii="Times New Roman" w:eastAsiaTheme="minorEastAsia" w:hAnsi="Times New Roman" w:cs="Times New Roman"/>
          <w:sz w:val="24"/>
          <w:szCs w:val="24"/>
          <w:lang w:eastAsia="zh-CN"/>
        </w:rPr>
        <w:fldChar w:fldCharType="begin"/>
      </w:r>
      <w:r>
        <w:rPr>
          <w:rFonts w:ascii="Times New Roman" w:eastAsiaTheme="minorEastAsia" w:hAnsi="Times New Roman" w:cs="Times New Roman"/>
          <w:sz w:val="24"/>
          <w:szCs w:val="24"/>
          <w:lang w:eastAsia="zh-CN"/>
        </w:rPr>
        <w:instrText xml:space="preserve"> ADDIN EN.CITE &lt;EndNote&gt;&lt;Cite&gt;&lt;Author&gt;Wang&lt;/Author&gt;&lt;Year&gt;2009&lt;/Year&gt;&lt;RecNum&gt;7&lt;/RecNum&gt;&lt;DisplayText&gt;(1)&lt;/DisplayText&gt;&lt;record&gt;&lt;rec-number&gt;7&lt;/rec-number&gt;&lt;foreign-keys&gt;&lt;key app="EN" db-id="rrasaevabee0zoevtrzxpz97s2vpdfzdp9z9" timestamp="1614003799"&gt;7&lt;/key&gt;&lt;/foreign-keys&gt;&lt;ref-type name="Journal Article"&gt;17&lt;/ref-type&gt;&lt;contributors&gt;&lt;authors&gt;&lt;author&gt;Wang, Bingquan&lt;/author&gt;&lt;author&gt;Tchessalov, Serguei&lt;/author&gt;&lt;author&gt;Cicerone, Marcus T.&lt;/author&gt;&lt;author&gt;Warne, Nicholas W.&lt;/author&gt;&lt;author&gt;Pikal, Michael J.&lt;/author&gt;&lt;/authors&gt;&lt;/contributors&gt;&lt;titles&gt;&lt;title&gt;Impact of sucrose level on storage stability of proteins in freeze-dried solids: II. Correlation of aggregation rate with protein structure and molecular mobility *&lt;/title&gt;&lt;secondary-title&gt;Journal of Pharmaceutical Sciences&lt;/secondary-title&gt;&lt;/titles&gt;&lt;periodical&gt;&lt;full-title&gt;Journal of Pharmaceutical Sciences&lt;/full-title&gt;&lt;/periodical&gt;&lt;pages&gt;3145-3166&lt;/pages&gt;&lt;volume&gt;98&lt;/volume&gt;&lt;number&gt;9&lt;/number&gt;&lt;dates&gt;&lt;year&gt;2009&lt;/year&gt;&lt;/dates&gt;&lt;publisher&gt;Elsevier&lt;/publisher&gt;&lt;isbn&gt;0022-3549&lt;/isbn&gt;&lt;urls&gt;&lt;related-urls&gt;&lt;url&gt;https://doi.org/10.1002/jps.21622&lt;/url&gt;&lt;/related-urls&gt;&lt;/urls&gt;&lt;electronic-resource-num&gt;10.1002/jps.21622&lt;/electronic-resource-num&gt;&lt;access-date&gt;2021/02/22&lt;/access-date&gt;&lt;/record&gt;&lt;/Cite&gt;&lt;/EndNote&gt;</w:instrText>
      </w:r>
      <w:r>
        <w:rPr>
          <w:rFonts w:ascii="Times New Roman" w:eastAsiaTheme="minorEastAsia" w:hAnsi="Times New Roman" w:cs="Times New Roman"/>
          <w:sz w:val="24"/>
          <w:szCs w:val="24"/>
          <w:lang w:eastAsia="zh-CN"/>
        </w:rPr>
        <w:fldChar w:fldCharType="separate"/>
      </w:r>
      <w:r>
        <w:rPr>
          <w:rFonts w:ascii="Times New Roman" w:eastAsiaTheme="minorEastAsia" w:hAnsi="Times New Roman" w:cs="Times New Roman"/>
          <w:noProof/>
          <w:sz w:val="24"/>
          <w:szCs w:val="24"/>
          <w:lang w:eastAsia="zh-CN"/>
        </w:rPr>
        <w:t>(1)</w:t>
      </w:r>
      <w:r>
        <w:rPr>
          <w:rFonts w:ascii="Times New Roman" w:eastAsiaTheme="minorEastAsia" w:hAnsi="Times New Roman" w:cs="Times New Roman"/>
          <w:sz w:val="24"/>
          <w:szCs w:val="24"/>
          <w:lang w:eastAsia="zh-CN"/>
        </w:rPr>
        <w:fldChar w:fldCharType="end"/>
      </w:r>
      <w:r>
        <w:rPr>
          <w:rFonts w:ascii="Times New Roman" w:eastAsiaTheme="minorEastAsia" w:hAnsi="Times New Roman" w:cs="Times New Roman"/>
          <w:sz w:val="24"/>
          <w:szCs w:val="24"/>
          <w:lang w:eastAsia="zh-CN"/>
        </w:rPr>
        <w:t xml:space="preserve">., was employed to model the HMW formation in the lyophilized formulations. The relationship is described by the following equation: </w:t>
      </w:r>
    </w:p>
    <w:p w14:paraId="4AE9F8B6" w14:textId="77777777" w:rsidR="006504A3" w:rsidRDefault="006504A3" w:rsidP="006504A3">
      <w:pPr>
        <w:spacing w:after="0" w:line="480" w:lineRule="auto"/>
        <w:jc w:val="both"/>
        <w:rPr>
          <w:rFonts w:ascii="Times New Roman" w:eastAsiaTheme="minorEastAsia" w:hAnsi="Times New Roman" w:cs="Times New Roman"/>
          <w:sz w:val="24"/>
          <w:szCs w:val="24"/>
          <w:lang w:eastAsia="zh-CN"/>
        </w:rPr>
      </w:pPr>
    </w:p>
    <w:p w14:paraId="0CF74419" w14:textId="77777777" w:rsidR="006504A3" w:rsidRDefault="006504A3" w:rsidP="006504A3">
      <w:pPr>
        <w:pStyle w:val="ac"/>
        <w:spacing w:line="480" w:lineRule="auto"/>
        <w:jc w:val="center"/>
        <w:rPr>
          <w:rFonts w:ascii="Times New Roman" w:eastAsiaTheme="minorEastAsia" w:hAnsi="Times New Roman" w:cs="Times New Roman"/>
          <w:color w:val="auto"/>
          <w:sz w:val="24"/>
          <w:szCs w:val="24"/>
          <w:lang w:eastAsia="zh-CN"/>
        </w:rPr>
      </w:pPr>
      <w:bookmarkStart w:id="0" w:name="_Ref147395306"/>
      <w:bookmarkStart w:id="1" w:name="_Ref147395399"/>
      <m:oMath>
        <m:r>
          <w:rPr>
            <w:rFonts w:ascii="Cambria Math" w:eastAsiaTheme="minorEastAsia" w:hAnsi="Cambria Math" w:cs="Times New Roman"/>
            <w:color w:val="auto"/>
            <w:sz w:val="24"/>
            <w:szCs w:val="24"/>
            <w:lang w:eastAsia="zh-CN"/>
          </w:rPr>
          <m:t>%HMW=%</m:t>
        </m:r>
        <m:sSub>
          <m:sSubPr>
            <m:ctrlPr>
              <w:rPr>
                <w:rFonts w:ascii="Cambria Math" w:hAnsi="Cambria Math" w:cs="Times New Roman"/>
                <w:sz w:val="24"/>
                <w:szCs w:val="24"/>
              </w:rPr>
            </m:ctrlPr>
          </m:sSubPr>
          <m:e>
            <m:r>
              <w:rPr>
                <w:rFonts w:ascii="Cambria Math" w:eastAsiaTheme="minorEastAsia" w:hAnsi="Cambria Math" w:cs="Times New Roman"/>
                <w:color w:val="auto"/>
                <w:sz w:val="24"/>
                <w:szCs w:val="24"/>
                <w:lang w:eastAsia="zh-CN"/>
              </w:rPr>
              <m:t>HMW</m:t>
            </m:r>
          </m:e>
          <m:sub>
            <m:r>
              <w:rPr>
                <w:rFonts w:ascii="Cambria Math" w:eastAsiaTheme="minorEastAsia" w:hAnsi="Cambria Math" w:cs="Times New Roman"/>
                <w:color w:val="auto"/>
                <w:sz w:val="24"/>
                <w:szCs w:val="24"/>
                <w:lang w:eastAsia="zh-CN"/>
              </w:rPr>
              <m:t>0</m:t>
            </m:r>
          </m:sub>
        </m:sSub>
        <m:r>
          <w:rPr>
            <w:rFonts w:ascii="Cambria Math" w:eastAsiaTheme="minorEastAsia" w:hAnsi="Cambria Math" w:cs="Times New Roman"/>
            <w:color w:val="auto"/>
            <w:sz w:val="24"/>
            <w:szCs w:val="24"/>
            <w:lang w:eastAsia="zh-CN"/>
          </w:rPr>
          <m:t xml:space="preserve">+ </m:t>
        </m:r>
        <m:sSub>
          <m:sSubPr>
            <m:ctrlPr>
              <w:rPr>
                <w:rFonts w:ascii="Cambria Math" w:hAnsi="Cambria Math" w:cs="Times New Roman"/>
                <w:sz w:val="24"/>
                <w:szCs w:val="24"/>
              </w:rPr>
            </m:ctrlPr>
          </m:sSubPr>
          <m:e>
            <m:r>
              <w:rPr>
                <w:rFonts w:ascii="Cambria Math" w:eastAsiaTheme="minorEastAsia" w:hAnsi="Cambria Math" w:cs="Times New Roman"/>
                <w:color w:val="auto"/>
                <w:sz w:val="24"/>
                <w:szCs w:val="24"/>
                <w:lang w:eastAsia="zh-CN"/>
              </w:rPr>
              <m:t>K</m:t>
            </m:r>
          </m:e>
          <m:sub>
            <m:r>
              <w:rPr>
                <w:rFonts w:ascii="Cambria Math" w:eastAsiaTheme="minorEastAsia" w:hAnsi="Cambria Math" w:cs="Times New Roman"/>
                <w:color w:val="auto"/>
                <w:sz w:val="24"/>
                <w:szCs w:val="24"/>
                <w:lang w:eastAsia="zh-CN"/>
              </w:rPr>
              <m:t>α</m:t>
            </m:r>
          </m:sub>
        </m:sSub>
        <m:r>
          <w:rPr>
            <w:rFonts w:ascii="Cambria Math" w:eastAsiaTheme="minorEastAsia" w:hAnsi="Cambria Math" w:cs="Times New Roman"/>
            <w:color w:val="auto"/>
            <w:sz w:val="24"/>
            <w:szCs w:val="24"/>
            <w:lang w:eastAsia="zh-CN"/>
          </w:rPr>
          <m:t>×</m:t>
        </m:r>
        <m:rad>
          <m:radPr>
            <m:degHide m:val="1"/>
            <m:ctrlPr>
              <w:rPr>
                <w:rFonts w:ascii="Cambria Math" w:hAnsi="Cambria Math" w:cs="Times New Roman"/>
                <w:sz w:val="24"/>
                <w:szCs w:val="24"/>
              </w:rPr>
            </m:ctrlPr>
          </m:radPr>
          <m:deg/>
          <m:e>
            <m:r>
              <w:rPr>
                <w:rFonts w:ascii="Cambria Math" w:eastAsiaTheme="minorEastAsia" w:hAnsi="Cambria Math" w:cs="Times New Roman"/>
                <w:color w:val="auto"/>
                <w:sz w:val="24"/>
                <w:szCs w:val="24"/>
                <w:lang w:eastAsia="zh-CN"/>
              </w:rPr>
              <m:t>t</m:t>
            </m:r>
          </m:e>
        </m:rad>
      </m:oMath>
      <w:bookmarkEnd w:id="0"/>
      <w:r>
        <w:rPr>
          <w:rFonts w:ascii="Times New Roman" w:eastAsiaTheme="minorEastAsia" w:hAnsi="Times New Roman" w:cs="Times New Roman"/>
          <w:color w:val="auto"/>
          <w:sz w:val="24"/>
          <w:szCs w:val="24"/>
          <w:lang w:eastAsia="zh-CN"/>
        </w:rPr>
        <w:t xml:space="preserve">        </w:t>
      </w:r>
      <w:r>
        <w:rPr>
          <w:rFonts w:ascii="Times New Roman" w:hAnsi="Times New Roman" w:cs="Times New Roman"/>
          <w:i w:val="0"/>
          <w:iCs w:val="0"/>
          <w:color w:val="auto"/>
          <w:sz w:val="22"/>
          <w:szCs w:val="22"/>
        </w:rPr>
        <w:t xml:space="preserve">Equation </w:t>
      </w:r>
      <w:r>
        <w:fldChar w:fldCharType="begin"/>
      </w:r>
      <w:r>
        <w:rPr>
          <w:rFonts w:ascii="Times New Roman" w:hAnsi="Times New Roman" w:cs="Times New Roman"/>
          <w:i w:val="0"/>
          <w:iCs w:val="0"/>
          <w:color w:val="auto"/>
          <w:sz w:val="22"/>
          <w:szCs w:val="22"/>
        </w:rPr>
        <w:instrText xml:space="preserve"> SEQ Equation \* ARABIC </w:instrText>
      </w:r>
      <w:r>
        <w:fldChar w:fldCharType="separate"/>
      </w:r>
      <w:r>
        <w:rPr>
          <w:rFonts w:ascii="Times New Roman" w:hAnsi="Times New Roman" w:cs="Times New Roman"/>
          <w:i w:val="0"/>
          <w:iCs w:val="0"/>
          <w:noProof/>
          <w:color w:val="auto"/>
          <w:sz w:val="22"/>
          <w:szCs w:val="22"/>
        </w:rPr>
        <w:t>1</w:t>
      </w:r>
      <w:r>
        <w:fldChar w:fldCharType="end"/>
      </w:r>
      <w:bookmarkEnd w:id="1"/>
    </w:p>
    <w:p w14:paraId="04FC2EBB" w14:textId="77777777" w:rsidR="006504A3" w:rsidRDefault="006504A3" w:rsidP="006504A3">
      <w:pPr>
        <w:spacing w:after="0" w:line="480" w:lineRule="auto"/>
        <w:jc w:val="both"/>
        <w:rPr>
          <w:rFonts w:ascii="Times New Roman" w:eastAsiaTheme="minorEastAsia" w:hAnsi="Times New Roman" w:cs="Times New Roman"/>
          <w:sz w:val="24"/>
          <w:szCs w:val="24"/>
          <w:lang w:eastAsia="zh-CN"/>
        </w:rPr>
      </w:pPr>
    </w:p>
    <w:p w14:paraId="59995F86" w14:textId="77777777" w:rsidR="006504A3" w:rsidRDefault="006504A3" w:rsidP="006504A3">
      <w:pPr>
        <w:spacing w:after="0" w:line="480" w:lineRule="auto"/>
        <w:jc w:val="both"/>
        <w:rPr>
          <w:rFonts w:ascii="Times New Roman" w:eastAsiaTheme="minorEastAsia" w:hAnsi="Times New Roman" w:cs="Times New Roman"/>
          <w:sz w:val="24"/>
          <w:szCs w:val="24"/>
          <w:lang w:eastAsia="zh-CN"/>
        </w:rPr>
      </w:pPr>
      <w:proofErr w:type="gramStart"/>
      <w:r>
        <w:rPr>
          <w:rFonts w:ascii="Times New Roman" w:eastAsiaTheme="minorEastAsia" w:hAnsi="Times New Roman" w:cs="Times New Roman"/>
          <w:sz w:val="24"/>
          <w:szCs w:val="24"/>
          <w:lang w:eastAsia="zh-CN"/>
        </w:rPr>
        <w:t>Where</w:t>
      </w:r>
      <w:proofErr w:type="gramEnd"/>
      <w:r>
        <w:rPr>
          <w:rFonts w:ascii="Times New Roman" w:eastAsiaTheme="minorEastAsia" w:hAnsi="Times New Roman" w:cs="Times New Roman"/>
          <w:sz w:val="24"/>
          <w:szCs w:val="24"/>
          <w:lang w:eastAsia="zh-CN"/>
        </w:rPr>
        <w:t xml:space="preserve">, </w:t>
      </w:r>
    </w:p>
    <w:p w14:paraId="6BF27C3B" w14:textId="77777777" w:rsidR="006504A3" w:rsidRDefault="006504A3" w:rsidP="006504A3">
      <w:pPr>
        <w:spacing w:after="0" w:line="480" w:lineRule="auto"/>
        <w:jc w:val="both"/>
        <w:rPr>
          <w:rFonts w:ascii="Times New Roman" w:eastAsiaTheme="minorEastAsia" w:hAnsi="Times New Roman" w:cs="Times New Roman"/>
          <w:sz w:val="24"/>
          <w:szCs w:val="24"/>
          <w:lang w:eastAsia="zh-CN"/>
        </w:rPr>
      </w:pPr>
    </w:p>
    <w:p w14:paraId="5094DA7E" w14:textId="77777777" w:rsidR="006504A3" w:rsidRDefault="006504A3" w:rsidP="006504A3">
      <w:pPr>
        <w:spacing w:after="0" w:line="48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%HMW</w:t>
      </w:r>
      <w:r>
        <w:rPr>
          <w:rFonts w:ascii="Times New Roman" w:eastAsiaTheme="minorEastAsia" w:hAnsi="Times New Roman" w:cs="Times New Roman"/>
          <w:sz w:val="24"/>
          <w:szCs w:val="24"/>
          <w:vertAlign w:val="subscript"/>
          <w:lang w:eastAsia="zh-CN"/>
        </w:rPr>
        <w:t>0</w:t>
      </w:r>
      <w:r>
        <w:rPr>
          <w:rFonts w:ascii="Times New Roman" w:eastAsiaTheme="minorEastAsia" w:hAnsi="Times New Roman" w:cs="Times New Roman"/>
          <w:sz w:val="24"/>
          <w:szCs w:val="24"/>
          <w:lang w:eastAsia="zh-CN"/>
        </w:rPr>
        <w:t xml:space="preserve"> = %HMW at T = 0</w:t>
      </w:r>
    </w:p>
    <w:p w14:paraId="798F05BC" w14:textId="77777777" w:rsidR="006504A3" w:rsidRDefault="006504A3" w:rsidP="006504A3">
      <w:pPr>
        <w:spacing w:after="0" w:line="48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K</w:t>
      </w:r>
      <w:r>
        <w:rPr>
          <w:rFonts w:ascii="Times New Roman" w:eastAsiaTheme="minorEastAsia" w:hAnsi="Times New Roman" w:cs="Times New Roman"/>
          <w:sz w:val="24"/>
          <w:szCs w:val="24"/>
          <w:vertAlign w:val="subscript"/>
          <w:lang w:eastAsia="zh-CN"/>
        </w:rPr>
        <w:t>α</w:t>
      </w:r>
      <w:r>
        <w:rPr>
          <w:rFonts w:ascii="Times New Roman" w:eastAsiaTheme="minorEastAsia" w:hAnsi="Times New Roman" w:cs="Times New Roman"/>
          <w:sz w:val="24"/>
          <w:szCs w:val="24"/>
          <w:lang w:eastAsia="zh-CN"/>
        </w:rPr>
        <w:t xml:space="preserve"> = Time Coefficient (rate constant)</w:t>
      </w:r>
    </w:p>
    <w:p w14:paraId="7EDC0810" w14:textId="77777777" w:rsidR="006504A3" w:rsidRDefault="006504A3" w:rsidP="006504A3">
      <w:pPr>
        <w:spacing w:after="0" w:line="480" w:lineRule="auto"/>
        <w:jc w:val="center"/>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t = Time</w:t>
      </w:r>
    </w:p>
    <w:p w14:paraId="6D0C60D9" w14:textId="77777777" w:rsidR="000D748F" w:rsidRPr="000D748F" w:rsidRDefault="000D748F" w:rsidP="000D748F">
      <w:pPr>
        <w:spacing w:after="0" w:line="480" w:lineRule="auto"/>
        <w:ind w:left="-20" w:right="-20"/>
        <w:rPr>
          <w:rFonts w:ascii="Times New Roman" w:eastAsia="Times New Roman" w:hAnsi="Times New Roman" w:cs="Times New Roman"/>
          <w:sz w:val="24"/>
          <w:szCs w:val="24"/>
          <w:lang w:eastAsia="en-GB"/>
        </w:rPr>
      </w:pPr>
      <w:r w:rsidRPr="000D748F">
        <w:rPr>
          <w:rFonts w:ascii="Times New Roman" w:eastAsia="Times New Roman" w:hAnsi="Times New Roman" w:cs="Times New Roman"/>
          <w:i/>
          <w:iCs/>
          <w:sz w:val="24"/>
          <w:szCs w:val="24"/>
          <w:lang w:eastAsia="en-GB"/>
        </w:rPr>
        <w:t>Arrhenius plotting</w:t>
      </w:r>
    </w:p>
    <w:p w14:paraId="39FE6908" w14:textId="77777777" w:rsidR="006504A3" w:rsidRDefault="006504A3" w:rsidP="006504A3">
      <w:pPr>
        <w:spacing w:line="480" w:lineRule="auto"/>
        <w:ind w:firstLine="720"/>
        <w:jc w:val="both"/>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The data obtained from SE-HPLC analysis were fitted using this equation. Subsequently, the Arrhenius equation (Equation 2) was applied to empirically determine the temperature dependence of the rate constant K</w:t>
      </w:r>
      <w:r>
        <w:rPr>
          <w:rFonts w:ascii="Times New Roman" w:eastAsiaTheme="minorEastAsia" w:hAnsi="Times New Roman" w:cs="Times New Roman"/>
          <w:sz w:val="24"/>
          <w:szCs w:val="24"/>
          <w:vertAlign w:val="subscript"/>
          <w:lang w:eastAsia="zh-CN"/>
        </w:rPr>
        <w:t>α</w:t>
      </w:r>
      <w:r>
        <w:rPr>
          <w:rFonts w:ascii="Times New Roman" w:eastAsiaTheme="minorEastAsia" w:hAnsi="Times New Roman" w:cs="Times New Roman"/>
          <w:sz w:val="24"/>
          <w:szCs w:val="24"/>
          <w:lang w:eastAsia="zh-CN"/>
        </w:rPr>
        <w:t xml:space="preserve"> ​, enabling the prediction of stability across a temperature range of 5 °C to 50 °C.</w:t>
      </w:r>
    </w:p>
    <w:p w14:paraId="70103B8F" w14:textId="77777777" w:rsidR="006504A3" w:rsidRDefault="006504A3" w:rsidP="006504A3">
      <w:pPr>
        <w:pStyle w:val="ac"/>
        <w:spacing w:line="480" w:lineRule="auto"/>
        <w:jc w:val="center"/>
        <w:rPr>
          <w:rFonts w:ascii="Times New Roman" w:hAnsi="Times New Roman" w:cs="Times New Roman"/>
          <w:i w:val="0"/>
          <w:color w:val="auto"/>
          <w:sz w:val="22"/>
          <w:szCs w:val="22"/>
        </w:rPr>
      </w:pPr>
      <m:oMath>
        <m:sSub>
          <m:sSubPr>
            <m:ctrlPr>
              <w:rPr>
                <w:rFonts w:ascii="Cambria Math" w:hAnsi="Cambria Math" w:cs="Times New Roman"/>
                <w:sz w:val="24"/>
                <w:szCs w:val="24"/>
              </w:rPr>
            </m:ctrlPr>
          </m:sSubPr>
          <m:e>
            <w:bookmarkStart w:id="2" w:name="_Ref147396630"/>
            <m:r>
              <w:rPr>
                <w:rFonts w:ascii="Cambria Math" w:eastAsiaTheme="minorEastAsia" w:hAnsi="Cambria Math" w:cs="Times New Roman"/>
                <w:color w:val="auto"/>
                <w:sz w:val="24"/>
                <w:szCs w:val="24"/>
                <w:lang w:eastAsia="zh-CN"/>
              </w:rPr>
              <m:t>K</m:t>
            </m:r>
          </m:e>
          <m:sub>
            <m:r>
              <w:rPr>
                <w:rFonts w:ascii="Cambria Math" w:eastAsiaTheme="minorEastAsia" w:hAnsi="Cambria Math" w:cs="Times New Roman"/>
                <w:color w:val="auto"/>
                <w:sz w:val="24"/>
                <w:szCs w:val="24"/>
                <w:vertAlign w:val="subscript"/>
                <w:lang w:eastAsia="zh-CN"/>
              </w:rPr>
              <m:t>α</m:t>
            </m:r>
          </m:sub>
        </m:sSub>
        <m:r>
          <w:rPr>
            <w:rFonts w:ascii="Cambria Math" w:eastAsiaTheme="minorEastAsia" w:hAnsi="Cambria Math" w:cs="Times New Roman"/>
            <w:color w:val="auto"/>
            <w:sz w:val="24"/>
            <w:szCs w:val="24"/>
            <w:lang w:eastAsia="zh-CN"/>
          </w:rPr>
          <m:t>=A</m:t>
        </m:r>
        <m:sSup>
          <m:sSupPr>
            <m:ctrlPr>
              <w:rPr>
                <w:rFonts w:ascii="Cambria Math" w:hAnsi="Cambria Math" w:cs="Times New Roman"/>
                <w:sz w:val="24"/>
                <w:szCs w:val="24"/>
              </w:rPr>
            </m:ctrlPr>
          </m:sSupPr>
          <m:e>
            <m:r>
              <w:rPr>
                <w:rFonts w:ascii="Cambria Math" w:hAnsi="Cambria Math" w:cs="Times New Roman"/>
                <w:color w:val="auto"/>
                <w:sz w:val="24"/>
                <w:szCs w:val="24"/>
                <w:lang w:eastAsia="zh-CN"/>
              </w:rPr>
              <m:t>e</m:t>
            </m:r>
          </m:e>
          <m:sup>
            <m:r>
              <w:rPr>
                <w:rFonts w:ascii="Cambria Math" w:hAnsi="Cambria Math" w:cs="Times New Roman"/>
                <w:color w:val="auto"/>
                <w:sz w:val="24"/>
                <w:szCs w:val="24"/>
                <w:lang w:eastAsia="zh-CN"/>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color w:val="auto"/>
                        <w:sz w:val="24"/>
                        <w:szCs w:val="24"/>
                        <w:lang w:eastAsia="zh-CN"/>
                      </w:rPr>
                      <m:t>E</m:t>
                    </m:r>
                  </m:e>
                  <m:sub>
                    <m:r>
                      <w:rPr>
                        <w:rFonts w:ascii="Cambria Math" w:hAnsi="Cambria Math" w:cs="Times New Roman"/>
                        <w:color w:val="auto"/>
                        <w:sz w:val="24"/>
                        <w:szCs w:val="24"/>
                        <w:lang w:eastAsia="zh-CN"/>
                      </w:rPr>
                      <m:t>a</m:t>
                    </m:r>
                  </m:sub>
                </m:sSub>
              </m:num>
              <m:den>
                <m:r>
                  <w:rPr>
                    <w:rFonts w:ascii="Cambria Math" w:hAnsi="Cambria Math" w:cs="Times New Roman"/>
                    <w:color w:val="auto"/>
                    <w:sz w:val="24"/>
                    <w:szCs w:val="24"/>
                    <w:lang w:eastAsia="zh-CN"/>
                  </w:rPr>
                  <m:t>RT</m:t>
                </m:r>
              </m:den>
            </m:f>
          </m:sup>
        </m:sSup>
      </m:oMath>
      <w:r>
        <w:rPr>
          <w:rFonts w:ascii="Times New Roman" w:eastAsiaTheme="minorEastAsia" w:hAnsi="Times New Roman" w:cs="Times New Roman"/>
          <w:iCs w:val="0"/>
          <w:color w:val="auto"/>
          <w:sz w:val="24"/>
          <w:szCs w:val="24"/>
          <w:lang w:eastAsia="zh-CN"/>
        </w:rPr>
        <w:t xml:space="preserve">            </w:t>
      </w:r>
      <w:r>
        <w:rPr>
          <w:rFonts w:ascii="Times New Roman" w:hAnsi="Times New Roman" w:cs="Times New Roman"/>
          <w:i w:val="0"/>
          <w:color w:val="auto"/>
          <w:sz w:val="22"/>
          <w:szCs w:val="22"/>
        </w:rPr>
        <w:t xml:space="preserve">Equation </w:t>
      </w:r>
      <w:r>
        <w:fldChar w:fldCharType="begin"/>
      </w:r>
      <w:r>
        <w:rPr>
          <w:rFonts w:ascii="Times New Roman" w:hAnsi="Times New Roman" w:cs="Times New Roman"/>
          <w:i w:val="0"/>
          <w:color w:val="auto"/>
          <w:sz w:val="22"/>
          <w:szCs w:val="22"/>
        </w:rPr>
        <w:instrText xml:space="preserve"> SEQ Equation \* ARABIC </w:instrText>
      </w:r>
      <w:r>
        <w:fldChar w:fldCharType="separate"/>
      </w:r>
      <w:r>
        <w:rPr>
          <w:rFonts w:ascii="Times New Roman" w:hAnsi="Times New Roman" w:cs="Times New Roman"/>
          <w:i w:val="0"/>
          <w:noProof/>
          <w:color w:val="auto"/>
          <w:sz w:val="22"/>
          <w:szCs w:val="22"/>
        </w:rPr>
        <w:t>2</w:t>
      </w:r>
      <w:r>
        <w:fldChar w:fldCharType="end"/>
      </w:r>
      <w:bookmarkEnd w:id="2"/>
    </w:p>
    <w:p w14:paraId="39C9CD1E" w14:textId="77777777" w:rsidR="006504A3" w:rsidRDefault="006504A3" w:rsidP="006504A3">
      <w:pPr>
        <w:spacing w:line="480" w:lineRule="auto"/>
        <w:jc w:val="center"/>
      </w:pPr>
      <m:oMath>
        <m:sSub>
          <m:sSubPr>
            <m:ctrlPr>
              <w:rPr>
                <w:rFonts w:ascii="Cambria Math" w:hAnsi="Cambria Math" w:cs="Times New Roman"/>
                <w:iCs/>
                <w:sz w:val="24"/>
                <w:szCs w:val="24"/>
              </w:rPr>
            </m:ctrlPr>
          </m:sSubPr>
          <m:e>
            <m:r>
              <m:rPr>
                <m:sty m:val="p"/>
              </m:rPr>
              <w:rPr>
                <w:rFonts w:ascii="Cambria Math" w:eastAsiaTheme="minorEastAsia" w:hAnsi="Cambria Math" w:cs="Times New Roman"/>
                <w:sz w:val="24"/>
                <w:szCs w:val="24"/>
                <w:lang w:eastAsia="zh-CN"/>
              </w:rPr>
              <m:t>ln⁡(K</m:t>
            </m:r>
          </m:e>
          <m:sub>
            <m:r>
              <m:rPr>
                <m:sty m:val="p"/>
              </m:rPr>
              <w:rPr>
                <w:rFonts w:ascii="Cambria Math" w:eastAsiaTheme="minorEastAsia" w:hAnsi="Cambria Math" w:cs="Times New Roman"/>
                <w:sz w:val="24"/>
                <w:szCs w:val="24"/>
                <w:vertAlign w:val="subscript"/>
                <w:lang w:eastAsia="zh-CN"/>
              </w:rPr>
              <m:t>α</m:t>
            </m:r>
          </m:sub>
        </m:sSub>
        <m:r>
          <m:rPr>
            <m:sty m:val="p"/>
          </m:rPr>
          <w:rPr>
            <w:rFonts w:ascii="Cambria Math" w:eastAsiaTheme="minorEastAsia" w:hAnsi="Cambria Math" w:cs="Times New Roman"/>
            <w:sz w:val="24"/>
            <w:szCs w:val="24"/>
            <w:lang w:eastAsia="zh-CN"/>
          </w:rPr>
          <m:t>)=</m:t>
        </m:r>
        <m:func>
          <m:funcPr>
            <m:ctrlPr>
              <w:rPr>
                <w:rFonts w:ascii="Cambria Math" w:hAnsi="Cambria Math" w:cs="Times New Roman"/>
                <w:i/>
                <w:iCs/>
                <w:sz w:val="24"/>
                <w:szCs w:val="24"/>
              </w:rPr>
            </m:ctrlPr>
          </m:funcPr>
          <m:fName>
            <m:r>
              <m:rPr>
                <m:sty m:val="p"/>
              </m:rPr>
              <w:rPr>
                <w:rFonts w:ascii="Cambria Math" w:eastAsiaTheme="minorEastAsia" w:hAnsi="Cambria Math" w:cs="Times New Roman"/>
                <w:sz w:val="24"/>
                <w:szCs w:val="24"/>
                <w:lang w:eastAsia="zh-CN"/>
              </w:rPr>
              <m:t>ln</m:t>
            </m:r>
          </m:fName>
          <m:e>
            <m:d>
              <m:dPr>
                <m:ctrlPr>
                  <w:rPr>
                    <w:rFonts w:ascii="Cambria Math" w:hAnsi="Cambria Math" w:cs="Times New Roman"/>
                    <w:i/>
                    <w:iCs/>
                    <w:sz w:val="24"/>
                    <w:szCs w:val="24"/>
                  </w:rPr>
                </m:ctrlPr>
              </m:dPr>
              <m:e>
                <m:r>
                  <w:rPr>
                    <w:rFonts w:ascii="Cambria Math" w:eastAsiaTheme="minorEastAsia" w:hAnsi="Cambria Math" w:cs="Times New Roman"/>
                    <w:sz w:val="24"/>
                    <w:szCs w:val="24"/>
                    <w:lang w:eastAsia="zh-CN"/>
                  </w:rPr>
                  <m:t>A</m:t>
                </m:r>
              </m:e>
            </m:d>
          </m:e>
        </m:func>
        <m:r>
          <w:rPr>
            <w:rFonts w:ascii="Cambria Math" w:eastAsiaTheme="minorEastAsia" w:hAnsi="Cambria Math" w:cs="Times New Roman"/>
            <w:sz w:val="24"/>
            <w:szCs w:val="24"/>
            <w:lang w:eastAsia="zh-CN"/>
          </w:rPr>
          <m:t xml:space="preserve">- </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eastAsiaTheme="minorEastAsia" w:hAnsi="Cambria Math" w:cs="Times New Roman"/>
                    <w:sz w:val="24"/>
                    <w:szCs w:val="24"/>
                    <w:lang w:eastAsia="zh-CN"/>
                  </w:rPr>
                  <m:t>E</m:t>
                </m:r>
              </m:e>
              <m:sub>
                <m:r>
                  <w:rPr>
                    <w:rFonts w:ascii="Cambria Math" w:eastAsiaTheme="minorEastAsia" w:hAnsi="Cambria Math" w:cs="Times New Roman"/>
                    <w:sz w:val="24"/>
                    <w:szCs w:val="24"/>
                    <w:lang w:eastAsia="zh-CN"/>
                  </w:rPr>
                  <m:t>a</m:t>
                </m:r>
              </m:sub>
            </m:sSub>
          </m:num>
          <m:den>
            <m:r>
              <w:rPr>
                <w:rFonts w:ascii="Cambria Math" w:eastAsiaTheme="minorEastAsia" w:hAnsi="Cambria Math" w:cs="Times New Roman"/>
                <w:sz w:val="24"/>
                <w:szCs w:val="24"/>
                <w:lang w:eastAsia="zh-CN"/>
              </w:rPr>
              <m:t>R</m:t>
            </m:r>
          </m:den>
        </m:f>
        <m:r>
          <w:rPr>
            <w:rFonts w:ascii="Cambria Math" w:eastAsiaTheme="minorEastAsia" w:hAnsi="Cambria Math" w:cs="Times New Roman"/>
            <w:sz w:val="24"/>
            <w:szCs w:val="24"/>
            <w:lang w:eastAsia="zh-CN"/>
          </w:rPr>
          <m:t>*</m:t>
        </m:r>
        <m:f>
          <m:fPr>
            <m:ctrlPr>
              <w:rPr>
                <w:rFonts w:ascii="Cambria Math" w:hAnsi="Cambria Math" w:cs="Times New Roman"/>
                <w:i/>
                <w:iCs/>
                <w:sz w:val="24"/>
                <w:szCs w:val="24"/>
              </w:rPr>
            </m:ctrlPr>
          </m:fPr>
          <m:num>
            <m:r>
              <w:rPr>
                <w:rFonts w:ascii="Cambria Math" w:eastAsiaTheme="minorEastAsia" w:hAnsi="Cambria Math" w:cs="Times New Roman"/>
                <w:sz w:val="24"/>
                <w:szCs w:val="24"/>
                <w:lang w:eastAsia="zh-CN"/>
              </w:rPr>
              <m:t>1</m:t>
            </m:r>
          </m:num>
          <m:den>
            <m:r>
              <w:rPr>
                <w:rFonts w:ascii="Cambria Math" w:eastAsiaTheme="minorEastAsia" w:hAnsi="Cambria Math" w:cs="Times New Roman"/>
                <w:sz w:val="24"/>
                <w:szCs w:val="24"/>
                <w:lang w:eastAsia="zh-CN"/>
              </w:rPr>
              <m:t>T</m:t>
            </m:r>
          </m:den>
        </m:f>
      </m:oMath>
      <w:r>
        <w:rPr>
          <w:rFonts w:ascii="Times New Roman" w:hAnsi="Times New Roman" w:cs="Times New Roman"/>
          <w:i/>
        </w:rPr>
        <w:t xml:space="preserve">         </w:t>
      </w:r>
      <w:r>
        <w:rPr>
          <w:rFonts w:ascii="Times New Roman" w:hAnsi="Times New Roman" w:cs="Times New Roman"/>
          <w:iCs/>
        </w:rPr>
        <w:t xml:space="preserve">Equation </w:t>
      </w:r>
      <w:r>
        <w:rPr>
          <w:rFonts w:ascii="Times New Roman" w:hAnsi="Times New Roman" w:cs="Times New Roman"/>
          <w:iCs/>
        </w:rPr>
        <w:fldChar w:fldCharType="begin"/>
      </w:r>
      <w:r>
        <w:rPr>
          <w:rFonts w:ascii="Times New Roman" w:hAnsi="Times New Roman" w:cs="Times New Roman"/>
          <w:iCs/>
        </w:rPr>
        <w:instrText xml:space="preserve"> SEQ Equation \* ARABIC </w:instrText>
      </w:r>
      <w:r>
        <w:rPr>
          <w:rFonts w:ascii="Times New Roman" w:hAnsi="Times New Roman" w:cs="Times New Roman"/>
          <w:iCs/>
        </w:rPr>
        <w:fldChar w:fldCharType="separate"/>
      </w:r>
      <w:r>
        <w:rPr>
          <w:rFonts w:ascii="Times New Roman" w:hAnsi="Times New Roman" w:cs="Times New Roman"/>
          <w:iCs/>
        </w:rPr>
        <w:t>3</w:t>
      </w:r>
      <w:r>
        <w:rPr>
          <w:rFonts w:ascii="Times New Roman" w:hAnsi="Times New Roman" w:cs="Times New Roman"/>
          <w:iCs/>
        </w:rPr>
        <w:fldChar w:fldCharType="end"/>
      </w:r>
    </w:p>
    <w:p w14:paraId="0DCECE98" w14:textId="77777777" w:rsidR="006504A3" w:rsidRDefault="006504A3" w:rsidP="006504A3">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A is the pre-exponential factor </w:t>
      </w:r>
      <w:proofErr w:type="gramStart"/>
      <w:r>
        <w:rPr>
          <w:rFonts w:ascii="Times New Roman" w:hAnsi="Times New Roman" w:cs="Times New Roman"/>
          <w:sz w:val="24"/>
          <w:szCs w:val="24"/>
        </w:rPr>
        <w:t xml:space="preserve">and </w:t>
      </w:r>
      <w:r>
        <w:rPr>
          <w:rFonts w:ascii="Cambria Math" w:hAnsi="Cambria Math" w:cs="Cambria Math"/>
          <w:sz w:val="24"/>
          <w:szCs w:val="24"/>
        </w:rPr>
        <w:t>𝐸𝑎</w:t>
      </w:r>
      <w:proofErr w:type="gramEnd"/>
      <w:r>
        <w:rPr>
          <w:rFonts w:ascii="Times New Roman" w:hAnsi="Times New Roman" w:cs="Times New Roman"/>
          <w:sz w:val="24"/>
          <w:szCs w:val="24"/>
        </w:rPr>
        <w:t xml:space="preserve"> is the activation energy.</w:t>
      </w:r>
    </w:p>
    <w:p w14:paraId="455CF77A" w14:textId="77777777" w:rsidR="000D748F" w:rsidRDefault="006504A3" w:rsidP="006504A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activation energy </w:t>
      </w:r>
      <w:proofErr w:type="spellStart"/>
      <w:r>
        <w:rPr>
          <w:rFonts w:ascii="Times New Roman" w:hAnsi="Times New Roman" w:cs="Times New Roman"/>
          <w:sz w:val="24"/>
          <w:szCs w:val="24"/>
        </w:rPr>
        <w:t>Ea</w:t>
      </w:r>
      <w:proofErr w:type="spellEnd"/>
      <w:r>
        <w:rPr>
          <w:rFonts w:ascii="Times New Roman" w:hAnsi="Times New Roman" w:cs="Times New Roman"/>
          <w:sz w:val="24"/>
          <w:szCs w:val="24"/>
        </w:rPr>
        <w:t xml:space="preserve"> for each monoclonal antibody was calculated, allowing for the extrapolation of degradation rates at different temperatures. Short-term stability data (less than 6 months) from </w:t>
      </w:r>
      <w:proofErr w:type="spellStart"/>
      <w:r>
        <w:rPr>
          <w:rFonts w:ascii="Times New Roman" w:hAnsi="Times New Roman" w:cs="Times New Roman"/>
          <w:sz w:val="24"/>
          <w:szCs w:val="24"/>
        </w:rPr>
        <w:t>mAbs</w:t>
      </w:r>
      <w:proofErr w:type="spellEnd"/>
      <w:r>
        <w:rPr>
          <w:rFonts w:ascii="Times New Roman" w:hAnsi="Times New Roman" w:cs="Times New Roman"/>
          <w:sz w:val="24"/>
          <w:szCs w:val="24"/>
        </w:rPr>
        <w:t xml:space="preserve"> 8–10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used to model the time coefficient, which was subsequently </w:t>
      </w:r>
      <w:r>
        <w:rPr>
          <w:rFonts w:ascii="Times New Roman" w:hAnsi="Times New Roman" w:cs="Times New Roman"/>
          <w:sz w:val="24"/>
          <w:szCs w:val="24"/>
        </w:rPr>
        <w:lastRenderedPageBreak/>
        <w:t>applied to the Arrhenius equation to predict the percentage of HMW species following long-term storage at 5 °C.</w:t>
      </w:r>
    </w:p>
    <w:p w14:paraId="53B88DD6" w14:textId="6233CF11" w:rsidR="000D748F" w:rsidRPr="000D748F" w:rsidRDefault="000D748F" w:rsidP="000D748F">
      <w:pPr>
        <w:spacing w:after="0" w:line="480" w:lineRule="auto"/>
        <w:jc w:val="both"/>
        <w:rPr>
          <w:rFonts w:ascii="Times New Roman" w:eastAsia="Times New Roman" w:hAnsi="Times New Roman" w:cs="Times New Roman"/>
          <w:sz w:val="24"/>
          <w:szCs w:val="24"/>
          <w:lang w:eastAsia="en-GB"/>
        </w:rPr>
      </w:pPr>
      <w:r w:rsidRPr="000D748F">
        <w:rPr>
          <w:rFonts w:ascii="Times New Roman" w:eastAsia="Times New Roman" w:hAnsi="Times New Roman" w:cs="Times New Roman"/>
          <w:i/>
          <w:iCs/>
          <w:sz w:val="24"/>
          <w:szCs w:val="24"/>
          <w:lang w:eastAsia="en-GB"/>
        </w:rPr>
        <w:t>Global fitting</w:t>
      </w:r>
      <w:r w:rsidR="00085BC2">
        <w:rPr>
          <w:rFonts w:ascii="Times New Roman" w:eastAsia="Times New Roman" w:hAnsi="Times New Roman" w:cs="Times New Roman"/>
          <w:i/>
          <w:iCs/>
          <w:sz w:val="24"/>
          <w:szCs w:val="24"/>
          <w:lang w:eastAsia="en-GB"/>
        </w:rPr>
        <w:t xml:space="preserve"> and generation of prediction intervals</w:t>
      </w:r>
    </w:p>
    <w:p w14:paraId="6CE6DE77" w14:textId="02C42167" w:rsidR="00085BC2" w:rsidRPr="00085BC2" w:rsidRDefault="00085BC2" w:rsidP="00085BC2">
      <w:pPr>
        <w:spacing w:line="480" w:lineRule="auto"/>
        <w:rPr>
          <w:rFonts w:ascii="Times New Roman" w:eastAsia="Times New Roman" w:hAnsi="Times New Roman" w:cs="Times New Roman"/>
          <w:sz w:val="24"/>
          <w:szCs w:val="24"/>
          <w:lang w:eastAsia="en-GB"/>
        </w:rPr>
      </w:pPr>
      <w:r w:rsidRPr="00085BC2">
        <w:rPr>
          <w:rFonts w:ascii="Times New Roman" w:eastAsia="Times New Roman" w:hAnsi="Times New Roman" w:cs="Times New Roman"/>
          <w:sz w:val="24"/>
          <w:szCs w:val="24"/>
          <w:lang w:eastAsia="en-GB"/>
        </w:rPr>
        <w:t>To evaluate long-term storage stability, a global fitting of Arrhenius kinetics was employed on accelerated stability data. Stability forecasts were derived from three months of data, considering time and temperature as independent variables that affect the variations in high molecular weight (HMW), low molecular weight (LMW), and acidic species concentrations.</w:t>
      </w:r>
    </w:p>
    <w:p w14:paraId="6FF16FF7" w14:textId="169E1AC0" w:rsidR="00085BC2" w:rsidRDefault="00085BC2" w:rsidP="00085BC2">
      <w:pPr>
        <w:spacing w:line="480" w:lineRule="auto"/>
        <w:rPr>
          <w:rFonts w:ascii="Times New Roman" w:eastAsia="Times New Roman" w:hAnsi="Times New Roman" w:cs="Times New Roman"/>
          <w:sz w:val="24"/>
          <w:szCs w:val="24"/>
          <w:lang w:eastAsia="en-GB"/>
        </w:rPr>
      </w:pPr>
      <w:r w:rsidRPr="00085BC2">
        <w:rPr>
          <w:rFonts w:ascii="Times New Roman" w:eastAsia="Times New Roman" w:hAnsi="Times New Roman" w:cs="Times New Roman"/>
          <w:sz w:val="24"/>
          <w:szCs w:val="24"/>
          <w:lang w:eastAsia="en-GB"/>
        </w:rPr>
        <w:t xml:space="preserve">A nonlinear regression analysis was conducted using a custom Python script to estimate the parameters associated with Equations </w:t>
      </w:r>
      <w:r>
        <w:rPr>
          <w:rFonts w:ascii="Times New Roman" w:eastAsia="Times New Roman" w:hAnsi="Times New Roman" w:cs="Times New Roman"/>
          <w:sz w:val="24"/>
          <w:szCs w:val="24"/>
          <w:lang w:eastAsia="en-GB"/>
        </w:rPr>
        <w:t>4,</w:t>
      </w:r>
      <w:r w:rsidRPr="00085BC2">
        <w:rPr>
          <w:rFonts w:ascii="Times New Roman" w:eastAsia="Times New Roman" w:hAnsi="Times New Roman" w:cs="Times New Roman"/>
          <w:sz w:val="24"/>
          <w:szCs w:val="24"/>
          <w:lang w:eastAsia="en-GB"/>
        </w:rPr>
        <w:t xml:space="preserve"> thereby determining activation energies and pre-exponential factors for each relevant attribute. The model's goodness of fit was assessed using the R² statistic. The resulting kinetic parameters were subsequently utilized to project long-term stability trajectories for HMW, LMW, and acidic species at 5°C</w:t>
      </w:r>
      <w:r>
        <w:rPr>
          <w:rFonts w:ascii="Times New Roman" w:eastAsia="Times New Roman" w:hAnsi="Times New Roman" w:cs="Times New Roman"/>
          <w:sz w:val="24"/>
          <w:szCs w:val="24"/>
          <w:lang w:eastAsia="en-GB"/>
        </w:rPr>
        <w:t xml:space="preserve"> or 2</w:t>
      </w:r>
      <w:r w:rsidRPr="00085BC2">
        <w:rPr>
          <w:rFonts w:ascii="Times New Roman" w:eastAsia="Times New Roman" w:hAnsi="Times New Roman" w:cs="Times New Roman"/>
          <w:sz w:val="24"/>
          <w:szCs w:val="24"/>
          <w:lang w:eastAsia="en-GB"/>
        </w:rPr>
        <w:t>5°C.</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9"/>
        <w:gridCol w:w="2124"/>
      </w:tblGrid>
      <w:tr w:rsidR="00085BC2" w14:paraId="373283D9" w14:textId="77777777" w:rsidTr="007C2358">
        <w:tc>
          <w:tcPr>
            <w:tcW w:w="6369" w:type="dxa"/>
          </w:tcPr>
          <w:p w14:paraId="5A8C5D91" w14:textId="77777777" w:rsidR="00085BC2" w:rsidRDefault="00085BC2" w:rsidP="007C2358">
            <w:pPr>
              <w:pStyle w:val="ac"/>
              <w:rPr>
                <w:color w:val="auto"/>
                <w:sz w:val="24"/>
                <w:lang w:val="en-US"/>
              </w:rPr>
            </w:pPr>
            <w:r>
              <w:rPr>
                <w:color w:val="auto"/>
                <w:sz w:val="24"/>
                <w:lang w:val="en-US"/>
              </w:rPr>
              <w:tab/>
            </w:r>
            <m:oMath>
              <m:r>
                <w:rPr>
                  <w:rFonts w:ascii="Cambria Math" w:hAnsi="Cambria Math"/>
                  <w:color w:val="auto"/>
                  <w:sz w:val="24"/>
                  <w:lang w:val="en-US"/>
                </w:rPr>
                <m:t>HMW</m:t>
              </m:r>
              <m:d>
                <m:dPr>
                  <m:ctrlPr>
                    <w:rPr>
                      <w:rFonts w:ascii="Cambria Math" w:hAnsi="Cambria Math"/>
                      <w:color w:val="auto"/>
                      <w:sz w:val="24"/>
                      <w:lang w:val="en-US"/>
                    </w:rPr>
                  </m:ctrlPr>
                </m:dPr>
                <m:e>
                  <m:r>
                    <w:rPr>
                      <w:rFonts w:ascii="Cambria Math" w:hAnsi="Cambria Math"/>
                      <w:color w:val="auto"/>
                      <w:sz w:val="24"/>
                      <w:lang w:val="en-US"/>
                    </w:rPr>
                    <m:t>t, T</m:t>
                  </m:r>
                </m:e>
              </m:d>
              <m:r>
                <w:rPr>
                  <w:rFonts w:ascii="Cambria Math" w:hAnsi="Cambria Math"/>
                  <w:color w:val="auto"/>
                  <w:sz w:val="24"/>
                  <w:lang w:val="en-US"/>
                </w:rPr>
                <m:t>=</m:t>
              </m:r>
              <m:sSub>
                <m:sSubPr>
                  <m:ctrlPr>
                    <w:rPr>
                      <w:rFonts w:ascii="Cambria Math" w:hAnsi="Cambria Math"/>
                      <w:color w:val="auto"/>
                      <w:sz w:val="24"/>
                      <w:lang w:val="en-US"/>
                    </w:rPr>
                  </m:ctrlPr>
                </m:sSubPr>
                <m:e>
                  <m:r>
                    <w:rPr>
                      <w:rFonts w:ascii="Cambria Math" w:hAnsi="Cambria Math"/>
                      <w:color w:val="auto"/>
                      <w:sz w:val="24"/>
                      <w:lang w:val="en-US"/>
                    </w:rPr>
                    <m:t>HMW</m:t>
                  </m:r>
                </m:e>
                <m:sub>
                  <m:r>
                    <w:rPr>
                      <w:rFonts w:ascii="Cambria Math" w:hAnsi="Cambria Math"/>
                      <w:color w:val="auto"/>
                      <w:sz w:val="24"/>
                      <w:lang w:val="en-US"/>
                    </w:rPr>
                    <m:t>0</m:t>
                  </m:r>
                </m:sub>
              </m:sSub>
              <m:r>
                <w:rPr>
                  <w:rFonts w:ascii="Cambria Math" w:hAnsi="Cambria Math"/>
                  <w:color w:val="auto"/>
                  <w:sz w:val="24"/>
                  <w:lang w:val="en-US"/>
                </w:rPr>
                <m:t>+</m:t>
              </m:r>
              <m:sSub>
                <m:sSubPr>
                  <m:ctrlPr>
                    <w:rPr>
                      <w:rFonts w:ascii="Cambria Math" w:hAnsi="Cambria Math"/>
                      <w:color w:val="auto"/>
                      <w:sz w:val="24"/>
                      <w:szCs w:val="24"/>
                      <w:lang w:val="en-US"/>
                    </w:rPr>
                  </m:ctrlPr>
                </m:sSubPr>
                <m:e>
                  <m:r>
                    <w:rPr>
                      <w:rFonts w:ascii="Cambria Math" w:hAnsi="Cambria Math"/>
                      <w:color w:val="auto"/>
                      <w:sz w:val="24"/>
                      <w:szCs w:val="24"/>
                      <w:lang w:val="en-US"/>
                    </w:rPr>
                    <m:t>A</m:t>
                  </m:r>
                </m:e>
                <m:sub>
                  <m:r>
                    <w:rPr>
                      <w:rFonts w:ascii="Cambria Math" w:hAnsi="Cambria Math"/>
                      <w:color w:val="auto"/>
                      <w:sz w:val="24"/>
                      <w:szCs w:val="24"/>
                      <w:lang w:val="en-US"/>
                    </w:rPr>
                    <m:t>HMW</m:t>
                  </m:r>
                </m:sub>
              </m:sSub>
              <m:r>
                <w:rPr>
                  <w:rFonts w:ascii="Cambria Math" w:hAnsi="Cambria Math"/>
                  <w:color w:val="auto"/>
                  <w:sz w:val="24"/>
                  <w:lang w:val="en-US"/>
                </w:rPr>
                <m:t>*</m:t>
              </m:r>
              <m:func>
                <m:funcPr>
                  <m:ctrlPr>
                    <w:rPr>
                      <w:rFonts w:ascii="Cambria Math" w:hAnsi="Cambria Math"/>
                      <w:color w:val="auto"/>
                      <w:sz w:val="24"/>
                      <w:lang w:val="en-US"/>
                    </w:rPr>
                  </m:ctrlPr>
                </m:funcPr>
                <m:fName>
                  <m:r>
                    <w:rPr>
                      <w:rFonts w:ascii="Cambria Math" w:hAnsi="Cambria Math"/>
                      <w:color w:val="auto"/>
                      <w:sz w:val="24"/>
                      <w:lang w:val="en-US"/>
                    </w:rPr>
                    <m:t>exp</m:t>
                  </m:r>
                </m:fName>
                <m:e>
                  <m:d>
                    <m:dPr>
                      <m:ctrlPr>
                        <w:rPr>
                          <w:rFonts w:ascii="Cambria Math" w:hAnsi="Cambria Math"/>
                          <w:color w:val="auto"/>
                          <w:sz w:val="24"/>
                          <w:lang w:val="en-US"/>
                        </w:rPr>
                      </m:ctrlPr>
                    </m:dPr>
                    <m:e>
                      <m:r>
                        <w:rPr>
                          <w:rFonts w:ascii="Cambria Math" w:hAnsi="Cambria Math"/>
                          <w:color w:val="auto"/>
                          <w:sz w:val="24"/>
                          <w:lang w:val="en-US"/>
                        </w:rPr>
                        <m:t>-</m:t>
                      </m:r>
                      <m:f>
                        <m:fPr>
                          <m:type m:val="skw"/>
                          <m:ctrlPr>
                            <w:rPr>
                              <w:rFonts w:ascii="Cambria Math" w:hAnsi="Cambria Math"/>
                              <w:color w:val="auto"/>
                              <w:sz w:val="24"/>
                              <w:lang w:val="en-US"/>
                            </w:rPr>
                          </m:ctrlPr>
                        </m:fPr>
                        <m:num>
                          <m:sSub>
                            <m:sSubPr>
                              <m:ctrlPr>
                                <w:rPr>
                                  <w:rFonts w:ascii="Cambria Math" w:hAnsi="Cambria Math"/>
                                  <w:color w:val="auto"/>
                                  <w:sz w:val="24"/>
                                  <w:lang w:val="en-US"/>
                                </w:rPr>
                              </m:ctrlPr>
                            </m:sSubPr>
                            <m:e>
                              <m:r>
                                <w:rPr>
                                  <w:rFonts w:ascii="Cambria Math" w:hAnsi="Cambria Math"/>
                                  <w:color w:val="auto"/>
                                  <w:sz w:val="24"/>
                                  <w:lang w:val="en-US"/>
                                </w:rPr>
                                <m:t>E</m:t>
                              </m:r>
                            </m:e>
                            <m:sub>
                              <m:r>
                                <w:rPr>
                                  <w:rFonts w:ascii="Cambria Math" w:hAnsi="Cambria Math"/>
                                  <w:color w:val="auto"/>
                                  <w:sz w:val="24"/>
                                  <w:lang w:val="en-US"/>
                                </w:rPr>
                                <m:t>a</m:t>
                              </m:r>
                            </m:sub>
                          </m:sSub>
                        </m:num>
                        <m:den>
                          <m:r>
                            <w:rPr>
                              <w:rFonts w:ascii="Cambria Math" w:hAnsi="Cambria Math"/>
                              <w:color w:val="auto"/>
                              <w:sz w:val="24"/>
                              <w:lang w:val="en-US"/>
                            </w:rPr>
                            <m:t>RT</m:t>
                          </m:r>
                        </m:den>
                      </m:f>
                    </m:e>
                  </m:d>
                </m:e>
              </m:func>
              <m:r>
                <w:rPr>
                  <w:rFonts w:ascii="Cambria Math" w:hAnsi="Cambria Math"/>
                  <w:color w:val="auto"/>
                  <w:sz w:val="24"/>
                  <w:lang w:val="en-US"/>
                </w:rPr>
                <m:t>*</m:t>
              </m:r>
              <m:sSup>
                <m:sSupPr>
                  <m:ctrlPr>
                    <w:rPr>
                      <w:rFonts w:ascii="Cambria Math" w:hAnsi="Cambria Math"/>
                      <w:color w:val="auto"/>
                      <w:sz w:val="24"/>
                      <w:lang w:val="en-US"/>
                    </w:rPr>
                  </m:ctrlPr>
                </m:sSupPr>
                <m:e>
                  <m:r>
                    <w:rPr>
                      <w:rFonts w:ascii="Cambria Math" w:hAnsi="Cambria Math"/>
                      <w:color w:val="auto"/>
                      <w:sz w:val="24"/>
                      <w:lang w:val="en-US"/>
                    </w:rPr>
                    <m:t>t</m:t>
                  </m:r>
                </m:e>
                <m:sup>
                  <m:r>
                    <w:rPr>
                      <w:rFonts w:ascii="Cambria Math" w:hAnsi="Cambria Math"/>
                      <w:color w:val="auto"/>
                      <w:sz w:val="24"/>
                      <w:lang w:val="en-US"/>
                    </w:rPr>
                    <m:t>1/2</m:t>
                  </m:r>
                </m:sup>
              </m:sSup>
            </m:oMath>
          </w:p>
        </w:tc>
        <w:tc>
          <w:tcPr>
            <w:tcW w:w="2124" w:type="dxa"/>
          </w:tcPr>
          <w:p w14:paraId="55EE6F59" w14:textId="68CBCFCE" w:rsidR="00085BC2" w:rsidRDefault="00085BC2" w:rsidP="007C2358">
            <w:pPr>
              <w:pStyle w:val="ac"/>
              <w:rPr>
                <w:i w:val="0"/>
                <w:color w:val="auto"/>
                <w:sz w:val="24"/>
                <w:lang w:val="en-US"/>
              </w:rPr>
            </w:pPr>
            <w:r>
              <w:rPr>
                <w:i w:val="0"/>
                <w:color w:val="auto"/>
                <w:sz w:val="24"/>
                <w:lang w:val="en-US"/>
              </w:rPr>
              <w:t xml:space="preserve">(Equation </w:t>
            </w:r>
            <w:r>
              <w:rPr>
                <w:i w:val="0"/>
                <w:color w:val="auto"/>
                <w:sz w:val="24"/>
                <w:lang w:val="en-US"/>
              </w:rPr>
              <w:t>4</w:t>
            </w:r>
            <w:r>
              <w:rPr>
                <w:i w:val="0"/>
                <w:color w:val="auto"/>
                <w:sz w:val="24"/>
                <w:lang w:val="en-US"/>
              </w:rPr>
              <w:t>)</w:t>
            </w:r>
          </w:p>
        </w:tc>
      </w:tr>
    </w:tbl>
    <w:p w14:paraId="51D856C3" w14:textId="5D50E092" w:rsidR="006504A3" w:rsidRDefault="00085BC2" w:rsidP="00085BC2">
      <w:pPr>
        <w:spacing w:line="480" w:lineRule="auto"/>
        <w:rPr>
          <w:rFonts w:ascii="Times New Roman" w:hAnsi="Times New Roman" w:cs="Times New Roman"/>
          <w:sz w:val="24"/>
          <w:szCs w:val="24"/>
        </w:rPr>
      </w:pPr>
      <w:r w:rsidRPr="00085BC2">
        <w:rPr>
          <w:rFonts w:ascii="Times New Roman" w:eastAsia="Times New Roman" w:hAnsi="Times New Roman" w:cs="Times New Roman"/>
          <w:sz w:val="24"/>
          <w:szCs w:val="24"/>
          <w:lang w:eastAsia="en-GB"/>
        </w:rPr>
        <w:t>To enhance the precision of these predictions, a bootstrapping analysis was carried out to create 95% prediction intervals. For each forecast, a resampling methodology was applied to the experimental dataset—incorporating time, temperature, and the measured concentrations of HMW, LMW, and acidic species—resulting in the generation of 1,000 resampled datasets. Arrhenius kinetic modeling was executed on each resampled dataset, and the central 95% of the resulting forecasts were extracted to formulate confidence intervals. Prediction intervals were then established by accounting for both model fitting errors and anticipated data variability, adhering to established statistical methodologies.</w:t>
      </w:r>
    </w:p>
    <w:p w14:paraId="738563DC" w14:textId="77777777" w:rsidR="006504A3" w:rsidRDefault="006504A3" w:rsidP="006504A3"/>
    <w:p w14:paraId="5F54D3C6" w14:textId="77777777" w:rsidR="006504A3" w:rsidRDefault="006504A3" w:rsidP="006504A3">
      <w:pPr>
        <w:pStyle w:val="EndNoteBibliography"/>
      </w:pPr>
      <w:r>
        <w:lastRenderedPageBreak/>
        <w:fldChar w:fldCharType="begin"/>
      </w:r>
      <w:r>
        <w:instrText xml:space="preserve"> ADDIN EN.REFLIST </w:instrText>
      </w:r>
      <w:r>
        <w:fldChar w:fldCharType="separate"/>
      </w:r>
      <w:r>
        <w:t>1.</w:t>
      </w:r>
      <w:r>
        <w:tab/>
        <w:t>Wang B, Tchessalov S, Cicerone MT, Warne NW, Pikal MJ. Impact of sucrose level on storage stability of proteins in freeze-dried solids: II. Correlation of aggregation rate with protein structure and molecular mobility *. Journal of Pharmaceutical Sciences. 2009;98(9):3145-66. doi: 10.1002/jps.21622.</w:t>
      </w:r>
    </w:p>
    <w:p w14:paraId="36299B26" w14:textId="544D3FA6" w:rsidR="006504A3" w:rsidRDefault="006504A3" w:rsidP="006504A3">
      <w:pPr>
        <w:spacing w:line="480" w:lineRule="auto"/>
        <w:jc w:val="both"/>
        <w:rPr>
          <w:rFonts w:ascii="Times New Roman" w:eastAsiaTheme="minorEastAsia" w:hAnsi="Times New Roman" w:cs="Times New Roman"/>
          <w:sz w:val="24"/>
          <w:szCs w:val="24"/>
          <w:lang w:eastAsia="zh-CN"/>
        </w:rPr>
      </w:pPr>
      <w:r>
        <w:fldChar w:fldCharType="end"/>
      </w:r>
    </w:p>
    <w:p w14:paraId="0B042232" w14:textId="77777777" w:rsidR="00066816" w:rsidRDefault="00066816"/>
    <w:p w14:paraId="0D6EE138" w14:textId="77777777" w:rsidR="00066816" w:rsidRPr="00066816" w:rsidRDefault="00066816" w:rsidP="00066816">
      <w:pPr>
        <w:pStyle w:val="EndNoteBibliography"/>
        <w:spacing w:after="0"/>
      </w:pPr>
      <w:r>
        <w:fldChar w:fldCharType="begin"/>
      </w:r>
      <w:r>
        <w:instrText xml:space="preserve"> ADDIN EN.REFLIST </w:instrText>
      </w:r>
      <w:r>
        <w:fldChar w:fldCharType="separate"/>
      </w:r>
      <w:r w:rsidRPr="00066816">
        <w:t>1.</w:t>
      </w:r>
      <w:r w:rsidRPr="00066816">
        <w:tab/>
        <w:t>Mullard A. 2021 FDA approvals. Nat Rev Drug Discov. 2022;21(2):83-8. doi: 10.1038/d41573-022-00001-9.</w:t>
      </w:r>
    </w:p>
    <w:p w14:paraId="57BAE431" w14:textId="77777777" w:rsidR="00066816" w:rsidRPr="00066816" w:rsidRDefault="00066816" w:rsidP="00066816">
      <w:pPr>
        <w:pStyle w:val="EndNoteBibliography"/>
        <w:spacing w:after="0"/>
      </w:pPr>
      <w:r w:rsidRPr="00066816">
        <w:t>2.</w:t>
      </w:r>
      <w:r w:rsidRPr="00066816">
        <w:tab/>
        <w:t>Quality of biotechnological products: stability testing of biotechnological/biological products. Annex to the ICH Harmonised Tripartite Guideline for the Stability Testing of New Drug Substances and Products. Dev Biol Stand. 1998;93:211-9.</w:t>
      </w:r>
    </w:p>
    <w:p w14:paraId="7D0B6F37" w14:textId="77777777" w:rsidR="00066816" w:rsidRPr="00066816" w:rsidRDefault="00066816" w:rsidP="00066816">
      <w:pPr>
        <w:pStyle w:val="EndNoteBibliography"/>
        <w:spacing w:after="0"/>
      </w:pPr>
      <w:r w:rsidRPr="00066816">
        <w:t>3.</w:t>
      </w:r>
      <w:r w:rsidRPr="00066816">
        <w:tab/>
        <w:t>Nelson AL, Dhimolea E, Reichert JM. Development trends for human monoclonal antibody therapeutics. Nat Rev Drug Discov. 2010;9(10):767-74. doi: 10.1038/nrd3229.</w:t>
      </w:r>
    </w:p>
    <w:p w14:paraId="07E9D577" w14:textId="77777777" w:rsidR="00066816" w:rsidRPr="00066816" w:rsidRDefault="00066816" w:rsidP="00066816">
      <w:pPr>
        <w:pStyle w:val="EndNoteBibliography"/>
        <w:spacing w:after="0"/>
      </w:pPr>
      <w:r w:rsidRPr="00066816">
        <w:t>4.</w:t>
      </w:r>
      <w:r w:rsidRPr="00066816">
        <w:tab/>
        <w:t>Waterman KC, Adami RC. Accelerated aging: prediction of chemical stability of pharmaceuticals. International Journal of Pharmaceutics. 2005;293(1-2):101-25.</w:t>
      </w:r>
    </w:p>
    <w:p w14:paraId="57EB5810" w14:textId="77777777" w:rsidR="00066816" w:rsidRPr="00066816" w:rsidRDefault="00066816" w:rsidP="00066816">
      <w:pPr>
        <w:pStyle w:val="EndNoteBibliography"/>
        <w:spacing w:after="0"/>
      </w:pPr>
      <w:r w:rsidRPr="00066816">
        <w:t>5.</w:t>
      </w:r>
      <w:r w:rsidRPr="00066816">
        <w:tab/>
        <w:t>McMahon M, Williams H, Debie E, Fu M, Bujalski R, Qiu F, et al. Utilization of risk-based predictive stability within regulatory submissions; industry’s experience. AAPS Open. 2020;6(1):1-11.</w:t>
      </w:r>
    </w:p>
    <w:p w14:paraId="37C98C56" w14:textId="77777777" w:rsidR="00066816" w:rsidRPr="00066816" w:rsidRDefault="00066816" w:rsidP="00066816">
      <w:pPr>
        <w:pStyle w:val="EndNoteBibliography"/>
        <w:spacing w:after="0"/>
      </w:pPr>
      <w:r w:rsidRPr="00066816">
        <w:t>6.</w:t>
      </w:r>
      <w:r w:rsidRPr="00066816">
        <w:tab/>
        <w:t>Hawe A, Wiggenhorn M, van de Weert M, Garbe JH, Mahler H-c, Jiskoot W. Forced degradation of therapeutic proteins. Journal of pharmaceutical sciences. 2012;101(3):895-913.</w:t>
      </w:r>
    </w:p>
    <w:p w14:paraId="53D323A3" w14:textId="77777777" w:rsidR="00066816" w:rsidRPr="00066816" w:rsidRDefault="00066816" w:rsidP="00066816">
      <w:pPr>
        <w:pStyle w:val="EndNoteBibliography"/>
        <w:spacing w:after="0"/>
      </w:pPr>
      <w:r w:rsidRPr="00066816">
        <w:t>7.</w:t>
      </w:r>
      <w:r w:rsidRPr="00066816">
        <w:tab/>
        <w:t>Wang W, Nema S, Teagarden D. Protein aggregation—Pathways and influencing factors. International journal of pharmaceutics. 2010;390(2):89-99.</w:t>
      </w:r>
    </w:p>
    <w:p w14:paraId="4D0A1991" w14:textId="77777777" w:rsidR="00066816" w:rsidRPr="00066816" w:rsidRDefault="00066816" w:rsidP="00066816">
      <w:pPr>
        <w:pStyle w:val="EndNoteBibliography"/>
        <w:spacing w:after="0"/>
      </w:pPr>
      <w:r w:rsidRPr="00066816">
        <w:t>8.</w:t>
      </w:r>
      <w:r w:rsidRPr="00066816">
        <w:tab/>
        <w:t>Weiss IV WF, Young TM, Roberts CJ. Principles, approaches, and challenges for predicting protein aggregation rates and shelf life. Journal of pharmaceutical sciences. 2009;98(4):1246-77.</w:t>
      </w:r>
    </w:p>
    <w:p w14:paraId="60E178FA" w14:textId="77777777" w:rsidR="00066816" w:rsidRPr="00066816" w:rsidRDefault="00066816" w:rsidP="00066816">
      <w:pPr>
        <w:pStyle w:val="EndNoteBibliography"/>
        <w:spacing w:after="0"/>
      </w:pPr>
      <w:r w:rsidRPr="00066816">
        <w:t>9.</w:t>
      </w:r>
      <w:r w:rsidRPr="00066816">
        <w:tab/>
        <w:t>Chu Y, Tan M, Yi Z, Ding Z, Yang D, Xie J. Shelf-life prediction of glazed large yellow croaker (pseudosciaena crocea) during frozen storage based on arrhenius model and long-short-term memory neural networks model. Fishes. 2021;6(3):39.</w:t>
      </w:r>
    </w:p>
    <w:p w14:paraId="375A4EDD" w14:textId="77777777" w:rsidR="00066816" w:rsidRPr="00066816" w:rsidRDefault="00066816" w:rsidP="00066816">
      <w:pPr>
        <w:pStyle w:val="EndNoteBibliography"/>
        <w:spacing w:after="0"/>
      </w:pPr>
      <w:r w:rsidRPr="00066816">
        <w:t>10.</w:t>
      </w:r>
      <w:r w:rsidRPr="00066816">
        <w:tab/>
        <w:t>Kuzman D, Bunc M, Ravnik M, Reiter F, Žagar L, Bončina M. Long-term stability predictions of therapeutic monoclonal antibodies in solution using Arrhenius-based kinetics. Scientific reports. 2021;11(1):20534.</w:t>
      </w:r>
    </w:p>
    <w:p w14:paraId="4C9E70B9" w14:textId="77777777" w:rsidR="00066816" w:rsidRPr="00066816" w:rsidRDefault="00066816" w:rsidP="00066816">
      <w:pPr>
        <w:pStyle w:val="EndNoteBibliography"/>
      </w:pPr>
      <w:r w:rsidRPr="00066816">
        <w:t>11.</w:t>
      </w:r>
      <w:r w:rsidRPr="00066816">
        <w:tab/>
        <w:t>Rauk AP, Guo K, Hu Y, Cahya S, Weiss IV WF. Arrhenius time-scaled least squares: a simple, robust approach to accelerated stability data analysis for bioproducts. Journal of pharmaceutical sciences. 2014;103(8):2278-86.</w:t>
      </w:r>
    </w:p>
    <w:p w14:paraId="6CB3C902" w14:textId="77777777" w:rsidR="00A818BC" w:rsidRDefault="00066816">
      <w:r>
        <w:fldChar w:fldCharType="end"/>
      </w:r>
    </w:p>
    <w:tbl>
      <w:tblPr>
        <w:tblStyle w:val="a6"/>
        <w:tblW w:w="5000" w:type="pct"/>
        <w:tblLayout w:type="fixed"/>
        <w:tblLook w:val="0420" w:firstRow="1" w:lastRow="0" w:firstColumn="0" w:lastColumn="0" w:noHBand="0" w:noVBand="1"/>
      </w:tblPr>
      <w:tblGrid>
        <w:gridCol w:w="740"/>
        <w:gridCol w:w="1739"/>
        <w:gridCol w:w="1571"/>
        <w:gridCol w:w="2650"/>
        <w:gridCol w:w="2650"/>
      </w:tblGrid>
      <w:tr w:rsidR="00141106" w:rsidRPr="0030210F" w14:paraId="778365BC" w14:textId="1F1968BC" w:rsidTr="00141106">
        <w:trPr>
          <w:trHeight w:val="1511"/>
        </w:trPr>
        <w:tc>
          <w:tcPr>
            <w:tcW w:w="396" w:type="pct"/>
            <w:hideMark/>
          </w:tcPr>
          <w:p w14:paraId="48334ACF" w14:textId="7E58C852" w:rsidR="00141106" w:rsidRPr="0008477F" w:rsidRDefault="00141106" w:rsidP="0008477F">
            <w:pPr>
              <w:jc w:val="center"/>
            </w:pPr>
            <w:proofErr w:type="spellStart"/>
            <w:r>
              <w:rPr>
                <w:b/>
                <w:bCs/>
                <w:kern w:val="24"/>
              </w:rPr>
              <w:t>mAb</w:t>
            </w:r>
            <w:proofErr w:type="spellEnd"/>
          </w:p>
        </w:tc>
        <w:tc>
          <w:tcPr>
            <w:tcW w:w="930" w:type="pct"/>
            <w:hideMark/>
          </w:tcPr>
          <w:p w14:paraId="72C9D56A" w14:textId="77777777" w:rsidR="00141106" w:rsidRPr="0008477F" w:rsidRDefault="00141106" w:rsidP="0008477F">
            <w:pPr>
              <w:jc w:val="center"/>
            </w:pPr>
            <w:r w:rsidRPr="0008477F">
              <w:rPr>
                <w:b/>
                <w:bCs/>
                <w:kern w:val="24"/>
              </w:rPr>
              <w:t>Study Starting date</w:t>
            </w:r>
          </w:p>
        </w:tc>
        <w:tc>
          <w:tcPr>
            <w:tcW w:w="840" w:type="pct"/>
          </w:tcPr>
          <w:p w14:paraId="440D4B21" w14:textId="4EF29D95" w:rsidR="00141106" w:rsidRPr="00BB6801" w:rsidRDefault="00141106" w:rsidP="0008477F">
            <w:pPr>
              <w:jc w:val="center"/>
              <w:rPr>
                <w:b/>
                <w:bCs/>
                <w:kern w:val="24"/>
              </w:rPr>
            </w:pPr>
            <w:r>
              <w:rPr>
                <w:b/>
                <w:bCs/>
                <w:kern w:val="24"/>
              </w:rPr>
              <w:t>Data included in modelling</w:t>
            </w:r>
          </w:p>
        </w:tc>
        <w:tc>
          <w:tcPr>
            <w:tcW w:w="1417" w:type="pct"/>
            <w:hideMark/>
          </w:tcPr>
          <w:p w14:paraId="4D080223" w14:textId="2E7B3308" w:rsidR="00141106" w:rsidRPr="0008477F" w:rsidRDefault="00141106" w:rsidP="0008477F">
            <w:pPr>
              <w:jc w:val="center"/>
            </w:pPr>
            <w:r w:rsidRPr="0008477F">
              <w:rPr>
                <w:b/>
                <w:bCs/>
                <w:kern w:val="24"/>
              </w:rPr>
              <w:t>Data available</w:t>
            </w:r>
          </w:p>
        </w:tc>
        <w:tc>
          <w:tcPr>
            <w:tcW w:w="1417" w:type="pct"/>
          </w:tcPr>
          <w:p w14:paraId="2CD3B4F6" w14:textId="5818D8C8" w:rsidR="00141106" w:rsidRPr="0008477F" w:rsidRDefault="00141106" w:rsidP="0008477F">
            <w:pPr>
              <w:jc w:val="center"/>
              <w:rPr>
                <w:b/>
                <w:bCs/>
                <w:kern w:val="24"/>
              </w:rPr>
            </w:pPr>
            <w:r>
              <w:rPr>
                <w:b/>
                <w:bCs/>
                <w:kern w:val="24"/>
              </w:rPr>
              <w:t>temperature</w:t>
            </w:r>
          </w:p>
        </w:tc>
      </w:tr>
      <w:tr w:rsidR="00141106" w:rsidRPr="0030210F" w14:paraId="4A8229C3" w14:textId="50D211D7" w:rsidTr="00141106">
        <w:trPr>
          <w:trHeight w:val="269"/>
        </w:trPr>
        <w:tc>
          <w:tcPr>
            <w:tcW w:w="396" w:type="pct"/>
            <w:vAlign w:val="bottom"/>
            <w:hideMark/>
          </w:tcPr>
          <w:p w14:paraId="06E2D0FD" w14:textId="54CA7785" w:rsidR="00141106" w:rsidRPr="0008477F" w:rsidRDefault="00141106" w:rsidP="002277BA">
            <w:pPr>
              <w:jc w:val="center"/>
              <w:textAlignment w:val="bottom"/>
            </w:pPr>
            <w:r>
              <w:rPr>
                <w:rFonts w:ascii="Calibri" w:hAnsi="Calibri" w:cs="Calibri"/>
                <w:color w:val="000000"/>
                <w:sz w:val="22"/>
                <w:szCs w:val="22"/>
              </w:rPr>
              <w:t>1</w:t>
            </w:r>
          </w:p>
        </w:tc>
        <w:tc>
          <w:tcPr>
            <w:tcW w:w="930" w:type="pct"/>
            <w:hideMark/>
          </w:tcPr>
          <w:p w14:paraId="46783EC5" w14:textId="68179580" w:rsidR="00141106" w:rsidRPr="0008477F" w:rsidRDefault="00141106" w:rsidP="002277BA">
            <w:pPr>
              <w:jc w:val="center"/>
              <w:textAlignment w:val="bottom"/>
            </w:pPr>
            <w:r>
              <w:rPr>
                <w:kern w:val="24"/>
              </w:rPr>
              <w:t>REGN1500</w:t>
            </w:r>
          </w:p>
        </w:tc>
        <w:tc>
          <w:tcPr>
            <w:tcW w:w="840" w:type="pct"/>
          </w:tcPr>
          <w:p w14:paraId="0E0CE2A3" w14:textId="4C943518" w:rsidR="00141106" w:rsidRPr="00BB6801" w:rsidRDefault="00141106" w:rsidP="002277BA">
            <w:pPr>
              <w:jc w:val="center"/>
              <w:textAlignment w:val="bottom"/>
              <w:rPr>
                <w:kern w:val="24"/>
              </w:rPr>
            </w:pPr>
            <w:r>
              <w:rPr>
                <w:kern w:val="24"/>
              </w:rPr>
              <w:t>Y</w:t>
            </w:r>
          </w:p>
        </w:tc>
        <w:tc>
          <w:tcPr>
            <w:tcW w:w="1417" w:type="pct"/>
            <w:hideMark/>
          </w:tcPr>
          <w:p w14:paraId="1F5F3D3E" w14:textId="77777777" w:rsidR="00141106" w:rsidRPr="0008477F" w:rsidRDefault="00141106" w:rsidP="002277BA">
            <w:pPr>
              <w:jc w:val="center"/>
              <w:textAlignment w:val="bottom"/>
            </w:pPr>
            <w:r w:rsidRPr="0008477F">
              <w:rPr>
                <w:kern w:val="24"/>
              </w:rPr>
              <w:t>36m</w:t>
            </w:r>
          </w:p>
        </w:tc>
        <w:tc>
          <w:tcPr>
            <w:tcW w:w="1417" w:type="pct"/>
          </w:tcPr>
          <w:p w14:paraId="26034218" w14:textId="6028B907" w:rsidR="00141106" w:rsidRPr="0008477F" w:rsidRDefault="00141106" w:rsidP="002277BA">
            <w:pPr>
              <w:jc w:val="center"/>
              <w:textAlignment w:val="bottom"/>
              <w:rPr>
                <w:kern w:val="24"/>
              </w:rPr>
            </w:pPr>
            <w:r>
              <w:rPr>
                <w:kern w:val="24"/>
              </w:rPr>
              <w:t>5, 25, 40,50</w:t>
            </w:r>
          </w:p>
        </w:tc>
      </w:tr>
      <w:tr w:rsidR="00141106" w:rsidRPr="0030210F" w14:paraId="7873C487" w14:textId="660B5627" w:rsidTr="00141106">
        <w:trPr>
          <w:trHeight w:val="70"/>
        </w:trPr>
        <w:tc>
          <w:tcPr>
            <w:tcW w:w="396" w:type="pct"/>
            <w:vAlign w:val="bottom"/>
            <w:hideMark/>
          </w:tcPr>
          <w:p w14:paraId="7E88F8A6" w14:textId="2BF64AC1" w:rsidR="00141106" w:rsidRPr="0008477F" w:rsidRDefault="00141106" w:rsidP="0039186D">
            <w:pPr>
              <w:jc w:val="center"/>
              <w:textAlignment w:val="bottom"/>
            </w:pPr>
            <w:r>
              <w:rPr>
                <w:rFonts w:ascii="Calibri" w:hAnsi="Calibri" w:cs="Calibri"/>
                <w:color w:val="000000"/>
                <w:sz w:val="22"/>
                <w:szCs w:val="22"/>
              </w:rPr>
              <w:t>2</w:t>
            </w:r>
          </w:p>
        </w:tc>
        <w:tc>
          <w:tcPr>
            <w:tcW w:w="930" w:type="pct"/>
            <w:hideMark/>
          </w:tcPr>
          <w:p w14:paraId="67B7FE33" w14:textId="6C33D0D7" w:rsidR="00141106" w:rsidRPr="0008477F" w:rsidRDefault="00141106" w:rsidP="0039186D">
            <w:pPr>
              <w:jc w:val="center"/>
              <w:textAlignment w:val="bottom"/>
            </w:pPr>
            <w:r>
              <w:rPr>
                <w:kern w:val="24"/>
              </w:rPr>
              <w:t>REGN3767</w:t>
            </w:r>
          </w:p>
        </w:tc>
        <w:tc>
          <w:tcPr>
            <w:tcW w:w="840" w:type="pct"/>
          </w:tcPr>
          <w:p w14:paraId="189FDB26" w14:textId="3005515C" w:rsidR="00141106" w:rsidRPr="00BB6801" w:rsidRDefault="00141106" w:rsidP="0039186D">
            <w:pPr>
              <w:jc w:val="center"/>
              <w:textAlignment w:val="bottom"/>
              <w:rPr>
                <w:kern w:val="24"/>
              </w:rPr>
            </w:pPr>
            <w:r w:rsidRPr="00BD5D86">
              <w:rPr>
                <w:kern w:val="24"/>
              </w:rPr>
              <w:t>Y</w:t>
            </w:r>
          </w:p>
        </w:tc>
        <w:tc>
          <w:tcPr>
            <w:tcW w:w="1417" w:type="pct"/>
            <w:hideMark/>
          </w:tcPr>
          <w:p w14:paraId="47A6F481" w14:textId="77777777" w:rsidR="00141106" w:rsidRPr="0008477F" w:rsidRDefault="00141106" w:rsidP="0039186D">
            <w:pPr>
              <w:jc w:val="center"/>
              <w:textAlignment w:val="bottom"/>
            </w:pPr>
            <w:r w:rsidRPr="0008477F">
              <w:rPr>
                <w:kern w:val="24"/>
              </w:rPr>
              <w:t>36m</w:t>
            </w:r>
          </w:p>
        </w:tc>
        <w:tc>
          <w:tcPr>
            <w:tcW w:w="1417" w:type="pct"/>
          </w:tcPr>
          <w:p w14:paraId="5BF5024A" w14:textId="49E7AE11" w:rsidR="00141106" w:rsidRPr="0008477F" w:rsidRDefault="00141106" w:rsidP="0039186D">
            <w:pPr>
              <w:jc w:val="center"/>
              <w:textAlignment w:val="bottom"/>
              <w:rPr>
                <w:kern w:val="24"/>
              </w:rPr>
            </w:pPr>
            <w:r>
              <w:rPr>
                <w:kern w:val="24"/>
              </w:rPr>
              <w:t>5, 25, 50</w:t>
            </w:r>
          </w:p>
        </w:tc>
      </w:tr>
      <w:tr w:rsidR="00141106" w:rsidRPr="0030210F" w14:paraId="5FE80E72" w14:textId="6165AED7" w:rsidTr="00141106">
        <w:trPr>
          <w:trHeight w:val="278"/>
        </w:trPr>
        <w:tc>
          <w:tcPr>
            <w:tcW w:w="396" w:type="pct"/>
            <w:vAlign w:val="bottom"/>
            <w:hideMark/>
          </w:tcPr>
          <w:p w14:paraId="0C47637C" w14:textId="37EF37BB" w:rsidR="00141106" w:rsidRPr="0008477F" w:rsidRDefault="00141106" w:rsidP="0039186D">
            <w:pPr>
              <w:jc w:val="center"/>
              <w:textAlignment w:val="bottom"/>
            </w:pPr>
            <w:r>
              <w:rPr>
                <w:rFonts w:ascii="Calibri" w:hAnsi="Calibri" w:cs="Calibri"/>
                <w:color w:val="000000"/>
                <w:sz w:val="22"/>
                <w:szCs w:val="22"/>
              </w:rPr>
              <w:t>3</w:t>
            </w:r>
          </w:p>
        </w:tc>
        <w:tc>
          <w:tcPr>
            <w:tcW w:w="930" w:type="pct"/>
            <w:hideMark/>
          </w:tcPr>
          <w:p w14:paraId="29C04A04" w14:textId="7329431B" w:rsidR="00141106" w:rsidRPr="0008477F" w:rsidRDefault="00141106" w:rsidP="0039186D">
            <w:pPr>
              <w:jc w:val="center"/>
              <w:textAlignment w:val="bottom"/>
            </w:pPr>
            <w:r>
              <w:rPr>
                <w:kern w:val="24"/>
              </w:rPr>
              <w:t>REGN4336</w:t>
            </w:r>
          </w:p>
        </w:tc>
        <w:tc>
          <w:tcPr>
            <w:tcW w:w="840" w:type="pct"/>
          </w:tcPr>
          <w:p w14:paraId="50E4373F" w14:textId="570EF3A3" w:rsidR="00141106" w:rsidRPr="00BB6801" w:rsidRDefault="00141106" w:rsidP="0039186D">
            <w:pPr>
              <w:jc w:val="center"/>
              <w:textAlignment w:val="bottom"/>
              <w:rPr>
                <w:kern w:val="24"/>
              </w:rPr>
            </w:pPr>
            <w:r w:rsidRPr="00BD5D86">
              <w:rPr>
                <w:kern w:val="24"/>
              </w:rPr>
              <w:t>Y</w:t>
            </w:r>
          </w:p>
        </w:tc>
        <w:tc>
          <w:tcPr>
            <w:tcW w:w="1417" w:type="pct"/>
            <w:hideMark/>
          </w:tcPr>
          <w:p w14:paraId="5E2843C7" w14:textId="77946DCF" w:rsidR="00141106" w:rsidRPr="0008477F" w:rsidRDefault="00141106" w:rsidP="0039186D">
            <w:pPr>
              <w:jc w:val="center"/>
              <w:textAlignment w:val="bottom"/>
            </w:pPr>
            <w:r w:rsidRPr="0008477F">
              <w:rPr>
                <w:kern w:val="24"/>
              </w:rPr>
              <w:t>36m</w:t>
            </w:r>
          </w:p>
        </w:tc>
        <w:tc>
          <w:tcPr>
            <w:tcW w:w="1417" w:type="pct"/>
          </w:tcPr>
          <w:p w14:paraId="14F165C5" w14:textId="1003860E" w:rsidR="00141106" w:rsidRPr="0008477F" w:rsidRDefault="00141106" w:rsidP="0039186D">
            <w:pPr>
              <w:jc w:val="center"/>
              <w:textAlignment w:val="bottom"/>
              <w:rPr>
                <w:kern w:val="24"/>
              </w:rPr>
            </w:pPr>
            <w:r>
              <w:rPr>
                <w:kern w:val="24"/>
              </w:rPr>
              <w:t>5, 25, 40</w:t>
            </w:r>
          </w:p>
        </w:tc>
      </w:tr>
      <w:tr w:rsidR="00141106" w:rsidRPr="0030210F" w14:paraId="733E987D" w14:textId="0BD9ED1E" w:rsidTr="00141106">
        <w:trPr>
          <w:trHeight w:val="269"/>
        </w:trPr>
        <w:tc>
          <w:tcPr>
            <w:tcW w:w="396" w:type="pct"/>
            <w:vAlign w:val="bottom"/>
            <w:hideMark/>
          </w:tcPr>
          <w:p w14:paraId="647F270B" w14:textId="1AD260DC" w:rsidR="00141106" w:rsidRPr="0008477F" w:rsidRDefault="00141106" w:rsidP="0039186D">
            <w:pPr>
              <w:jc w:val="center"/>
              <w:textAlignment w:val="bottom"/>
            </w:pPr>
            <w:r>
              <w:rPr>
                <w:rFonts w:ascii="Calibri" w:hAnsi="Calibri" w:cs="Calibri"/>
                <w:color w:val="000000"/>
                <w:sz w:val="22"/>
                <w:szCs w:val="22"/>
              </w:rPr>
              <w:t>4</w:t>
            </w:r>
          </w:p>
        </w:tc>
        <w:tc>
          <w:tcPr>
            <w:tcW w:w="930" w:type="pct"/>
            <w:hideMark/>
          </w:tcPr>
          <w:p w14:paraId="7D09C5F5" w14:textId="6A7BF2A4" w:rsidR="00141106" w:rsidRPr="0008477F" w:rsidRDefault="00141106" w:rsidP="0039186D">
            <w:pPr>
              <w:jc w:val="center"/>
              <w:textAlignment w:val="bottom"/>
            </w:pPr>
            <w:r>
              <w:rPr>
                <w:kern w:val="24"/>
              </w:rPr>
              <w:t>REGN4461</w:t>
            </w:r>
          </w:p>
        </w:tc>
        <w:tc>
          <w:tcPr>
            <w:tcW w:w="840" w:type="pct"/>
          </w:tcPr>
          <w:p w14:paraId="7AFC3698" w14:textId="73A59D69" w:rsidR="00141106" w:rsidRPr="00BB6801" w:rsidRDefault="00141106" w:rsidP="0039186D">
            <w:pPr>
              <w:jc w:val="center"/>
              <w:textAlignment w:val="bottom"/>
              <w:rPr>
                <w:kern w:val="24"/>
              </w:rPr>
            </w:pPr>
            <w:r w:rsidRPr="00BD5D86">
              <w:rPr>
                <w:kern w:val="24"/>
              </w:rPr>
              <w:t>Y</w:t>
            </w:r>
          </w:p>
        </w:tc>
        <w:tc>
          <w:tcPr>
            <w:tcW w:w="1417" w:type="pct"/>
            <w:hideMark/>
          </w:tcPr>
          <w:p w14:paraId="38C76951" w14:textId="49D2B584" w:rsidR="00141106" w:rsidRPr="0008477F" w:rsidRDefault="00141106" w:rsidP="0039186D">
            <w:pPr>
              <w:jc w:val="center"/>
              <w:textAlignment w:val="bottom"/>
            </w:pPr>
            <w:r w:rsidRPr="0008477F">
              <w:rPr>
                <w:kern w:val="24"/>
              </w:rPr>
              <w:t>36m</w:t>
            </w:r>
          </w:p>
        </w:tc>
        <w:tc>
          <w:tcPr>
            <w:tcW w:w="1417" w:type="pct"/>
          </w:tcPr>
          <w:p w14:paraId="426A545E" w14:textId="5262F208" w:rsidR="00141106" w:rsidRPr="0008477F" w:rsidRDefault="00141106" w:rsidP="0039186D">
            <w:pPr>
              <w:jc w:val="center"/>
              <w:textAlignment w:val="bottom"/>
              <w:rPr>
                <w:kern w:val="24"/>
              </w:rPr>
            </w:pPr>
            <w:r>
              <w:rPr>
                <w:kern w:val="24"/>
              </w:rPr>
              <w:t>5, 25, 50</w:t>
            </w:r>
          </w:p>
        </w:tc>
      </w:tr>
      <w:tr w:rsidR="00141106" w:rsidRPr="0030210F" w14:paraId="4BA2507F" w14:textId="04336408" w:rsidTr="00141106">
        <w:trPr>
          <w:trHeight w:val="251"/>
        </w:trPr>
        <w:tc>
          <w:tcPr>
            <w:tcW w:w="396" w:type="pct"/>
            <w:vAlign w:val="bottom"/>
            <w:hideMark/>
          </w:tcPr>
          <w:p w14:paraId="436CFABB" w14:textId="4666E895" w:rsidR="00141106" w:rsidRPr="0008477F" w:rsidRDefault="00141106" w:rsidP="0039186D">
            <w:pPr>
              <w:jc w:val="center"/>
              <w:textAlignment w:val="bottom"/>
            </w:pPr>
            <w:r>
              <w:rPr>
                <w:rFonts w:ascii="Calibri" w:hAnsi="Calibri" w:cs="Calibri"/>
                <w:color w:val="000000"/>
                <w:sz w:val="22"/>
                <w:szCs w:val="22"/>
              </w:rPr>
              <w:t>5</w:t>
            </w:r>
          </w:p>
        </w:tc>
        <w:tc>
          <w:tcPr>
            <w:tcW w:w="930" w:type="pct"/>
            <w:hideMark/>
          </w:tcPr>
          <w:p w14:paraId="46DBB392" w14:textId="249F5257" w:rsidR="00141106" w:rsidRPr="0008477F" w:rsidRDefault="00141106" w:rsidP="0039186D">
            <w:pPr>
              <w:jc w:val="center"/>
              <w:textAlignment w:val="bottom"/>
            </w:pPr>
            <w:r w:rsidRPr="00FF541D">
              <w:t>REGN</w:t>
            </w:r>
            <w:r>
              <w:t>5069</w:t>
            </w:r>
          </w:p>
        </w:tc>
        <w:tc>
          <w:tcPr>
            <w:tcW w:w="840" w:type="pct"/>
          </w:tcPr>
          <w:p w14:paraId="7584C77F" w14:textId="3394C63F" w:rsidR="00141106" w:rsidRPr="00BB6801" w:rsidRDefault="00141106" w:rsidP="0039186D">
            <w:pPr>
              <w:jc w:val="center"/>
              <w:textAlignment w:val="bottom"/>
              <w:rPr>
                <w:kern w:val="24"/>
              </w:rPr>
            </w:pPr>
            <w:r w:rsidRPr="00BD5D86">
              <w:rPr>
                <w:kern w:val="24"/>
              </w:rPr>
              <w:t>Y</w:t>
            </w:r>
          </w:p>
        </w:tc>
        <w:tc>
          <w:tcPr>
            <w:tcW w:w="1417" w:type="pct"/>
            <w:hideMark/>
          </w:tcPr>
          <w:p w14:paraId="01E63CB7" w14:textId="74652D3C" w:rsidR="00141106" w:rsidRPr="0008477F" w:rsidRDefault="00141106" w:rsidP="0039186D">
            <w:pPr>
              <w:jc w:val="center"/>
              <w:textAlignment w:val="bottom"/>
            </w:pPr>
            <w:r w:rsidRPr="0008477F">
              <w:rPr>
                <w:kern w:val="24"/>
              </w:rPr>
              <w:t>36m</w:t>
            </w:r>
          </w:p>
        </w:tc>
        <w:tc>
          <w:tcPr>
            <w:tcW w:w="1417" w:type="pct"/>
          </w:tcPr>
          <w:p w14:paraId="42913E21" w14:textId="0BE7B04B" w:rsidR="00141106" w:rsidRPr="0008477F" w:rsidRDefault="00141106" w:rsidP="0039186D">
            <w:pPr>
              <w:jc w:val="center"/>
              <w:textAlignment w:val="bottom"/>
              <w:rPr>
                <w:kern w:val="24"/>
              </w:rPr>
            </w:pPr>
            <w:r>
              <w:rPr>
                <w:kern w:val="24"/>
              </w:rPr>
              <w:t>5, 25, 50</w:t>
            </w:r>
          </w:p>
        </w:tc>
      </w:tr>
      <w:tr w:rsidR="00141106" w:rsidRPr="0030210F" w14:paraId="7E6571E4" w14:textId="59094CCE" w:rsidTr="00141106">
        <w:trPr>
          <w:trHeight w:val="269"/>
        </w:trPr>
        <w:tc>
          <w:tcPr>
            <w:tcW w:w="396" w:type="pct"/>
            <w:vAlign w:val="bottom"/>
            <w:hideMark/>
          </w:tcPr>
          <w:p w14:paraId="2CF6EE75" w14:textId="08B2B1A6" w:rsidR="00141106" w:rsidRPr="0008477F" w:rsidRDefault="00141106" w:rsidP="0039186D">
            <w:pPr>
              <w:jc w:val="center"/>
              <w:textAlignment w:val="bottom"/>
            </w:pPr>
            <w:r>
              <w:rPr>
                <w:rFonts w:ascii="Calibri" w:hAnsi="Calibri" w:cs="Calibri"/>
                <w:color w:val="000000"/>
                <w:sz w:val="22"/>
                <w:szCs w:val="22"/>
              </w:rPr>
              <w:t>6</w:t>
            </w:r>
          </w:p>
        </w:tc>
        <w:tc>
          <w:tcPr>
            <w:tcW w:w="930" w:type="pct"/>
            <w:hideMark/>
          </w:tcPr>
          <w:p w14:paraId="1826BB93" w14:textId="74E61ED9" w:rsidR="00141106" w:rsidRPr="0008477F" w:rsidRDefault="00141106" w:rsidP="0039186D">
            <w:pPr>
              <w:jc w:val="center"/>
              <w:textAlignment w:val="bottom"/>
            </w:pPr>
            <w:r w:rsidRPr="00FF541D">
              <w:t>REGN</w:t>
            </w:r>
            <w:r>
              <w:t>5668</w:t>
            </w:r>
          </w:p>
        </w:tc>
        <w:tc>
          <w:tcPr>
            <w:tcW w:w="840" w:type="pct"/>
          </w:tcPr>
          <w:p w14:paraId="20F6AB4E" w14:textId="6D863786" w:rsidR="00141106" w:rsidRPr="00BB6801" w:rsidRDefault="00141106" w:rsidP="0039186D">
            <w:pPr>
              <w:jc w:val="center"/>
              <w:textAlignment w:val="bottom"/>
              <w:rPr>
                <w:kern w:val="24"/>
              </w:rPr>
            </w:pPr>
            <w:r w:rsidRPr="00BD5D86">
              <w:rPr>
                <w:kern w:val="24"/>
              </w:rPr>
              <w:t>Y</w:t>
            </w:r>
          </w:p>
        </w:tc>
        <w:tc>
          <w:tcPr>
            <w:tcW w:w="1417" w:type="pct"/>
            <w:hideMark/>
          </w:tcPr>
          <w:p w14:paraId="32168BF4" w14:textId="529C6796" w:rsidR="00141106" w:rsidRPr="0008477F" w:rsidRDefault="00141106" w:rsidP="0039186D">
            <w:pPr>
              <w:jc w:val="center"/>
              <w:textAlignment w:val="bottom"/>
            </w:pPr>
            <w:r>
              <w:rPr>
                <w:kern w:val="24"/>
              </w:rPr>
              <w:t>36m</w:t>
            </w:r>
          </w:p>
        </w:tc>
        <w:tc>
          <w:tcPr>
            <w:tcW w:w="1417" w:type="pct"/>
          </w:tcPr>
          <w:p w14:paraId="54D46C5A" w14:textId="64578073" w:rsidR="00141106" w:rsidRDefault="00141106" w:rsidP="0039186D">
            <w:pPr>
              <w:jc w:val="center"/>
              <w:textAlignment w:val="bottom"/>
              <w:rPr>
                <w:kern w:val="24"/>
              </w:rPr>
            </w:pPr>
            <w:r>
              <w:rPr>
                <w:kern w:val="24"/>
              </w:rPr>
              <w:t>5, 25, 40</w:t>
            </w:r>
          </w:p>
        </w:tc>
      </w:tr>
      <w:tr w:rsidR="00141106" w:rsidRPr="0030210F" w14:paraId="3D37A378" w14:textId="744D99A6" w:rsidTr="00141106">
        <w:trPr>
          <w:trHeight w:val="251"/>
        </w:trPr>
        <w:tc>
          <w:tcPr>
            <w:tcW w:w="396" w:type="pct"/>
            <w:vAlign w:val="bottom"/>
            <w:hideMark/>
          </w:tcPr>
          <w:p w14:paraId="14CF3556" w14:textId="5A2D3AE1" w:rsidR="00141106" w:rsidRPr="0008477F" w:rsidRDefault="00141106" w:rsidP="0039186D">
            <w:pPr>
              <w:jc w:val="center"/>
              <w:textAlignment w:val="bottom"/>
            </w:pPr>
            <w:r>
              <w:rPr>
                <w:rFonts w:ascii="Calibri" w:hAnsi="Calibri" w:cs="Calibri"/>
                <w:color w:val="000000"/>
                <w:sz w:val="22"/>
                <w:szCs w:val="22"/>
              </w:rPr>
              <w:lastRenderedPageBreak/>
              <w:t>7</w:t>
            </w:r>
          </w:p>
        </w:tc>
        <w:tc>
          <w:tcPr>
            <w:tcW w:w="930" w:type="pct"/>
            <w:hideMark/>
          </w:tcPr>
          <w:p w14:paraId="6C3DE14E" w14:textId="04FC6B8E" w:rsidR="00141106" w:rsidRPr="0008477F" w:rsidRDefault="00141106" w:rsidP="0039186D">
            <w:pPr>
              <w:jc w:val="center"/>
              <w:textAlignment w:val="bottom"/>
            </w:pPr>
            <w:r w:rsidRPr="00FF541D">
              <w:t>REGN</w:t>
            </w:r>
            <w:r>
              <w:t>5678</w:t>
            </w:r>
          </w:p>
        </w:tc>
        <w:tc>
          <w:tcPr>
            <w:tcW w:w="840" w:type="pct"/>
          </w:tcPr>
          <w:p w14:paraId="1CF96EF7" w14:textId="510D0B50" w:rsidR="00141106" w:rsidRPr="00BB6801" w:rsidRDefault="00141106" w:rsidP="0039186D">
            <w:pPr>
              <w:jc w:val="center"/>
              <w:textAlignment w:val="bottom"/>
              <w:rPr>
                <w:kern w:val="24"/>
              </w:rPr>
            </w:pPr>
            <w:r w:rsidRPr="00BD5D86">
              <w:rPr>
                <w:kern w:val="24"/>
              </w:rPr>
              <w:t>Y</w:t>
            </w:r>
          </w:p>
        </w:tc>
        <w:tc>
          <w:tcPr>
            <w:tcW w:w="1417" w:type="pct"/>
            <w:hideMark/>
          </w:tcPr>
          <w:p w14:paraId="2822B680" w14:textId="6F8EDF8B" w:rsidR="00141106" w:rsidRPr="0008477F" w:rsidRDefault="00141106" w:rsidP="0039186D">
            <w:pPr>
              <w:jc w:val="center"/>
              <w:textAlignment w:val="bottom"/>
            </w:pPr>
            <w:r w:rsidRPr="0008477F">
              <w:rPr>
                <w:kern w:val="24"/>
              </w:rPr>
              <w:t>36m</w:t>
            </w:r>
          </w:p>
        </w:tc>
        <w:tc>
          <w:tcPr>
            <w:tcW w:w="1417" w:type="pct"/>
          </w:tcPr>
          <w:p w14:paraId="600C7727" w14:textId="45AE26DF" w:rsidR="00141106" w:rsidRPr="0008477F" w:rsidRDefault="00141106" w:rsidP="0039186D">
            <w:pPr>
              <w:jc w:val="center"/>
              <w:textAlignment w:val="bottom"/>
              <w:rPr>
                <w:kern w:val="24"/>
              </w:rPr>
            </w:pPr>
            <w:r>
              <w:rPr>
                <w:kern w:val="24"/>
              </w:rPr>
              <w:t>5, 25, 50</w:t>
            </w:r>
          </w:p>
        </w:tc>
      </w:tr>
      <w:tr w:rsidR="00141106" w:rsidRPr="0030210F" w14:paraId="6F53C191" w14:textId="59440B20" w:rsidTr="00141106">
        <w:trPr>
          <w:trHeight w:val="269"/>
        </w:trPr>
        <w:tc>
          <w:tcPr>
            <w:tcW w:w="396" w:type="pct"/>
            <w:vAlign w:val="bottom"/>
            <w:hideMark/>
          </w:tcPr>
          <w:p w14:paraId="1A871594" w14:textId="6026C58D" w:rsidR="00141106" w:rsidRPr="0008477F" w:rsidRDefault="00141106" w:rsidP="00141106">
            <w:pPr>
              <w:jc w:val="center"/>
              <w:textAlignment w:val="bottom"/>
            </w:pPr>
            <w:r>
              <w:rPr>
                <w:rFonts w:ascii="Calibri" w:hAnsi="Calibri" w:cs="Calibri"/>
                <w:color w:val="000000"/>
                <w:sz w:val="22"/>
                <w:szCs w:val="22"/>
              </w:rPr>
              <w:t>8</w:t>
            </w:r>
          </w:p>
        </w:tc>
        <w:tc>
          <w:tcPr>
            <w:tcW w:w="930" w:type="pct"/>
            <w:hideMark/>
          </w:tcPr>
          <w:p w14:paraId="4B538038" w14:textId="39496FCC" w:rsidR="00141106" w:rsidRPr="0008477F" w:rsidRDefault="00141106" w:rsidP="00141106">
            <w:pPr>
              <w:jc w:val="center"/>
              <w:textAlignment w:val="bottom"/>
            </w:pPr>
            <w:r w:rsidRPr="00FF541D">
              <w:t>REGN5713</w:t>
            </w:r>
          </w:p>
        </w:tc>
        <w:tc>
          <w:tcPr>
            <w:tcW w:w="840" w:type="pct"/>
          </w:tcPr>
          <w:p w14:paraId="5D6AB9B0" w14:textId="7C77CACF" w:rsidR="00141106" w:rsidRPr="00BB6801" w:rsidRDefault="00141106" w:rsidP="00141106">
            <w:pPr>
              <w:jc w:val="center"/>
              <w:textAlignment w:val="bottom"/>
              <w:rPr>
                <w:kern w:val="24"/>
              </w:rPr>
            </w:pPr>
            <w:r w:rsidRPr="00BD5D86">
              <w:rPr>
                <w:kern w:val="24"/>
              </w:rPr>
              <w:t>Y</w:t>
            </w:r>
          </w:p>
        </w:tc>
        <w:tc>
          <w:tcPr>
            <w:tcW w:w="1417" w:type="pct"/>
            <w:hideMark/>
          </w:tcPr>
          <w:p w14:paraId="62626A81" w14:textId="6F213B1E" w:rsidR="00141106" w:rsidRPr="0008477F" w:rsidRDefault="00141106" w:rsidP="00141106">
            <w:pPr>
              <w:jc w:val="center"/>
              <w:textAlignment w:val="bottom"/>
            </w:pPr>
            <w:r w:rsidRPr="0008477F">
              <w:rPr>
                <w:kern w:val="24"/>
              </w:rPr>
              <w:t>36m</w:t>
            </w:r>
          </w:p>
        </w:tc>
        <w:tc>
          <w:tcPr>
            <w:tcW w:w="1417" w:type="pct"/>
          </w:tcPr>
          <w:p w14:paraId="226BC369" w14:textId="282C470B" w:rsidR="00141106" w:rsidRPr="0008477F" w:rsidRDefault="00141106" w:rsidP="00141106">
            <w:pPr>
              <w:jc w:val="center"/>
              <w:textAlignment w:val="bottom"/>
              <w:rPr>
                <w:kern w:val="24"/>
              </w:rPr>
            </w:pPr>
            <w:r>
              <w:rPr>
                <w:kern w:val="24"/>
              </w:rPr>
              <w:t>5, 25, 50</w:t>
            </w:r>
          </w:p>
        </w:tc>
      </w:tr>
      <w:tr w:rsidR="00141106" w:rsidRPr="0030210F" w14:paraId="28ECF3A7" w14:textId="1B34657E" w:rsidTr="00141106">
        <w:trPr>
          <w:trHeight w:val="251"/>
        </w:trPr>
        <w:tc>
          <w:tcPr>
            <w:tcW w:w="396" w:type="pct"/>
            <w:vAlign w:val="bottom"/>
            <w:hideMark/>
          </w:tcPr>
          <w:p w14:paraId="7B35C0F2" w14:textId="1CBE7A24" w:rsidR="00141106" w:rsidRPr="0008477F" w:rsidRDefault="00141106" w:rsidP="00141106">
            <w:pPr>
              <w:jc w:val="center"/>
              <w:textAlignment w:val="bottom"/>
            </w:pPr>
            <w:r>
              <w:rPr>
                <w:rFonts w:ascii="Calibri" w:hAnsi="Calibri" w:cs="Calibri"/>
                <w:color w:val="000000"/>
                <w:sz w:val="22"/>
                <w:szCs w:val="22"/>
              </w:rPr>
              <w:t>9</w:t>
            </w:r>
          </w:p>
        </w:tc>
        <w:tc>
          <w:tcPr>
            <w:tcW w:w="930" w:type="pct"/>
            <w:hideMark/>
          </w:tcPr>
          <w:p w14:paraId="58380C0F" w14:textId="6AB42D24" w:rsidR="00141106" w:rsidRPr="0008477F" w:rsidRDefault="00141106" w:rsidP="00141106">
            <w:pPr>
              <w:jc w:val="center"/>
              <w:textAlignment w:val="bottom"/>
            </w:pPr>
            <w:r w:rsidRPr="00FF541D">
              <w:t>REGN5714</w:t>
            </w:r>
          </w:p>
        </w:tc>
        <w:tc>
          <w:tcPr>
            <w:tcW w:w="840" w:type="pct"/>
          </w:tcPr>
          <w:p w14:paraId="793376EF" w14:textId="1AAC63BC" w:rsidR="00141106" w:rsidRPr="00BB6801" w:rsidRDefault="00141106" w:rsidP="00141106">
            <w:pPr>
              <w:jc w:val="center"/>
              <w:textAlignment w:val="bottom"/>
              <w:rPr>
                <w:kern w:val="24"/>
              </w:rPr>
            </w:pPr>
            <w:r w:rsidRPr="00BD5D86">
              <w:rPr>
                <w:kern w:val="24"/>
              </w:rPr>
              <w:t>Y</w:t>
            </w:r>
          </w:p>
        </w:tc>
        <w:tc>
          <w:tcPr>
            <w:tcW w:w="1417" w:type="pct"/>
            <w:hideMark/>
          </w:tcPr>
          <w:p w14:paraId="4666A6B6" w14:textId="7CB89A17" w:rsidR="00141106" w:rsidRPr="0008477F" w:rsidRDefault="00141106" w:rsidP="00141106">
            <w:pPr>
              <w:jc w:val="center"/>
              <w:textAlignment w:val="bottom"/>
            </w:pPr>
            <w:r w:rsidRPr="0008477F">
              <w:rPr>
                <w:kern w:val="24"/>
              </w:rPr>
              <w:t>36m</w:t>
            </w:r>
          </w:p>
        </w:tc>
        <w:tc>
          <w:tcPr>
            <w:tcW w:w="1417" w:type="pct"/>
          </w:tcPr>
          <w:p w14:paraId="44265E27" w14:textId="6E1B4B7F" w:rsidR="00141106" w:rsidRPr="0008477F" w:rsidRDefault="00141106" w:rsidP="00141106">
            <w:pPr>
              <w:jc w:val="center"/>
              <w:textAlignment w:val="bottom"/>
              <w:rPr>
                <w:kern w:val="24"/>
              </w:rPr>
            </w:pPr>
            <w:r>
              <w:rPr>
                <w:kern w:val="24"/>
              </w:rPr>
              <w:t>5, 25, 50</w:t>
            </w:r>
          </w:p>
        </w:tc>
      </w:tr>
      <w:tr w:rsidR="00141106" w:rsidRPr="0030210F" w14:paraId="1EFC2F83" w14:textId="0EF6CDAC" w:rsidTr="00141106">
        <w:trPr>
          <w:trHeight w:val="359"/>
        </w:trPr>
        <w:tc>
          <w:tcPr>
            <w:tcW w:w="396" w:type="pct"/>
            <w:vAlign w:val="bottom"/>
            <w:hideMark/>
          </w:tcPr>
          <w:p w14:paraId="254C1F31" w14:textId="5782DFA7" w:rsidR="00141106" w:rsidRPr="0008477F" w:rsidRDefault="00141106" w:rsidP="00141106">
            <w:pPr>
              <w:jc w:val="center"/>
              <w:textAlignment w:val="bottom"/>
            </w:pPr>
            <w:r>
              <w:rPr>
                <w:rFonts w:ascii="Calibri" w:hAnsi="Calibri" w:cs="Calibri"/>
                <w:color w:val="000000"/>
                <w:sz w:val="22"/>
                <w:szCs w:val="22"/>
              </w:rPr>
              <w:t>10</w:t>
            </w:r>
          </w:p>
        </w:tc>
        <w:tc>
          <w:tcPr>
            <w:tcW w:w="930" w:type="pct"/>
            <w:hideMark/>
          </w:tcPr>
          <w:p w14:paraId="74556640" w14:textId="0AB12AA0" w:rsidR="00141106" w:rsidRPr="0008477F" w:rsidRDefault="00141106" w:rsidP="00141106">
            <w:pPr>
              <w:jc w:val="center"/>
              <w:textAlignment w:val="bottom"/>
            </w:pPr>
            <w:r w:rsidRPr="00FF541D">
              <w:t>REGN5715</w:t>
            </w:r>
          </w:p>
        </w:tc>
        <w:tc>
          <w:tcPr>
            <w:tcW w:w="840" w:type="pct"/>
          </w:tcPr>
          <w:p w14:paraId="0B40A216" w14:textId="627AD293" w:rsidR="00141106" w:rsidRPr="00BB6801" w:rsidRDefault="00141106" w:rsidP="00141106">
            <w:pPr>
              <w:jc w:val="center"/>
              <w:textAlignment w:val="bottom"/>
              <w:rPr>
                <w:kern w:val="24"/>
              </w:rPr>
            </w:pPr>
            <w:r w:rsidRPr="00BD5D86">
              <w:rPr>
                <w:kern w:val="24"/>
              </w:rPr>
              <w:t>Y</w:t>
            </w:r>
          </w:p>
        </w:tc>
        <w:tc>
          <w:tcPr>
            <w:tcW w:w="1417" w:type="pct"/>
            <w:hideMark/>
          </w:tcPr>
          <w:p w14:paraId="4996CAC8" w14:textId="5543C668" w:rsidR="00141106" w:rsidRPr="0008477F" w:rsidRDefault="00141106" w:rsidP="00141106">
            <w:pPr>
              <w:jc w:val="center"/>
              <w:textAlignment w:val="bottom"/>
            </w:pPr>
            <w:r w:rsidRPr="0008477F">
              <w:rPr>
                <w:kern w:val="24"/>
              </w:rPr>
              <w:t>36m</w:t>
            </w:r>
          </w:p>
        </w:tc>
        <w:tc>
          <w:tcPr>
            <w:tcW w:w="1417" w:type="pct"/>
          </w:tcPr>
          <w:p w14:paraId="2D3CE83F" w14:textId="225C75E8" w:rsidR="00141106" w:rsidRPr="0008477F" w:rsidRDefault="00141106" w:rsidP="00141106">
            <w:pPr>
              <w:jc w:val="center"/>
              <w:textAlignment w:val="bottom"/>
              <w:rPr>
                <w:kern w:val="24"/>
              </w:rPr>
            </w:pPr>
            <w:r>
              <w:rPr>
                <w:kern w:val="24"/>
              </w:rPr>
              <w:t>5, 25, 50</w:t>
            </w:r>
          </w:p>
        </w:tc>
      </w:tr>
      <w:tr w:rsidR="00141106" w:rsidRPr="0030210F" w14:paraId="4E40E35C" w14:textId="14A68B89" w:rsidTr="00141106">
        <w:trPr>
          <w:trHeight w:val="359"/>
        </w:trPr>
        <w:tc>
          <w:tcPr>
            <w:tcW w:w="396" w:type="pct"/>
            <w:vAlign w:val="bottom"/>
          </w:tcPr>
          <w:p w14:paraId="31FC2B37" w14:textId="63BED8AC" w:rsidR="00141106" w:rsidRDefault="00141106" w:rsidP="00141106">
            <w:pPr>
              <w:jc w:val="center"/>
              <w:textAlignment w:val="bottom"/>
              <w:rPr>
                <w:rFonts w:ascii="Calibri" w:hAnsi="Calibri" w:cs="Calibri"/>
                <w:color w:val="000000"/>
              </w:rPr>
            </w:pPr>
            <w:r>
              <w:rPr>
                <w:rFonts w:ascii="Calibri" w:hAnsi="Calibri" w:cs="Calibri"/>
                <w:color w:val="000000"/>
              </w:rPr>
              <w:t>11</w:t>
            </w:r>
          </w:p>
        </w:tc>
        <w:tc>
          <w:tcPr>
            <w:tcW w:w="930" w:type="pct"/>
          </w:tcPr>
          <w:p w14:paraId="3212B300" w14:textId="66DE0600" w:rsidR="00141106" w:rsidRPr="00FF541D" w:rsidRDefault="00141106" w:rsidP="00141106">
            <w:pPr>
              <w:jc w:val="center"/>
              <w:textAlignment w:val="bottom"/>
            </w:pPr>
            <w:r w:rsidRPr="00FF541D">
              <w:t>REGN</w:t>
            </w:r>
            <w:r>
              <w:t>6194</w:t>
            </w:r>
          </w:p>
        </w:tc>
        <w:tc>
          <w:tcPr>
            <w:tcW w:w="840" w:type="pct"/>
          </w:tcPr>
          <w:p w14:paraId="1269CE8F" w14:textId="78A401CE" w:rsidR="00141106" w:rsidRPr="00BD5D86" w:rsidRDefault="00141106" w:rsidP="00141106">
            <w:pPr>
              <w:jc w:val="center"/>
              <w:textAlignment w:val="bottom"/>
              <w:rPr>
                <w:kern w:val="24"/>
              </w:rPr>
            </w:pPr>
            <w:r>
              <w:rPr>
                <w:kern w:val="24"/>
              </w:rPr>
              <w:t>Y</w:t>
            </w:r>
          </w:p>
        </w:tc>
        <w:tc>
          <w:tcPr>
            <w:tcW w:w="1417" w:type="pct"/>
          </w:tcPr>
          <w:p w14:paraId="00260956" w14:textId="0BEF9F31" w:rsidR="00141106" w:rsidRPr="0008477F" w:rsidRDefault="00141106" w:rsidP="00141106">
            <w:pPr>
              <w:jc w:val="center"/>
              <w:textAlignment w:val="bottom"/>
              <w:rPr>
                <w:kern w:val="24"/>
              </w:rPr>
            </w:pPr>
            <w:r>
              <w:rPr>
                <w:kern w:val="24"/>
              </w:rPr>
              <w:t>9m</w:t>
            </w:r>
          </w:p>
        </w:tc>
        <w:tc>
          <w:tcPr>
            <w:tcW w:w="1417" w:type="pct"/>
          </w:tcPr>
          <w:p w14:paraId="5443C7A8" w14:textId="0B05046A" w:rsidR="00141106" w:rsidRPr="0008477F" w:rsidRDefault="00141106" w:rsidP="00141106">
            <w:pPr>
              <w:jc w:val="center"/>
              <w:textAlignment w:val="bottom"/>
              <w:rPr>
                <w:kern w:val="24"/>
              </w:rPr>
            </w:pPr>
            <w:r>
              <w:rPr>
                <w:kern w:val="24"/>
              </w:rPr>
              <w:t>5, 25, 40</w:t>
            </w:r>
          </w:p>
        </w:tc>
      </w:tr>
      <w:tr w:rsidR="00141106" w:rsidRPr="0030210F" w14:paraId="2E7C0740" w14:textId="474F5D69" w:rsidTr="00141106">
        <w:trPr>
          <w:trHeight w:val="359"/>
        </w:trPr>
        <w:tc>
          <w:tcPr>
            <w:tcW w:w="396" w:type="pct"/>
            <w:vAlign w:val="bottom"/>
          </w:tcPr>
          <w:p w14:paraId="51CD4DBC" w14:textId="150DF8D9" w:rsidR="00141106" w:rsidRDefault="00141106" w:rsidP="00141106">
            <w:pPr>
              <w:jc w:val="center"/>
              <w:textAlignment w:val="bottom"/>
              <w:rPr>
                <w:rFonts w:ascii="Calibri" w:hAnsi="Calibri" w:cs="Calibri"/>
                <w:color w:val="000000"/>
              </w:rPr>
            </w:pPr>
            <w:r>
              <w:rPr>
                <w:rFonts w:ascii="Calibri" w:hAnsi="Calibri" w:cs="Calibri"/>
                <w:color w:val="000000"/>
              </w:rPr>
              <w:t>12</w:t>
            </w:r>
          </w:p>
        </w:tc>
        <w:tc>
          <w:tcPr>
            <w:tcW w:w="930" w:type="pct"/>
          </w:tcPr>
          <w:p w14:paraId="4C2C13D1" w14:textId="042D9A62" w:rsidR="00141106" w:rsidRPr="00FF541D" w:rsidRDefault="00141106" w:rsidP="00141106">
            <w:pPr>
              <w:jc w:val="center"/>
              <w:textAlignment w:val="bottom"/>
            </w:pPr>
            <w:r w:rsidRPr="00FF541D">
              <w:t>REGN</w:t>
            </w:r>
            <w:r>
              <w:t>6569</w:t>
            </w:r>
          </w:p>
        </w:tc>
        <w:tc>
          <w:tcPr>
            <w:tcW w:w="840" w:type="pct"/>
          </w:tcPr>
          <w:p w14:paraId="52010FB1" w14:textId="46E62ABB" w:rsidR="00141106" w:rsidRPr="00BD5D86" w:rsidRDefault="00141106" w:rsidP="00141106">
            <w:pPr>
              <w:jc w:val="center"/>
              <w:textAlignment w:val="bottom"/>
              <w:rPr>
                <w:kern w:val="24"/>
              </w:rPr>
            </w:pPr>
            <w:r w:rsidRPr="00BD5D86">
              <w:rPr>
                <w:kern w:val="24"/>
              </w:rPr>
              <w:t>Y</w:t>
            </w:r>
          </w:p>
        </w:tc>
        <w:tc>
          <w:tcPr>
            <w:tcW w:w="1417" w:type="pct"/>
          </w:tcPr>
          <w:p w14:paraId="0DC3E02E" w14:textId="75D4CA76" w:rsidR="00141106" w:rsidRPr="0008477F" w:rsidRDefault="00141106" w:rsidP="00141106">
            <w:pPr>
              <w:jc w:val="center"/>
              <w:textAlignment w:val="bottom"/>
              <w:rPr>
                <w:kern w:val="24"/>
              </w:rPr>
            </w:pPr>
            <w:r>
              <w:rPr>
                <w:kern w:val="24"/>
              </w:rPr>
              <w:t>36m</w:t>
            </w:r>
          </w:p>
        </w:tc>
        <w:tc>
          <w:tcPr>
            <w:tcW w:w="1417" w:type="pct"/>
          </w:tcPr>
          <w:p w14:paraId="4ABF55C4" w14:textId="2E1EFCDF" w:rsidR="00141106" w:rsidRPr="0008477F" w:rsidRDefault="00141106" w:rsidP="00141106">
            <w:pPr>
              <w:jc w:val="center"/>
              <w:textAlignment w:val="bottom"/>
              <w:rPr>
                <w:kern w:val="24"/>
              </w:rPr>
            </w:pPr>
            <w:r>
              <w:rPr>
                <w:kern w:val="24"/>
              </w:rPr>
              <w:t>5, 25, 40,50</w:t>
            </w:r>
          </w:p>
        </w:tc>
      </w:tr>
      <w:tr w:rsidR="00141106" w:rsidRPr="0030210F" w14:paraId="21A68FAC" w14:textId="294A2B21" w:rsidTr="00141106">
        <w:trPr>
          <w:trHeight w:val="359"/>
        </w:trPr>
        <w:tc>
          <w:tcPr>
            <w:tcW w:w="396" w:type="pct"/>
            <w:vAlign w:val="bottom"/>
          </w:tcPr>
          <w:p w14:paraId="294E81A3" w14:textId="145270EE" w:rsidR="00141106" w:rsidRDefault="00141106" w:rsidP="00141106">
            <w:pPr>
              <w:jc w:val="center"/>
              <w:textAlignment w:val="bottom"/>
              <w:rPr>
                <w:rFonts w:ascii="Calibri" w:hAnsi="Calibri" w:cs="Calibri"/>
                <w:color w:val="000000"/>
              </w:rPr>
            </w:pPr>
            <w:r>
              <w:rPr>
                <w:rFonts w:ascii="Calibri" w:hAnsi="Calibri" w:cs="Calibri"/>
                <w:color w:val="000000"/>
              </w:rPr>
              <w:t>13</w:t>
            </w:r>
          </w:p>
        </w:tc>
        <w:tc>
          <w:tcPr>
            <w:tcW w:w="930" w:type="pct"/>
          </w:tcPr>
          <w:p w14:paraId="43D023FB" w14:textId="7AF32BC4" w:rsidR="00141106" w:rsidRPr="00FF541D" w:rsidRDefault="00141106" w:rsidP="00141106">
            <w:pPr>
              <w:jc w:val="center"/>
              <w:textAlignment w:val="bottom"/>
            </w:pPr>
            <w:r w:rsidRPr="00FF541D">
              <w:t>REGN</w:t>
            </w:r>
            <w:r>
              <w:t>7075</w:t>
            </w:r>
          </w:p>
        </w:tc>
        <w:tc>
          <w:tcPr>
            <w:tcW w:w="840" w:type="pct"/>
          </w:tcPr>
          <w:p w14:paraId="23011EE4" w14:textId="07021B2F" w:rsidR="00141106" w:rsidRPr="00BD5D86" w:rsidRDefault="00141106" w:rsidP="00141106">
            <w:pPr>
              <w:jc w:val="center"/>
              <w:textAlignment w:val="bottom"/>
              <w:rPr>
                <w:kern w:val="24"/>
              </w:rPr>
            </w:pPr>
            <w:r w:rsidRPr="00BD5D86">
              <w:rPr>
                <w:kern w:val="24"/>
              </w:rPr>
              <w:t>Y</w:t>
            </w:r>
          </w:p>
        </w:tc>
        <w:tc>
          <w:tcPr>
            <w:tcW w:w="1417" w:type="pct"/>
          </w:tcPr>
          <w:p w14:paraId="7D0AC7F9" w14:textId="6D454B16" w:rsidR="00141106" w:rsidRPr="0008477F" w:rsidRDefault="00141106" w:rsidP="00141106">
            <w:pPr>
              <w:jc w:val="center"/>
              <w:textAlignment w:val="bottom"/>
              <w:rPr>
                <w:kern w:val="24"/>
              </w:rPr>
            </w:pPr>
            <w:r>
              <w:rPr>
                <w:kern w:val="24"/>
              </w:rPr>
              <w:t>36m</w:t>
            </w:r>
          </w:p>
        </w:tc>
        <w:tc>
          <w:tcPr>
            <w:tcW w:w="1417" w:type="pct"/>
          </w:tcPr>
          <w:p w14:paraId="1D654C2F" w14:textId="50C8C961" w:rsidR="00141106" w:rsidRPr="0008477F" w:rsidRDefault="00141106" w:rsidP="00141106">
            <w:pPr>
              <w:jc w:val="center"/>
              <w:textAlignment w:val="bottom"/>
              <w:rPr>
                <w:kern w:val="24"/>
              </w:rPr>
            </w:pPr>
            <w:r>
              <w:rPr>
                <w:kern w:val="24"/>
              </w:rPr>
              <w:t>5, 25, 40</w:t>
            </w:r>
          </w:p>
        </w:tc>
      </w:tr>
      <w:tr w:rsidR="00141106" w:rsidRPr="0030210F" w14:paraId="47E4C7ED" w14:textId="52286D95" w:rsidTr="00141106">
        <w:trPr>
          <w:trHeight w:val="359"/>
        </w:trPr>
        <w:tc>
          <w:tcPr>
            <w:tcW w:w="396" w:type="pct"/>
            <w:vAlign w:val="bottom"/>
          </w:tcPr>
          <w:p w14:paraId="5B7F32CC" w14:textId="0C4512FE" w:rsidR="00141106" w:rsidRDefault="00141106" w:rsidP="00141106">
            <w:pPr>
              <w:jc w:val="center"/>
              <w:textAlignment w:val="bottom"/>
              <w:rPr>
                <w:rFonts w:ascii="Calibri" w:hAnsi="Calibri" w:cs="Calibri"/>
                <w:color w:val="000000"/>
              </w:rPr>
            </w:pPr>
            <w:r>
              <w:rPr>
                <w:rFonts w:ascii="Calibri" w:hAnsi="Calibri" w:cs="Calibri"/>
                <w:color w:val="000000"/>
              </w:rPr>
              <w:t>14</w:t>
            </w:r>
          </w:p>
        </w:tc>
        <w:tc>
          <w:tcPr>
            <w:tcW w:w="930" w:type="pct"/>
          </w:tcPr>
          <w:p w14:paraId="39CCB5F2" w14:textId="2012EE36" w:rsidR="00141106" w:rsidRPr="00FF541D" w:rsidRDefault="00141106" w:rsidP="00141106">
            <w:pPr>
              <w:jc w:val="center"/>
              <w:textAlignment w:val="bottom"/>
            </w:pPr>
            <w:r w:rsidRPr="00FF541D">
              <w:t>REGN</w:t>
            </w:r>
            <w:r>
              <w:t>7257</w:t>
            </w:r>
          </w:p>
        </w:tc>
        <w:tc>
          <w:tcPr>
            <w:tcW w:w="840" w:type="pct"/>
          </w:tcPr>
          <w:p w14:paraId="7D6CC5B9" w14:textId="76D985FB" w:rsidR="00141106" w:rsidRPr="00BD5D86" w:rsidRDefault="00141106" w:rsidP="00141106">
            <w:pPr>
              <w:jc w:val="center"/>
              <w:textAlignment w:val="bottom"/>
              <w:rPr>
                <w:kern w:val="24"/>
              </w:rPr>
            </w:pPr>
            <w:r w:rsidRPr="00BD5D86">
              <w:rPr>
                <w:kern w:val="24"/>
              </w:rPr>
              <w:t>Y</w:t>
            </w:r>
          </w:p>
        </w:tc>
        <w:tc>
          <w:tcPr>
            <w:tcW w:w="1417" w:type="pct"/>
          </w:tcPr>
          <w:p w14:paraId="50EA4EFB" w14:textId="6FB76CDF" w:rsidR="00141106" w:rsidRPr="0008477F" w:rsidRDefault="00141106" w:rsidP="00141106">
            <w:pPr>
              <w:jc w:val="center"/>
              <w:textAlignment w:val="bottom"/>
              <w:rPr>
                <w:kern w:val="24"/>
              </w:rPr>
            </w:pPr>
            <w:r>
              <w:rPr>
                <w:kern w:val="24"/>
              </w:rPr>
              <w:t>36m</w:t>
            </w:r>
          </w:p>
        </w:tc>
        <w:tc>
          <w:tcPr>
            <w:tcW w:w="1417" w:type="pct"/>
          </w:tcPr>
          <w:p w14:paraId="7400C40B" w14:textId="0D9B0813" w:rsidR="00141106" w:rsidRPr="0008477F" w:rsidRDefault="00141106" w:rsidP="00141106">
            <w:pPr>
              <w:jc w:val="center"/>
              <w:textAlignment w:val="bottom"/>
              <w:rPr>
                <w:kern w:val="24"/>
              </w:rPr>
            </w:pPr>
            <w:r>
              <w:rPr>
                <w:kern w:val="24"/>
              </w:rPr>
              <w:t>5, 25, 40,50</w:t>
            </w:r>
          </w:p>
        </w:tc>
      </w:tr>
      <w:tr w:rsidR="00141106" w:rsidRPr="0030210F" w14:paraId="05F1B048" w14:textId="5C6DCECF" w:rsidTr="00141106">
        <w:trPr>
          <w:trHeight w:val="359"/>
        </w:trPr>
        <w:tc>
          <w:tcPr>
            <w:tcW w:w="396" w:type="pct"/>
            <w:vAlign w:val="bottom"/>
          </w:tcPr>
          <w:p w14:paraId="17A865ED" w14:textId="11F8089C" w:rsidR="00141106" w:rsidRDefault="00141106" w:rsidP="00141106">
            <w:pPr>
              <w:jc w:val="center"/>
              <w:textAlignment w:val="bottom"/>
              <w:rPr>
                <w:rFonts w:ascii="Calibri" w:hAnsi="Calibri" w:cs="Calibri"/>
                <w:color w:val="000000"/>
              </w:rPr>
            </w:pPr>
            <w:r>
              <w:rPr>
                <w:rFonts w:ascii="Calibri" w:hAnsi="Calibri" w:cs="Calibri"/>
                <w:color w:val="000000"/>
              </w:rPr>
              <w:t>15</w:t>
            </w:r>
          </w:p>
        </w:tc>
        <w:tc>
          <w:tcPr>
            <w:tcW w:w="930" w:type="pct"/>
          </w:tcPr>
          <w:p w14:paraId="325AE354" w14:textId="5E42F511" w:rsidR="00141106" w:rsidRPr="00FF541D" w:rsidRDefault="00141106" w:rsidP="00141106">
            <w:pPr>
              <w:jc w:val="center"/>
              <w:textAlignment w:val="bottom"/>
            </w:pPr>
            <w:r w:rsidRPr="00FF541D">
              <w:t>REGN</w:t>
            </w:r>
            <w:r>
              <w:t>7544</w:t>
            </w:r>
          </w:p>
        </w:tc>
        <w:tc>
          <w:tcPr>
            <w:tcW w:w="840" w:type="pct"/>
          </w:tcPr>
          <w:p w14:paraId="63CFEA20" w14:textId="11F5D8F6" w:rsidR="00141106" w:rsidRPr="00BD5D86" w:rsidRDefault="00141106" w:rsidP="00141106">
            <w:pPr>
              <w:jc w:val="center"/>
              <w:textAlignment w:val="bottom"/>
              <w:rPr>
                <w:kern w:val="24"/>
              </w:rPr>
            </w:pPr>
            <w:r w:rsidRPr="00BD5D86">
              <w:rPr>
                <w:kern w:val="24"/>
              </w:rPr>
              <w:t>Y</w:t>
            </w:r>
          </w:p>
        </w:tc>
        <w:tc>
          <w:tcPr>
            <w:tcW w:w="1417" w:type="pct"/>
          </w:tcPr>
          <w:p w14:paraId="3A55BAF2" w14:textId="1287D0F2" w:rsidR="00141106" w:rsidRPr="0008477F" w:rsidRDefault="00141106" w:rsidP="00141106">
            <w:pPr>
              <w:jc w:val="center"/>
              <w:textAlignment w:val="bottom"/>
              <w:rPr>
                <w:kern w:val="24"/>
              </w:rPr>
            </w:pPr>
            <w:r>
              <w:rPr>
                <w:kern w:val="24"/>
              </w:rPr>
              <w:t>24m</w:t>
            </w:r>
          </w:p>
        </w:tc>
        <w:tc>
          <w:tcPr>
            <w:tcW w:w="1417" w:type="pct"/>
          </w:tcPr>
          <w:p w14:paraId="7BA3BBEE" w14:textId="1D251BBF" w:rsidR="00141106" w:rsidRPr="0008477F" w:rsidRDefault="00141106" w:rsidP="00141106">
            <w:pPr>
              <w:jc w:val="center"/>
              <w:textAlignment w:val="bottom"/>
              <w:rPr>
                <w:kern w:val="24"/>
              </w:rPr>
            </w:pPr>
            <w:r>
              <w:rPr>
                <w:kern w:val="24"/>
              </w:rPr>
              <w:t>5, 25, 40</w:t>
            </w:r>
          </w:p>
        </w:tc>
      </w:tr>
      <w:tr w:rsidR="00141106" w:rsidRPr="0030210F" w14:paraId="6789553D" w14:textId="536D8668" w:rsidTr="00141106">
        <w:trPr>
          <w:trHeight w:val="359"/>
        </w:trPr>
        <w:tc>
          <w:tcPr>
            <w:tcW w:w="396" w:type="pct"/>
            <w:vAlign w:val="bottom"/>
          </w:tcPr>
          <w:p w14:paraId="4C273B06" w14:textId="043C2A70" w:rsidR="00141106" w:rsidRDefault="00141106" w:rsidP="00141106">
            <w:pPr>
              <w:jc w:val="center"/>
              <w:textAlignment w:val="bottom"/>
              <w:rPr>
                <w:rFonts w:ascii="Calibri" w:hAnsi="Calibri" w:cs="Calibri"/>
                <w:color w:val="000000"/>
              </w:rPr>
            </w:pPr>
            <w:r>
              <w:rPr>
                <w:rFonts w:ascii="Calibri" w:hAnsi="Calibri" w:cs="Calibri"/>
                <w:color w:val="000000"/>
              </w:rPr>
              <w:t>16</w:t>
            </w:r>
          </w:p>
        </w:tc>
        <w:tc>
          <w:tcPr>
            <w:tcW w:w="930" w:type="pct"/>
          </w:tcPr>
          <w:p w14:paraId="1810432D" w14:textId="36974EAF" w:rsidR="00141106" w:rsidRPr="00FF541D" w:rsidRDefault="00141106" w:rsidP="00141106">
            <w:pPr>
              <w:jc w:val="center"/>
              <w:textAlignment w:val="bottom"/>
            </w:pPr>
            <w:r w:rsidRPr="00FF541D">
              <w:t>REGN</w:t>
            </w:r>
            <w:r>
              <w:t>7945</w:t>
            </w:r>
          </w:p>
        </w:tc>
        <w:tc>
          <w:tcPr>
            <w:tcW w:w="840" w:type="pct"/>
          </w:tcPr>
          <w:p w14:paraId="42EDE1B3" w14:textId="1F9102B3" w:rsidR="00141106" w:rsidRPr="00BD5D86" w:rsidRDefault="00141106" w:rsidP="00141106">
            <w:pPr>
              <w:jc w:val="center"/>
              <w:textAlignment w:val="bottom"/>
              <w:rPr>
                <w:kern w:val="24"/>
              </w:rPr>
            </w:pPr>
            <w:r w:rsidRPr="00BD5D86">
              <w:rPr>
                <w:kern w:val="24"/>
              </w:rPr>
              <w:t>Y</w:t>
            </w:r>
          </w:p>
        </w:tc>
        <w:tc>
          <w:tcPr>
            <w:tcW w:w="1417" w:type="pct"/>
          </w:tcPr>
          <w:p w14:paraId="3AF86D63" w14:textId="2A60A7F7" w:rsidR="00141106" w:rsidRPr="0008477F" w:rsidRDefault="00141106" w:rsidP="00141106">
            <w:pPr>
              <w:jc w:val="center"/>
              <w:textAlignment w:val="bottom"/>
              <w:rPr>
                <w:kern w:val="24"/>
              </w:rPr>
            </w:pPr>
            <w:r>
              <w:rPr>
                <w:kern w:val="24"/>
              </w:rPr>
              <w:t>24m</w:t>
            </w:r>
          </w:p>
        </w:tc>
        <w:tc>
          <w:tcPr>
            <w:tcW w:w="1417" w:type="pct"/>
          </w:tcPr>
          <w:p w14:paraId="2BCA21D1" w14:textId="591887F8" w:rsidR="00141106" w:rsidRPr="0008477F" w:rsidRDefault="00141106" w:rsidP="00141106">
            <w:pPr>
              <w:jc w:val="center"/>
              <w:textAlignment w:val="bottom"/>
              <w:rPr>
                <w:kern w:val="24"/>
              </w:rPr>
            </w:pPr>
            <w:r>
              <w:rPr>
                <w:kern w:val="24"/>
              </w:rPr>
              <w:t>5, 25, 40</w:t>
            </w:r>
          </w:p>
        </w:tc>
      </w:tr>
      <w:tr w:rsidR="00141106" w:rsidRPr="0030210F" w14:paraId="01571175" w14:textId="04802732" w:rsidTr="00141106">
        <w:trPr>
          <w:trHeight w:val="359"/>
        </w:trPr>
        <w:tc>
          <w:tcPr>
            <w:tcW w:w="396" w:type="pct"/>
            <w:vAlign w:val="bottom"/>
          </w:tcPr>
          <w:p w14:paraId="453F062F" w14:textId="684AF01E" w:rsidR="00141106" w:rsidRDefault="00141106" w:rsidP="00141106">
            <w:pPr>
              <w:jc w:val="center"/>
              <w:textAlignment w:val="bottom"/>
              <w:rPr>
                <w:rFonts w:ascii="Calibri" w:hAnsi="Calibri" w:cs="Calibri"/>
                <w:color w:val="000000"/>
              </w:rPr>
            </w:pPr>
            <w:r>
              <w:rPr>
                <w:rFonts w:ascii="Calibri" w:hAnsi="Calibri" w:cs="Calibri"/>
                <w:color w:val="000000"/>
              </w:rPr>
              <w:t>17</w:t>
            </w:r>
          </w:p>
        </w:tc>
        <w:tc>
          <w:tcPr>
            <w:tcW w:w="930" w:type="pct"/>
          </w:tcPr>
          <w:p w14:paraId="1DDD1E02" w14:textId="061EA10B" w:rsidR="00141106" w:rsidRPr="00FF541D" w:rsidRDefault="00141106" w:rsidP="00141106">
            <w:pPr>
              <w:jc w:val="center"/>
              <w:textAlignment w:val="bottom"/>
            </w:pPr>
            <w:r w:rsidRPr="00FF541D">
              <w:t>REGN</w:t>
            </w:r>
            <w:r>
              <w:t>7999</w:t>
            </w:r>
          </w:p>
        </w:tc>
        <w:tc>
          <w:tcPr>
            <w:tcW w:w="840" w:type="pct"/>
          </w:tcPr>
          <w:p w14:paraId="46D4E501" w14:textId="192162BF" w:rsidR="00141106" w:rsidRPr="00BD5D86" w:rsidRDefault="00141106" w:rsidP="00141106">
            <w:pPr>
              <w:jc w:val="center"/>
              <w:textAlignment w:val="bottom"/>
              <w:rPr>
                <w:kern w:val="24"/>
              </w:rPr>
            </w:pPr>
            <w:r w:rsidRPr="00BD5D86">
              <w:rPr>
                <w:kern w:val="24"/>
              </w:rPr>
              <w:t>Y</w:t>
            </w:r>
          </w:p>
        </w:tc>
        <w:tc>
          <w:tcPr>
            <w:tcW w:w="1417" w:type="pct"/>
          </w:tcPr>
          <w:p w14:paraId="70622CA1" w14:textId="786B77E9" w:rsidR="00141106" w:rsidRPr="0008477F" w:rsidRDefault="00141106" w:rsidP="00141106">
            <w:pPr>
              <w:jc w:val="center"/>
              <w:textAlignment w:val="bottom"/>
              <w:rPr>
                <w:kern w:val="24"/>
              </w:rPr>
            </w:pPr>
            <w:r>
              <w:rPr>
                <w:kern w:val="24"/>
              </w:rPr>
              <w:t>36m</w:t>
            </w:r>
          </w:p>
        </w:tc>
        <w:tc>
          <w:tcPr>
            <w:tcW w:w="1417" w:type="pct"/>
          </w:tcPr>
          <w:p w14:paraId="436C5B97" w14:textId="1493A37F" w:rsidR="00141106" w:rsidRPr="0008477F" w:rsidRDefault="00141106" w:rsidP="00141106">
            <w:pPr>
              <w:jc w:val="center"/>
              <w:textAlignment w:val="bottom"/>
              <w:rPr>
                <w:kern w:val="24"/>
              </w:rPr>
            </w:pPr>
            <w:r>
              <w:rPr>
                <w:kern w:val="24"/>
              </w:rPr>
              <w:t>5, 25, 40,50</w:t>
            </w:r>
          </w:p>
        </w:tc>
      </w:tr>
      <w:tr w:rsidR="00141106" w:rsidRPr="0030210F" w14:paraId="656FBFD4" w14:textId="2F029310" w:rsidTr="00141106">
        <w:trPr>
          <w:trHeight w:val="359"/>
        </w:trPr>
        <w:tc>
          <w:tcPr>
            <w:tcW w:w="396" w:type="pct"/>
            <w:vAlign w:val="bottom"/>
          </w:tcPr>
          <w:p w14:paraId="73405E09" w14:textId="4EFBCDBD" w:rsidR="00141106" w:rsidRDefault="00141106" w:rsidP="00141106">
            <w:pPr>
              <w:jc w:val="center"/>
              <w:textAlignment w:val="bottom"/>
              <w:rPr>
                <w:rFonts w:ascii="Calibri" w:hAnsi="Calibri" w:cs="Calibri"/>
                <w:color w:val="000000"/>
              </w:rPr>
            </w:pPr>
            <w:r>
              <w:rPr>
                <w:rFonts w:ascii="Calibri" w:hAnsi="Calibri" w:cs="Calibri"/>
                <w:color w:val="000000"/>
              </w:rPr>
              <w:t>18</w:t>
            </w:r>
          </w:p>
        </w:tc>
        <w:tc>
          <w:tcPr>
            <w:tcW w:w="930" w:type="pct"/>
          </w:tcPr>
          <w:p w14:paraId="076463C1" w14:textId="49AFEA49" w:rsidR="00141106" w:rsidRPr="00141106" w:rsidRDefault="00141106" w:rsidP="00141106">
            <w:pPr>
              <w:jc w:val="center"/>
              <w:textAlignment w:val="bottom"/>
              <w:rPr>
                <w:b/>
                <w:bCs/>
              </w:rPr>
            </w:pPr>
            <w:r w:rsidRPr="00FF541D">
              <w:t>REGN</w:t>
            </w:r>
            <w:r>
              <w:t>9035</w:t>
            </w:r>
          </w:p>
        </w:tc>
        <w:tc>
          <w:tcPr>
            <w:tcW w:w="840" w:type="pct"/>
          </w:tcPr>
          <w:p w14:paraId="3153868E" w14:textId="30D60B6F" w:rsidR="00141106" w:rsidRPr="00BD5D86" w:rsidRDefault="00141106" w:rsidP="00141106">
            <w:pPr>
              <w:jc w:val="center"/>
              <w:textAlignment w:val="bottom"/>
              <w:rPr>
                <w:kern w:val="24"/>
              </w:rPr>
            </w:pPr>
            <w:r w:rsidRPr="00BD5D86">
              <w:rPr>
                <w:kern w:val="24"/>
              </w:rPr>
              <w:t>Y</w:t>
            </w:r>
          </w:p>
        </w:tc>
        <w:tc>
          <w:tcPr>
            <w:tcW w:w="1417" w:type="pct"/>
          </w:tcPr>
          <w:p w14:paraId="6C5DCC33" w14:textId="473119A9" w:rsidR="00141106" w:rsidRPr="0008477F" w:rsidRDefault="00141106" w:rsidP="00141106">
            <w:pPr>
              <w:jc w:val="center"/>
              <w:textAlignment w:val="bottom"/>
              <w:rPr>
                <w:kern w:val="24"/>
              </w:rPr>
            </w:pPr>
            <w:r>
              <w:rPr>
                <w:kern w:val="24"/>
              </w:rPr>
              <w:t>36m</w:t>
            </w:r>
          </w:p>
        </w:tc>
        <w:tc>
          <w:tcPr>
            <w:tcW w:w="1417" w:type="pct"/>
          </w:tcPr>
          <w:p w14:paraId="10D0932C" w14:textId="4DE413B7" w:rsidR="00141106" w:rsidRPr="0008477F" w:rsidRDefault="00141106" w:rsidP="00141106">
            <w:pPr>
              <w:jc w:val="center"/>
              <w:textAlignment w:val="bottom"/>
              <w:rPr>
                <w:kern w:val="24"/>
              </w:rPr>
            </w:pPr>
            <w:r>
              <w:rPr>
                <w:kern w:val="24"/>
              </w:rPr>
              <w:t>5, 25, 40</w:t>
            </w:r>
          </w:p>
        </w:tc>
      </w:tr>
      <w:tr w:rsidR="00141106" w:rsidRPr="0030210F" w14:paraId="488034BE" w14:textId="2CAAC7F7" w:rsidTr="00141106">
        <w:trPr>
          <w:trHeight w:val="359"/>
        </w:trPr>
        <w:tc>
          <w:tcPr>
            <w:tcW w:w="396" w:type="pct"/>
            <w:vAlign w:val="bottom"/>
          </w:tcPr>
          <w:p w14:paraId="3350A369" w14:textId="72A4316D" w:rsidR="00141106" w:rsidRDefault="00141106" w:rsidP="00141106">
            <w:pPr>
              <w:jc w:val="center"/>
              <w:textAlignment w:val="bottom"/>
              <w:rPr>
                <w:rFonts w:ascii="Calibri" w:hAnsi="Calibri" w:cs="Calibri"/>
                <w:color w:val="000000"/>
              </w:rPr>
            </w:pPr>
            <w:r>
              <w:rPr>
                <w:rFonts w:ascii="Calibri" w:hAnsi="Calibri" w:cs="Calibri"/>
                <w:color w:val="000000"/>
              </w:rPr>
              <w:t>19</w:t>
            </w:r>
          </w:p>
        </w:tc>
        <w:tc>
          <w:tcPr>
            <w:tcW w:w="930" w:type="pct"/>
          </w:tcPr>
          <w:p w14:paraId="3799B276" w14:textId="2AD6C5BC" w:rsidR="00141106" w:rsidRPr="00FF541D" w:rsidRDefault="00141106" w:rsidP="00141106">
            <w:pPr>
              <w:jc w:val="center"/>
              <w:textAlignment w:val="bottom"/>
            </w:pPr>
            <w:r w:rsidRPr="00FF541D">
              <w:t>REGN</w:t>
            </w:r>
            <w:r>
              <w:t>9533</w:t>
            </w:r>
          </w:p>
        </w:tc>
        <w:tc>
          <w:tcPr>
            <w:tcW w:w="840" w:type="pct"/>
          </w:tcPr>
          <w:p w14:paraId="1E601F01" w14:textId="1E817732" w:rsidR="00141106" w:rsidRPr="00BD5D86" w:rsidRDefault="00141106" w:rsidP="00141106">
            <w:pPr>
              <w:jc w:val="center"/>
              <w:textAlignment w:val="bottom"/>
              <w:rPr>
                <w:kern w:val="24"/>
              </w:rPr>
            </w:pPr>
            <w:r w:rsidRPr="00BD5D86">
              <w:rPr>
                <w:kern w:val="24"/>
              </w:rPr>
              <w:t>Y</w:t>
            </w:r>
          </w:p>
        </w:tc>
        <w:tc>
          <w:tcPr>
            <w:tcW w:w="1417" w:type="pct"/>
          </w:tcPr>
          <w:p w14:paraId="68921D70" w14:textId="296B5B09" w:rsidR="00141106" w:rsidRPr="0008477F" w:rsidRDefault="00141106" w:rsidP="00141106">
            <w:pPr>
              <w:jc w:val="center"/>
              <w:textAlignment w:val="bottom"/>
              <w:rPr>
                <w:kern w:val="24"/>
              </w:rPr>
            </w:pPr>
            <w:r>
              <w:rPr>
                <w:kern w:val="24"/>
              </w:rPr>
              <w:t>18m</w:t>
            </w:r>
          </w:p>
        </w:tc>
        <w:tc>
          <w:tcPr>
            <w:tcW w:w="1417" w:type="pct"/>
          </w:tcPr>
          <w:p w14:paraId="2EC6256D" w14:textId="16903992" w:rsidR="00141106" w:rsidRPr="0008477F" w:rsidRDefault="00141106" w:rsidP="00141106">
            <w:pPr>
              <w:jc w:val="center"/>
              <w:textAlignment w:val="bottom"/>
              <w:rPr>
                <w:kern w:val="24"/>
              </w:rPr>
            </w:pPr>
            <w:r>
              <w:rPr>
                <w:kern w:val="24"/>
              </w:rPr>
              <w:t>5, 25, 40</w:t>
            </w:r>
          </w:p>
        </w:tc>
      </w:tr>
      <w:tr w:rsidR="00141106" w:rsidRPr="0030210F" w14:paraId="4B32DF62" w14:textId="02968026" w:rsidTr="00141106">
        <w:trPr>
          <w:trHeight w:val="359"/>
        </w:trPr>
        <w:tc>
          <w:tcPr>
            <w:tcW w:w="396" w:type="pct"/>
            <w:vAlign w:val="bottom"/>
          </w:tcPr>
          <w:p w14:paraId="41E26A59" w14:textId="1AB3D6C6" w:rsidR="00141106" w:rsidRDefault="00141106" w:rsidP="00141106">
            <w:pPr>
              <w:jc w:val="center"/>
              <w:textAlignment w:val="bottom"/>
              <w:rPr>
                <w:rFonts w:ascii="Calibri" w:hAnsi="Calibri" w:cs="Calibri"/>
                <w:color w:val="000000"/>
              </w:rPr>
            </w:pPr>
            <w:r>
              <w:rPr>
                <w:rFonts w:ascii="Calibri" w:hAnsi="Calibri" w:cs="Calibri"/>
                <w:color w:val="000000"/>
              </w:rPr>
              <w:t>20</w:t>
            </w:r>
          </w:p>
        </w:tc>
        <w:tc>
          <w:tcPr>
            <w:tcW w:w="930" w:type="pct"/>
          </w:tcPr>
          <w:p w14:paraId="2616B578" w14:textId="0D7C5117" w:rsidR="00141106" w:rsidRPr="00FF541D" w:rsidRDefault="00141106" w:rsidP="00141106">
            <w:pPr>
              <w:jc w:val="center"/>
              <w:textAlignment w:val="bottom"/>
            </w:pPr>
            <w:r w:rsidRPr="00FF541D">
              <w:t>REGN</w:t>
            </w:r>
            <w:r>
              <w:t>13335</w:t>
            </w:r>
          </w:p>
        </w:tc>
        <w:tc>
          <w:tcPr>
            <w:tcW w:w="840" w:type="pct"/>
          </w:tcPr>
          <w:p w14:paraId="503C8DF7" w14:textId="67C672C8" w:rsidR="00141106" w:rsidRPr="00BD5D86" w:rsidRDefault="00141106" w:rsidP="00141106">
            <w:pPr>
              <w:jc w:val="center"/>
              <w:textAlignment w:val="bottom"/>
              <w:rPr>
                <w:kern w:val="24"/>
              </w:rPr>
            </w:pPr>
            <w:r w:rsidRPr="00BD5D86">
              <w:rPr>
                <w:kern w:val="24"/>
              </w:rPr>
              <w:t>Y</w:t>
            </w:r>
          </w:p>
        </w:tc>
        <w:tc>
          <w:tcPr>
            <w:tcW w:w="1417" w:type="pct"/>
          </w:tcPr>
          <w:p w14:paraId="3E1F209C" w14:textId="218E01A5" w:rsidR="00141106" w:rsidRPr="0008477F" w:rsidRDefault="00141106" w:rsidP="00141106">
            <w:pPr>
              <w:jc w:val="center"/>
              <w:textAlignment w:val="bottom"/>
              <w:rPr>
                <w:kern w:val="24"/>
              </w:rPr>
            </w:pPr>
            <w:r>
              <w:rPr>
                <w:kern w:val="24"/>
              </w:rPr>
              <w:t>24m</w:t>
            </w:r>
          </w:p>
        </w:tc>
        <w:tc>
          <w:tcPr>
            <w:tcW w:w="1417" w:type="pct"/>
          </w:tcPr>
          <w:p w14:paraId="62BED219" w14:textId="1AF68839" w:rsidR="00141106" w:rsidRDefault="00141106" w:rsidP="00141106">
            <w:pPr>
              <w:jc w:val="center"/>
              <w:textAlignment w:val="bottom"/>
              <w:rPr>
                <w:kern w:val="24"/>
              </w:rPr>
            </w:pPr>
            <w:r>
              <w:rPr>
                <w:kern w:val="24"/>
              </w:rPr>
              <w:t>5, 25, 40</w:t>
            </w:r>
          </w:p>
        </w:tc>
      </w:tr>
    </w:tbl>
    <w:p w14:paraId="58D15597" w14:textId="7951720C" w:rsidR="001406AD" w:rsidRDefault="001406AD"/>
    <w:sectPr w:rsidR="001406AD">
      <w:footerReference w:type="even" r:id="rId10"/>
      <w:footerReference w:type="defaul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8AC3EE" w14:textId="77777777" w:rsidR="004724A6" w:rsidRDefault="004724A6" w:rsidP="00066816">
      <w:pPr>
        <w:spacing w:after="0" w:line="240" w:lineRule="auto"/>
      </w:pPr>
      <w:r>
        <w:separator/>
      </w:r>
    </w:p>
  </w:endnote>
  <w:endnote w:type="continuationSeparator" w:id="0">
    <w:p w14:paraId="701BFCA2" w14:textId="77777777" w:rsidR="004724A6" w:rsidRDefault="004724A6" w:rsidP="00066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B94606" w14:textId="25244771" w:rsidR="00141106" w:rsidRDefault="00141106">
    <w:pPr>
      <w:pStyle w:val="a8"/>
    </w:pPr>
    <w:r>
      <w:rPr>
        <w:noProof/>
      </w:rPr>
      <mc:AlternateContent>
        <mc:Choice Requires="wps">
          <w:drawing>
            <wp:anchor distT="0" distB="0" distL="0" distR="0" simplePos="0" relativeHeight="251659264" behindDoc="0" locked="0" layoutInCell="1" allowOverlap="1" wp14:anchorId="7BD57817" wp14:editId="537E1BA7">
              <wp:simplePos x="635" y="635"/>
              <wp:positionH relativeFrom="page">
                <wp:align>center</wp:align>
              </wp:positionH>
              <wp:positionV relativeFrom="page">
                <wp:align>bottom</wp:align>
              </wp:positionV>
              <wp:extent cx="443865" cy="443865"/>
              <wp:effectExtent l="0" t="0" r="17145" b="0"/>
              <wp:wrapNone/>
              <wp:docPr id="2" name="Text Box 2" descr="Regeneron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A39E3B2" w14:textId="49E113D5" w:rsidR="00141106" w:rsidRPr="00141106" w:rsidRDefault="00141106" w:rsidP="00141106">
                          <w:pPr>
                            <w:spacing w:after="0"/>
                            <w:rPr>
                              <w:rFonts w:ascii="Calibri" w:eastAsia="Calibri" w:hAnsi="Calibri" w:cs="Calibri"/>
                              <w:noProof/>
                              <w:color w:val="898989"/>
                              <w:sz w:val="24"/>
                              <w:szCs w:val="24"/>
                            </w:rPr>
                          </w:pPr>
                          <w:r w:rsidRPr="00141106">
                            <w:rPr>
                              <w:rFonts w:ascii="Calibri" w:eastAsia="Calibri" w:hAnsi="Calibri" w:cs="Calibri"/>
                              <w:noProof/>
                              <w:color w:val="898989"/>
                              <w:sz w:val="24"/>
                              <w:szCs w:val="24"/>
                            </w:rPr>
                            <w:t>Regeneron -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BD57817" id="_x0000_t202" coordsize="21600,21600" o:spt="202" path="m,l,21600r21600,l21600,xe">
              <v:stroke joinstyle="miter"/>
              <v:path gradientshapeok="t" o:connecttype="rect"/>
            </v:shapetype>
            <v:shape id="Text Box 2" o:spid="_x0000_s1026" type="#_x0000_t202" alt="Regeneron - 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6A39E3B2" w14:textId="49E113D5" w:rsidR="00141106" w:rsidRPr="00141106" w:rsidRDefault="00141106" w:rsidP="00141106">
                    <w:pPr>
                      <w:spacing w:after="0"/>
                      <w:rPr>
                        <w:rFonts w:ascii="Calibri" w:eastAsia="Calibri" w:hAnsi="Calibri" w:cs="Calibri"/>
                        <w:noProof/>
                        <w:color w:val="898989"/>
                        <w:sz w:val="24"/>
                        <w:szCs w:val="24"/>
                      </w:rPr>
                    </w:pPr>
                    <w:r w:rsidRPr="00141106">
                      <w:rPr>
                        <w:rFonts w:ascii="Calibri" w:eastAsia="Calibri" w:hAnsi="Calibri" w:cs="Calibri"/>
                        <w:noProof/>
                        <w:color w:val="898989"/>
                        <w:sz w:val="24"/>
                        <w:szCs w:val="24"/>
                      </w:rPr>
                      <w:t>Regeneron -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B16DC" w14:textId="64AD390B" w:rsidR="00141106" w:rsidRDefault="00141106">
    <w:pPr>
      <w:pStyle w:val="a8"/>
    </w:pPr>
    <w:r>
      <w:rPr>
        <w:noProof/>
      </w:rPr>
      <mc:AlternateContent>
        <mc:Choice Requires="wps">
          <w:drawing>
            <wp:anchor distT="0" distB="0" distL="0" distR="0" simplePos="0" relativeHeight="251660288" behindDoc="0" locked="0" layoutInCell="1" allowOverlap="1" wp14:anchorId="64724026" wp14:editId="6FFB9889">
              <wp:simplePos x="914400" y="9429750"/>
              <wp:positionH relativeFrom="page">
                <wp:align>center</wp:align>
              </wp:positionH>
              <wp:positionV relativeFrom="page">
                <wp:align>bottom</wp:align>
              </wp:positionV>
              <wp:extent cx="443865" cy="443865"/>
              <wp:effectExtent l="0" t="0" r="17145" b="0"/>
              <wp:wrapNone/>
              <wp:docPr id="3" name="Text Box 3" descr="Regeneron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C14C267" w14:textId="13729421" w:rsidR="00141106" w:rsidRPr="00141106" w:rsidRDefault="00141106" w:rsidP="00141106">
                          <w:pPr>
                            <w:spacing w:after="0"/>
                            <w:rPr>
                              <w:rFonts w:ascii="Calibri" w:eastAsia="Calibri" w:hAnsi="Calibri" w:cs="Calibri"/>
                              <w:noProof/>
                              <w:color w:val="898989"/>
                              <w:sz w:val="24"/>
                              <w:szCs w:val="24"/>
                            </w:rPr>
                          </w:pPr>
                          <w:r w:rsidRPr="00141106">
                            <w:rPr>
                              <w:rFonts w:ascii="Calibri" w:eastAsia="Calibri" w:hAnsi="Calibri" w:cs="Calibri"/>
                              <w:noProof/>
                              <w:color w:val="898989"/>
                              <w:sz w:val="24"/>
                              <w:szCs w:val="24"/>
                            </w:rPr>
                            <w:t>Regeneron -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4724026" id="_x0000_t202" coordsize="21600,21600" o:spt="202" path="m,l,21600r21600,l21600,xe">
              <v:stroke joinstyle="miter"/>
              <v:path gradientshapeok="t" o:connecttype="rect"/>
            </v:shapetype>
            <v:shape id="Text Box 3" o:spid="_x0000_s1027" type="#_x0000_t202" alt="Regeneron - Intern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0C14C267" w14:textId="13729421" w:rsidR="00141106" w:rsidRPr="00141106" w:rsidRDefault="00141106" w:rsidP="00141106">
                    <w:pPr>
                      <w:spacing w:after="0"/>
                      <w:rPr>
                        <w:rFonts w:ascii="Calibri" w:eastAsia="Calibri" w:hAnsi="Calibri" w:cs="Calibri"/>
                        <w:noProof/>
                        <w:color w:val="898989"/>
                        <w:sz w:val="24"/>
                        <w:szCs w:val="24"/>
                      </w:rPr>
                    </w:pPr>
                    <w:r w:rsidRPr="00141106">
                      <w:rPr>
                        <w:rFonts w:ascii="Calibri" w:eastAsia="Calibri" w:hAnsi="Calibri" w:cs="Calibri"/>
                        <w:noProof/>
                        <w:color w:val="898989"/>
                        <w:sz w:val="24"/>
                        <w:szCs w:val="24"/>
                      </w:rPr>
                      <w:t>Regeneron -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5DDC49" w14:textId="461A3686" w:rsidR="00141106" w:rsidRDefault="00141106">
    <w:pPr>
      <w:pStyle w:val="a8"/>
    </w:pPr>
    <w:r>
      <w:rPr>
        <w:noProof/>
      </w:rPr>
      <mc:AlternateContent>
        <mc:Choice Requires="wps">
          <w:drawing>
            <wp:anchor distT="0" distB="0" distL="0" distR="0" simplePos="0" relativeHeight="251658240" behindDoc="0" locked="0" layoutInCell="1" allowOverlap="1" wp14:anchorId="76AA8074" wp14:editId="12677EC7">
              <wp:simplePos x="635" y="635"/>
              <wp:positionH relativeFrom="page">
                <wp:align>center</wp:align>
              </wp:positionH>
              <wp:positionV relativeFrom="page">
                <wp:align>bottom</wp:align>
              </wp:positionV>
              <wp:extent cx="443865" cy="443865"/>
              <wp:effectExtent l="0" t="0" r="17145" b="0"/>
              <wp:wrapNone/>
              <wp:docPr id="1" name="Text Box 1" descr="Regeneron -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FED516C" w14:textId="2E5981C4" w:rsidR="00141106" w:rsidRPr="00141106" w:rsidRDefault="00141106" w:rsidP="00141106">
                          <w:pPr>
                            <w:spacing w:after="0"/>
                            <w:rPr>
                              <w:rFonts w:ascii="Calibri" w:eastAsia="Calibri" w:hAnsi="Calibri" w:cs="Calibri"/>
                              <w:noProof/>
                              <w:color w:val="898989"/>
                              <w:sz w:val="24"/>
                              <w:szCs w:val="24"/>
                            </w:rPr>
                          </w:pPr>
                          <w:r w:rsidRPr="00141106">
                            <w:rPr>
                              <w:rFonts w:ascii="Calibri" w:eastAsia="Calibri" w:hAnsi="Calibri" w:cs="Calibri"/>
                              <w:noProof/>
                              <w:color w:val="898989"/>
                              <w:sz w:val="24"/>
                              <w:szCs w:val="24"/>
                            </w:rPr>
                            <w:t>Regeneron -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6AA8074" id="_x0000_t202" coordsize="21600,21600" o:spt="202" path="m,l,21600r21600,l21600,xe">
              <v:stroke joinstyle="miter"/>
              <v:path gradientshapeok="t" o:connecttype="rect"/>
            </v:shapetype>
            <v:shape id="Text Box 1" o:spid="_x0000_s1028" type="#_x0000_t202" alt="Regeneron - 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5FED516C" w14:textId="2E5981C4" w:rsidR="00141106" w:rsidRPr="00141106" w:rsidRDefault="00141106" w:rsidP="00141106">
                    <w:pPr>
                      <w:spacing w:after="0"/>
                      <w:rPr>
                        <w:rFonts w:ascii="Calibri" w:eastAsia="Calibri" w:hAnsi="Calibri" w:cs="Calibri"/>
                        <w:noProof/>
                        <w:color w:val="898989"/>
                        <w:sz w:val="24"/>
                        <w:szCs w:val="24"/>
                      </w:rPr>
                    </w:pPr>
                    <w:r w:rsidRPr="00141106">
                      <w:rPr>
                        <w:rFonts w:ascii="Calibri" w:eastAsia="Calibri" w:hAnsi="Calibri" w:cs="Calibri"/>
                        <w:noProof/>
                        <w:color w:val="898989"/>
                        <w:sz w:val="24"/>
                        <w:szCs w:val="24"/>
                      </w:rPr>
                      <w:t>Regeneron -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D1B297" w14:textId="77777777" w:rsidR="004724A6" w:rsidRDefault="004724A6" w:rsidP="00066816">
      <w:pPr>
        <w:spacing w:after="0" w:line="240" w:lineRule="auto"/>
      </w:pPr>
      <w:r>
        <w:separator/>
      </w:r>
    </w:p>
  </w:footnote>
  <w:footnote w:type="continuationSeparator" w:id="0">
    <w:p w14:paraId="2E073D63" w14:textId="77777777" w:rsidR="004724A6" w:rsidRDefault="004724A6" w:rsidP="000668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0108ED"/>
    <w:multiLevelType w:val="hybridMultilevel"/>
    <w:tmpl w:val="D17614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51735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AAPS PharmSciTec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066816"/>
    <w:rsid w:val="00004844"/>
    <w:rsid w:val="00037ED4"/>
    <w:rsid w:val="00066816"/>
    <w:rsid w:val="00085BC2"/>
    <w:rsid w:val="000D748F"/>
    <w:rsid w:val="000F194E"/>
    <w:rsid w:val="001406AD"/>
    <w:rsid w:val="00141106"/>
    <w:rsid w:val="0016719D"/>
    <w:rsid w:val="0022548E"/>
    <w:rsid w:val="002277BA"/>
    <w:rsid w:val="002572D2"/>
    <w:rsid w:val="002F1FCE"/>
    <w:rsid w:val="0039186D"/>
    <w:rsid w:val="003A6E14"/>
    <w:rsid w:val="003B2038"/>
    <w:rsid w:val="003F683A"/>
    <w:rsid w:val="00445A62"/>
    <w:rsid w:val="004724A6"/>
    <w:rsid w:val="00611C26"/>
    <w:rsid w:val="006504A3"/>
    <w:rsid w:val="00683D67"/>
    <w:rsid w:val="00686751"/>
    <w:rsid w:val="0071202A"/>
    <w:rsid w:val="00727B65"/>
    <w:rsid w:val="007F29DA"/>
    <w:rsid w:val="008956D5"/>
    <w:rsid w:val="00921BAF"/>
    <w:rsid w:val="009403AC"/>
    <w:rsid w:val="00941831"/>
    <w:rsid w:val="009B5530"/>
    <w:rsid w:val="009E3C25"/>
    <w:rsid w:val="00A220F6"/>
    <w:rsid w:val="00A818BC"/>
    <w:rsid w:val="00B2795D"/>
    <w:rsid w:val="00B55D38"/>
    <w:rsid w:val="00B77AFE"/>
    <w:rsid w:val="00C47508"/>
    <w:rsid w:val="00C73418"/>
    <w:rsid w:val="00C75862"/>
    <w:rsid w:val="00C84BB9"/>
    <w:rsid w:val="00CE1FC1"/>
    <w:rsid w:val="00D85634"/>
    <w:rsid w:val="00D86FE1"/>
    <w:rsid w:val="00E9730D"/>
    <w:rsid w:val="00EA3CBB"/>
    <w:rsid w:val="00F02275"/>
    <w:rsid w:val="00F74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15FC1"/>
  <w15:chartTrackingRefBased/>
  <w15:docId w15:val="{213457EA-30F2-4E66-8EFA-C26174731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6816"/>
    <w:rPr>
      <w:rFonts w:eastAsiaTheme="minorHAnsi"/>
      <w:lang w:eastAsia="en-US"/>
    </w:rPr>
  </w:style>
  <w:style w:type="paragraph" w:styleId="1">
    <w:name w:val="heading 1"/>
    <w:basedOn w:val="a"/>
    <w:next w:val="a"/>
    <w:link w:val="10"/>
    <w:uiPriority w:val="9"/>
    <w:qFormat/>
    <w:rsid w:val="000668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6504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66816"/>
    <w:rPr>
      <w:rFonts w:asciiTheme="majorHAnsi" w:eastAsiaTheme="majorEastAsia" w:hAnsiTheme="majorHAnsi" w:cstheme="majorBidi"/>
      <w:color w:val="2F5496" w:themeColor="accent1" w:themeShade="BF"/>
      <w:sz w:val="32"/>
      <w:szCs w:val="32"/>
      <w:lang w:eastAsia="en-US"/>
    </w:rPr>
  </w:style>
  <w:style w:type="character" w:styleId="a3">
    <w:name w:val="annotation reference"/>
    <w:basedOn w:val="a0"/>
    <w:uiPriority w:val="99"/>
    <w:semiHidden/>
    <w:unhideWhenUsed/>
    <w:rsid w:val="00066816"/>
    <w:rPr>
      <w:sz w:val="16"/>
      <w:szCs w:val="16"/>
    </w:rPr>
  </w:style>
  <w:style w:type="paragraph" w:styleId="a4">
    <w:name w:val="annotation text"/>
    <w:basedOn w:val="a"/>
    <w:link w:val="a5"/>
    <w:uiPriority w:val="99"/>
    <w:unhideWhenUsed/>
    <w:rsid w:val="00066816"/>
    <w:pPr>
      <w:spacing w:line="240" w:lineRule="auto"/>
    </w:pPr>
    <w:rPr>
      <w:sz w:val="20"/>
      <w:szCs w:val="20"/>
    </w:rPr>
  </w:style>
  <w:style w:type="character" w:customStyle="1" w:styleId="a5">
    <w:name w:val="批注文字 字符"/>
    <w:basedOn w:val="a0"/>
    <w:link w:val="a4"/>
    <w:uiPriority w:val="99"/>
    <w:rsid w:val="00066816"/>
    <w:rPr>
      <w:rFonts w:eastAsiaTheme="minorHAnsi"/>
      <w:sz w:val="20"/>
      <w:szCs w:val="20"/>
      <w:lang w:eastAsia="en-US"/>
    </w:rPr>
  </w:style>
  <w:style w:type="paragraph" w:customStyle="1" w:styleId="EndNoteBibliographyTitle">
    <w:name w:val="EndNote Bibliography Title"/>
    <w:basedOn w:val="a"/>
    <w:link w:val="EndNoteBibliographyTitleChar"/>
    <w:rsid w:val="00066816"/>
    <w:pPr>
      <w:spacing w:after="0"/>
      <w:jc w:val="center"/>
    </w:pPr>
    <w:rPr>
      <w:rFonts w:ascii="Calibri" w:hAnsi="Calibri" w:cs="Calibri"/>
      <w:noProof/>
    </w:rPr>
  </w:style>
  <w:style w:type="character" w:customStyle="1" w:styleId="EndNoteBibliographyTitleChar">
    <w:name w:val="EndNote Bibliography Title Char"/>
    <w:basedOn w:val="a0"/>
    <w:link w:val="EndNoteBibliographyTitle"/>
    <w:rsid w:val="00066816"/>
    <w:rPr>
      <w:rFonts w:ascii="Calibri" w:eastAsiaTheme="minorHAnsi" w:hAnsi="Calibri" w:cs="Calibri"/>
      <w:noProof/>
      <w:lang w:eastAsia="en-US"/>
    </w:rPr>
  </w:style>
  <w:style w:type="paragraph" w:customStyle="1" w:styleId="EndNoteBibliography">
    <w:name w:val="EndNote Bibliography"/>
    <w:basedOn w:val="a"/>
    <w:link w:val="EndNoteBibliographyChar"/>
    <w:rsid w:val="00066816"/>
    <w:pPr>
      <w:spacing w:line="240" w:lineRule="auto"/>
    </w:pPr>
    <w:rPr>
      <w:rFonts w:ascii="Calibri" w:hAnsi="Calibri" w:cs="Calibri"/>
      <w:noProof/>
    </w:rPr>
  </w:style>
  <w:style w:type="character" w:customStyle="1" w:styleId="EndNoteBibliographyChar">
    <w:name w:val="EndNote Bibliography Char"/>
    <w:basedOn w:val="a0"/>
    <w:link w:val="EndNoteBibliography"/>
    <w:rsid w:val="00066816"/>
    <w:rPr>
      <w:rFonts w:ascii="Calibri" w:eastAsiaTheme="minorHAnsi" w:hAnsi="Calibri" w:cs="Calibri"/>
      <w:noProof/>
      <w:lang w:eastAsia="en-US"/>
    </w:rPr>
  </w:style>
  <w:style w:type="table" w:styleId="a6">
    <w:name w:val="Table Grid"/>
    <w:basedOn w:val="a1"/>
    <w:uiPriority w:val="39"/>
    <w:rsid w:val="00A818BC"/>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C75862"/>
    <w:pPr>
      <w:ind w:left="720"/>
      <w:contextualSpacing/>
    </w:pPr>
  </w:style>
  <w:style w:type="paragraph" w:styleId="a8">
    <w:name w:val="footer"/>
    <w:basedOn w:val="a"/>
    <w:link w:val="a9"/>
    <w:uiPriority w:val="99"/>
    <w:unhideWhenUsed/>
    <w:rsid w:val="00141106"/>
    <w:pPr>
      <w:tabs>
        <w:tab w:val="center" w:pos="4680"/>
        <w:tab w:val="right" w:pos="9360"/>
      </w:tabs>
      <w:spacing w:after="0" w:line="240" w:lineRule="auto"/>
    </w:pPr>
  </w:style>
  <w:style w:type="character" w:customStyle="1" w:styleId="a9">
    <w:name w:val="页脚 字符"/>
    <w:basedOn w:val="a0"/>
    <w:link w:val="a8"/>
    <w:uiPriority w:val="99"/>
    <w:rsid w:val="00141106"/>
    <w:rPr>
      <w:rFonts w:eastAsiaTheme="minorHAnsi"/>
      <w:lang w:eastAsia="en-US"/>
    </w:rPr>
  </w:style>
  <w:style w:type="paragraph" w:styleId="aa">
    <w:name w:val="annotation subject"/>
    <w:basedOn w:val="a4"/>
    <w:next w:val="a4"/>
    <w:link w:val="ab"/>
    <w:uiPriority w:val="99"/>
    <w:semiHidden/>
    <w:unhideWhenUsed/>
    <w:rsid w:val="009E3C25"/>
    <w:rPr>
      <w:b/>
      <w:bCs/>
    </w:rPr>
  </w:style>
  <w:style w:type="character" w:customStyle="1" w:styleId="ab">
    <w:name w:val="批注主题 字符"/>
    <w:basedOn w:val="a5"/>
    <w:link w:val="aa"/>
    <w:uiPriority w:val="99"/>
    <w:semiHidden/>
    <w:rsid w:val="009E3C25"/>
    <w:rPr>
      <w:rFonts w:eastAsiaTheme="minorHAnsi"/>
      <w:b/>
      <w:bCs/>
      <w:sz w:val="20"/>
      <w:szCs w:val="20"/>
      <w:lang w:eastAsia="en-US"/>
    </w:rPr>
  </w:style>
  <w:style w:type="character" w:customStyle="1" w:styleId="20">
    <w:name w:val="标题 2 字符"/>
    <w:basedOn w:val="a0"/>
    <w:link w:val="2"/>
    <w:uiPriority w:val="9"/>
    <w:semiHidden/>
    <w:rsid w:val="006504A3"/>
    <w:rPr>
      <w:rFonts w:asciiTheme="majorHAnsi" w:eastAsiaTheme="majorEastAsia" w:hAnsiTheme="majorHAnsi" w:cstheme="majorBidi"/>
      <w:color w:val="2F5496" w:themeColor="accent1" w:themeShade="BF"/>
      <w:sz w:val="26"/>
      <w:szCs w:val="26"/>
      <w:lang w:eastAsia="en-US"/>
    </w:rPr>
  </w:style>
  <w:style w:type="paragraph" w:styleId="ac">
    <w:name w:val="caption"/>
    <w:basedOn w:val="a"/>
    <w:next w:val="a"/>
    <w:unhideWhenUsed/>
    <w:qFormat/>
    <w:rsid w:val="006504A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044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10EE026E12BC49BDE7394A7F205A76" ma:contentTypeVersion="8" ma:contentTypeDescription="Create a new document." ma:contentTypeScope="" ma:versionID="840f5f4da63445e6b79aca50c230650c">
  <xsd:schema xmlns:xsd="http://www.w3.org/2001/XMLSchema" xmlns:xs="http://www.w3.org/2001/XMLSchema" xmlns:p="http://schemas.microsoft.com/office/2006/metadata/properties" xmlns:ns2="ec635626-399b-460d-b079-466669ffc7eb" xmlns:ns3="9ca533b4-4187-4e22-950a-c4a03469c6df" targetNamespace="http://schemas.microsoft.com/office/2006/metadata/properties" ma:root="true" ma:fieldsID="a23eb65c3600c9c465d775a310590024" ns2:_="" ns3:_="">
    <xsd:import namespace="ec635626-399b-460d-b079-466669ffc7eb"/>
    <xsd:import namespace="9ca533b4-4187-4e22-950a-c4a03469c6d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635626-399b-460d-b079-466669ffc7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ca533b4-4187-4e22-950a-c4a03469c6d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4ED62D-BE43-409D-91BC-F16893D5DC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635626-399b-460d-b079-466669ffc7eb"/>
    <ds:schemaRef ds:uri="9ca533b4-4187-4e22-950a-c4a03469c6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94173C-151F-4B01-B52B-43431B51F2A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C2FFB22-DB7B-4F19-86AC-2F0AA63295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2325</Words>
  <Characters>13256</Characters>
  <Application>Microsoft Office Word</Application>
  <DocSecurity>0</DocSecurity>
  <Lines>110</Lines>
  <Paragraphs>31</Paragraphs>
  <ScaleCrop>false</ScaleCrop>
  <Company/>
  <LinksUpToDate>false</LinksUpToDate>
  <CharactersWithSpaces>15550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Jiahui Xu</dc:creator>
  <cp:keywords/>
  <dc:description/>
  <cp:lastModifiedBy>Jiahui Xu</cp:lastModifiedBy>
  <cp:revision>2</cp:revision>
  <dcterms:created xsi:type="dcterms:W3CDTF">2025-03-06T03:05:00Z</dcterms:created>
  <dcterms:modified xsi:type="dcterms:W3CDTF">2025-03-06T03:05:00Z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0x010100C010EE026E12BC49BDE7394A7F205A76</vt:lpwstr>
  </property>
  <property fmtid="{D5CDD505-2E9C-101B-9397-08002B2CF9AE}" pid="3" name="ClassificationContentMarkingFooterShapeIds">
    <vt:lpwstr>1,2,3</vt:lpwstr>
  </property>
  <property fmtid="{D5CDD505-2E9C-101B-9397-08002B2CF9AE}" pid="4" name="ClassificationContentMarkingFooterFontProps">
    <vt:lpwstr>#898989,12,Calibri</vt:lpwstr>
  </property>
  <property fmtid="{D5CDD505-2E9C-101B-9397-08002B2CF9AE}" pid="5" name="ClassificationContentMarkingFooterText">
    <vt:lpwstr>Regeneron - Internal</vt:lpwstr>
  </property>
  <property fmtid="{D5CDD505-2E9C-101B-9397-08002B2CF9AE}" pid="6" name="MSIP_Label_2da9790f-e5c1-4030-9332-9cdee48e94a8_Enabled">
    <vt:lpwstr>true</vt:lpwstr>
  </property>
  <property fmtid="{D5CDD505-2E9C-101B-9397-08002B2CF9AE}" pid="7" name="MSIP_Label_2da9790f-e5c1-4030-9332-9cdee48e94a8_SetDate">
    <vt:lpwstr>2024-10-14T01:54:05Z</vt:lpwstr>
  </property>
  <property fmtid="{D5CDD505-2E9C-101B-9397-08002B2CF9AE}" pid="8" name="MSIP_Label_2da9790f-e5c1-4030-9332-9cdee48e94a8_Method">
    <vt:lpwstr>Standard</vt:lpwstr>
  </property>
  <property fmtid="{D5CDD505-2E9C-101B-9397-08002B2CF9AE}" pid="9" name="MSIP_Label_2da9790f-e5c1-4030-9332-9cdee48e94a8_Name">
    <vt:lpwstr>Internal</vt:lpwstr>
  </property>
  <property fmtid="{D5CDD505-2E9C-101B-9397-08002B2CF9AE}" pid="10" name="MSIP_Label_2da9790f-e5c1-4030-9332-9cdee48e94a8_SiteId">
    <vt:lpwstr>3e9aadf8-6a16-490f-8dcd-c68860caae0b</vt:lpwstr>
  </property>
  <property fmtid="{D5CDD505-2E9C-101B-9397-08002B2CF9AE}" pid="11" name="MSIP_Label_2da9790f-e5c1-4030-9332-9cdee48e94a8_ActionId">
    <vt:lpwstr>2645028f-e68e-4dca-a7d9-996c8b22e9ec</vt:lpwstr>
  </property>
  <property fmtid="{D5CDD505-2E9C-101B-9397-08002B2CF9AE}" pid="12" name="MSIP_Label_2da9790f-e5c1-4030-9332-9cdee48e94a8_ContentBits">
    <vt:lpwstr>2</vt:lpwstr>
  </property>
</Properties>
</file>