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D73" w:rsidRPr="003964FD" w:rsidRDefault="00757D73">
      <w:pPr>
        <w:rPr>
          <w:lang w:val="ru-RU"/>
        </w:rPr>
      </w:pPr>
      <w:proofErr w:type="gramStart"/>
      <w:r>
        <w:rPr>
          <w:lang w:val="en-US"/>
        </w:rPr>
        <w:t>TRIPS</w:t>
      </w:r>
      <w:r w:rsidR="00434EE6" w:rsidRPr="003964FD">
        <w:rPr>
          <w:lang w:val="ru-RU"/>
        </w:rPr>
        <w:t xml:space="preserve"> - ?</w:t>
      </w:r>
      <w:proofErr w:type="gramEnd"/>
    </w:p>
    <w:p w:rsidR="003A6F09" w:rsidRDefault="00F73164">
      <w:r w:rsidRPr="00F73164">
        <w:t xml:space="preserve">Основні інститути </w:t>
      </w:r>
      <w:r>
        <w:t>права інтелектуальної власності</w:t>
      </w:r>
      <w:r w:rsidRPr="00F73164">
        <w:rPr>
          <w:lang w:val="ru-RU"/>
        </w:rPr>
        <w:t xml:space="preserve"> </w:t>
      </w:r>
      <w:r>
        <w:t>визначаються видом творчої діяльності.</w:t>
      </w:r>
    </w:p>
    <w:p w:rsidR="00F73164" w:rsidRDefault="00F73164">
      <w:r>
        <w:t>Перелік діяльностей, які відносяться  до інтелектуально власності міститься в конвенції, яка заснувала Всесвітню організацію інтелектуальної власності</w:t>
      </w:r>
    </w:p>
    <w:p w:rsidR="00F73164" w:rsidRDefault="00F73164"/>
    <w:p w:rsidR="00F73164" w:rsidRDefault="00F73164">
      <w:r>
        <w:t>Інститути права ІВ відрізняються за об’єктами та суб’єктами права:</w:t>
      </w:r>
    </w:p>
    <w:p w:rsidR="00F73164" w:rsidRDefault="00F73164" w:rsidP="00F73164">
      <w:pPr>
        <w:pStyle w:val="ListParagraph"/>
        <w:numPr>
          <w:ilvl w:val="0"/>
          <w:numId w:val="1"/>
        </w:numPr>
      </w:pPr>
      <w:r>
        <w:t xml:space="preserve">Право на об’єкти промислової власності за сферою використання результатів. Термін промислова власність введено в </w:t>
      </w:r>
      <w:r w:rsidRPr="00F73164">
        <w:t>Паризькою конвенцією</w:t>
      </w:r>
      <w:r>
        <w:t>.</w:t>
      </w:r>
      <w:r w:rsidRPr="00F73164">
        <w:t xml:space="preserve"> </w:t>
      </w:r>
      <w:r>
        <w:t>Термін «промислова власність» не розповсюджуються на обладнання, яке задіяне в промисловості.</w:t>
      </w:r>
    </w:p>
    <w:p w:rsidR="00F73164" w:rsidRDefault="00F73164" w:rsidP="00F73164">
      <w:pPr>
        <w:pStyle w:val="ListParagraph"/>
        <w:numPr>
          <w:ilvl w:val="0"/>
          <w:numId w:val="1"/>
        </w:numPr>
      </w:pPr>
      <w:r>
        <w:t>Авторське право та суміжні права – регулюють відносини, які виникають при створенні та копіюванні</w:t>
      </w:r>
    </w:p>
    <w:p w:rsidR="00F73164" w:rsidRDefault="00F73164" w:rsidP="00F73164">
      <w:pPr>
        <w:pStyle w:val="ListParagraph"/>
        <w:numPr>
          <w:ilvl w:val="0"/>
          <w:numId w:val="1"/>
        </w:numPr>
      </w:pPr>
      <w:r>
        <w:t>Право на нетрадиційні об’єкти ІВ.</w:t>
      </w:r>
    </w:p>
    <w:p w:rsidR="00F73164" w:rsidRPr="00104807" w:rsidRDefault="00F73164" w:rsidP="00F73164">
      <w:pPr>
        <w:pStyle w:val="ListParagraph"/>
        <w:numPr>
          <w:ilvl w:val="0"/>
          <w:numId w:val="1"/>
        </w:numPr>
      </w:pPr>
      <w:r>
        <w:t>Суміжні права – права на об’єкти, близькі до авторського права, але вторинні до них (права н</w:t>
      </w:r>
      <w:r w:rsidR="00242070">
        <w:t>а</w:t>
      </w:r>
      <w:r w:rsidR="00B36E99">
        <w:t xml:space="preserve"> </w:t>
      </w:r>
      <w:proofErr w:type="spellStart"/>
      <w:r>
        <w:t>телерадіовіщання</w:t>
      </w:r>
      <w:proofErr w:type="spellEnd"/>
      <w:r>
        <w:t>, виконання, фонограму…).</w:t>
      </w:r>
    </w:p>
    <w:p w:rsidR="00E85D6F" w:rsidRDefault="00104807" w:rsidP="00104807">
      <w:r>
        <w:t>Об’єкти права ІВ визначені чинним ЦК України</w:t>
      </w:r>
      <w:r w:rsidR="00A9189E">
        <w:t xml:space="preserve"> (з 1.01.2001)</w:t>
      </w:r>
      <w:r w:rsidR="00E85D6F">
        <w:t xml:space="preserve"> і поділяються на:</w:t>
      </w:r>
    </w:p>
    <w:p w:rsidR="00E85D6F" w:rsidRDefault="00E85D6F" w:rsidP="00242070">
      <w:pPr>
        <w:pStyle w:val="ListParagraph"/>
        <w:numPr>
          <w:ilvl w:val="0"/>
          <w:numId w:val="2"/>
        </w:numPr>
      </w:pPr>
      <w:r w:rsidRPr="00242070">
        <w:rPr>
          <w:b/>
        </w:rPr>
        <w:t>Об’єкти промислової власності</w:t>
      </w:r>
      <w:r>
        <w:t>: винаходи, корисні моделі, промислові зразки (це все об’єкти патентного права); торгівельні марки, знаки для товарів та послуг, географічні зазначення, фірмові комерційні найменування.</w:t>
      </w:r>
    </w:p>
    <w:p w:rsidR="00E85D6F" w:rsidRDefault="00E85D6F" w:rsidP="00242070">
      <w:pPr>
        <w:pStyle w:val="ListParagraph"/>
        <w:numPr>
          <w:ilvl w:val="0"/>
          <w:numId w:val="2"/>
        </w:numPr>
      </w:pPr>
      <w:r w:rsidRPr="00242070">
        <w:rPr>
          <w:b/>
        </w:rPr>
        <w:t>Нетрадиційні об’єкти інтелектуальної власності</w:t>
      </w:r>
      <w:r>
        <w:t>: сорти рослин, роди тварин,</w:t>
      </w:r>
      <w:r w:rsidR="00757D73">
        <w:t xml:space="preserve"> топографії інтегральних мікросхем</w:t>
      </w:r>
      <w:r w:rsidR="00B7786F">
        <w:t>, комерційні таємниці (</w:t>
      </w:r>
      <w:proofErr w:type="spellStart"/>
      <w:r w:rsidR="00B7786F">
        <w:t>НоуХау</w:t>
      </w:r>
      <w:proofErr w:type="spellEnd"/>
      <w:r w:rsidR="00B7786F">
        <w:t xml:space="preserve"> – секрет виробництва), наукові відкриття, раціоналізаторські пропозиції (дрібне вдосконалення в межах підприємства).</w:t>
      </w:r>
    </w:p>
    <w:p w:rsidR="00242070" w:rsidRDefault="00242070" w:rsidP="00242070">
      <w:pPr>
        <w:pStyle w:val="ListParagraph"/>
        <w:numPr>
          <w:ilvl w:val="0"/>
          <w:numId w:val="2"/>
        </w:numPr>
      </w:pPr>
      <w:r w:rsidRPr="00242070">
        <w:rPr>
          <w:b/>
        </w:rPr>
        <w:t>Об’єкти авторського права та суміжні права</w:t>
      </w:r>
      <w:r>
        <w:t>: наукова література та літературні твори, комп’ютерні програми, бази даних</w:t>
      </w:r>
      <w:r w:rsidR="00B36E99">
        <w:t>,музичні твори, незалежно від жанру</w:t>
      </w:r>
      <w:r w:rsidR="00A12686">
        <w:t xml:space="preserve">, аудіовізуальні твори, </w:t>
      </w:r>
      <w:proofErr w:type="spellStart"/>
      <w:r w:rsidR="00A12686">
        <w:t>твори</w:t>
      </w:r>
      <w:proofErr w:type="spellEnd"/>
      <w:r w:rsidR="00A12686">
        <w:t xml:space="preserve"> образотворчого мистецтва (автори чи нащадки з кожної перепродажі отримують 5%), фотографічні твори, </w:t>
      </w:r>
      <w:proofErr w:type="spellStart"/>
      <w:r w:rsidR="00A12686">
        <w:t>твори</w:t>
      </w:r>
      <w:proofErr w:type="spellEnd"/>
      <w:r w:rsidR="00A12686">
        <w:t xml:space="preserve"> архітектури, твори хореографії та пантоміми, </w:t>
      </w:r>
      <w:r w:rsidR="005042C4">
        <w:t>похідні твори (переклади, обробки, ано</w:t>
      </w:r>
      <w:r w:rsidR="00A12686">
        <w:t>т</w:t>
      </w:r>
      <w:r w:rsidR="005042C4">
        <w:t>а</w:t>
      </w:r>
      <w:r w:rsidR="00A12686">
        <w:t>ції)</w:t>
      </w:r>
      <w:r w:rsidR="005042C4">
        <w:t>, суміжні права (виконання творів, фонограми та відеограми, передача організацій мовленні). Перелік об’єктів стосовно авторського права не є вичерпним.</w:t>
      </w:r>
      <w:r w:rsidR="0086763D">
        <w:t xml:space="preserve"> Сюди ж відносять карти, супутникові фотографії.</w:t>
      </w:r>
    </w:p>
    <w:p w:rsidR="00902B98" w:rsidRDefault="0086763D" w:rsidP="0086763D">
      <w:r>
        <w:t>Захист об’єктів промислової власності підтверджується охоронним об’єктом, який видається при виконанні певних умов, які виконується законодавчо. Об’єкти промислової власності потребують державної кваліфікації і реєстрації. Права на них виникають лише по факту проведення експертизи. Для об’єктів промислової власності значення має зміст, ідея. Для авторського права – форма.</w:t>
      </w:r>
    </w:p>
    <w:p w:rsidR="00902B98" w:rsidRDefault="00902B98" w:rsidP="003964FD">
      <w:pPr>
        <w:pStyle w:val="Heading1"/>
      </w:pPr>
      <w:r>
        <w:t>Система правової охорони ІВ в України</w:t>
      </w:r>
    </w:p>
    <w:p w:rsidR="00902B98" w:rsidRDefault="00902B98" w:rsidP="0086763D">
      <w:r>
        <w:t xml:space="preserve">До 1991 в Україні був ЦК УСРС і ньому було в глави: винахідницьке та авторське право. Сучасну законодавчу базу складають: Конституція України (ст. 41-42, 46-54), Цивільний кодекс (книга 4,5 - </w:t>
      </w:r>
      <w:proofErr w:type="spellStart"/>
      <w:r>
        <w:t>Зобов’язувальне</w:t>
      </w:r>
      <w:proofErr w:type="spellEnd"/>
      <w:r>
        <w:t xml:space="preserve">, тобто договірне право), Цивільний процесуальний кодекс, Господарський кодекс, Господарський процесуальний, Кримінальний, </w:t>
      </w:r>
      <w:proofErr w:type="spellStart"/>
      <w:r>
        <w:t>Кримінальний</w:t>
      </w:r>
      <w:proofErr w:type="spellEnd"/>
      <w:r>
        <w:t xml:space="preserve"> процесуальний, Кодекс про адміністративні правопорушення, Митний кодекс (коли на ринок через таможню поступають товари, які порушують права громадянина), Кодекс законів про працю, спеціальні закони України, тобто Закон України про охорону прав на винаходи і корисні моделі, про охорону прав на промислові зразки, про охорону прав на знаки товарів і послуг, про охорону прав на сорти рослин, про племінну справу в тваринництві про охорону прав на топографію інтегральних схем, про авторське право і </w:t>
      </w:r>
      <w:r>
        <w:lastRenderedPageBreak/>
        <w:t xml:space="preserve">суміжні права, про захист від недобросовісної конкуренції, про захист від економічної конкуренції (коли не дають вийти на ринок), про розповсюдження примірників аудіовізуальних творів та фонограм, про особливості державного регулювання діяльності суб’єктів господарювання, пов’язані з </w:t>
      </w:r>
      <w:r w:rsidR="00F061AC">
        <w:t>…оптичних…, про оцінку майна, професійну оціночну діяльність, укази та розпорядження президента, постанови кабміну та підзаконні акти (37 законів та 100 підзаконних актів</w:t>
      </w:r>
      <w:r w:rsidR="000F2632">
        <w:t>)</w:t>
      </w:r>
      <w:r w:rsidR="005117DA">
        <w:t>.</w:t>
      </w:r>
    </w:p>
    <w:p w:rsidR="005117DA" w:rsidRDefault="005117DA" w:rsidP="0086763D">
      <w:r>
        <w:t>Верховенство перед національними законами мають міжнародні договори, до як</w:t>
      </w:r>
      <w:r w:rsidR="008A0F28">
        <w:t>их</w:t>
      </w:r>
      <w:r>
        <w:t xml:space="preserve"> приєдналася Україна, особливо, якщо це стосується прав іноземців.</w:t>
      </w:r>
    </w:p>
    <w:p w:rsidR="008A0F28" w:rsidRDefault="008A0F28" w:rsidP="003964FD">
      <w:pPr>
        <w:pStyle w:val="Heading1"/>
      </w:pPr>
      <w:r>
        <w:t>Структура державних органів</w:t>
      </w:r>
    </w:p>
    <w:p w:rsidR="008A0F28" w:rsidRDefault="008A0F28" w:rsidP="0086763D">
      <w:r>
        <w:t>Міністерство науки і освіти молоді і спорту</w:t>
      </w:r>
    </w:p>
    <w:p w:rsidR="008A0F28" w:rsidRDefault="008A0F28" w:rsidP="008A0F28">
      <w:pPr>
        <w:ind w:firstLine="708"/>
      </w:pPr>
      <w:r>
        <w:t>Державний департамент інтелектуальної власності</w:t>
      </w:r>
      <w:r w:rsidR="004D630B">
        <w:t xml:space="preserve"> – займається координацією діяльності </w:t>
      </w:r>
      <w:proofErr w:type="spellStart"/>
      <w:r w:rsidR="004D630B">
        <w:t>ів</w:t>
      </w:r>
      <w:proofErr w:type="spellEnd"/>
      <w:r w:rsidR="004D630B">
        <w:t xml:space="preserve"> області інтелектуальної власності. Реєструє всі договори про передачу прав, реєструє патенти</w:t>
      </w:r>
    </w:p>
    <w:p w:rsidR="008A0F28" w:rsidRDefault="008A0F28" w:rsidP="008A0F28">
      <w:pPr>
        <w:ind w:left="708" w:firstLine="708"/>
      </w:pPr>
      <w:r>
        <w:t>Державні інспектори з інтелектуальної власності</w:t>
      </w:r>
    </w:p>
    <w:p w:rsidR="008A0F28" w:rsidRDefault="008A0F28" w:rsidP="008A0F28">
      <w:pPr>
        <w:ind w:left="708" w:firstLine="708"/>
      </w:pPr>
      <w:r>
        <w:t>Державне підприємство «Український інститут промислової власності» (</w:t>
      </w:r>
      <w:proofErr w:type="spellStart"/>
      <w:r>
        <w:t>Укрпатент</w:t>
      </w:r>
      <w:proofErr w:type="spellEnd"/>
      <w:r>
        <w:t>)</w:t>
      </w:r>
      <w:r w:rsidR="004D630B">
        <w:t xml:space="preserve"> – експертизи заявок на об’єкти промислової власності, інформаційне забезпечення, має філію «Український центр </w:t>
      </w:r>
      <w:proofErr w:type="spellStart"/>
      <w:r w:rsidR="004D630B">
        <w:t>інноватики</w:t>
      </w:r>
      <w:proofErr w:type="spellEnd"/>
      <w:r w:rsidR="004D630B">
        <w:t xml:space="preserve"> та патентно-інформаційних послуг»</w:t>
      </w:r>
    </w:p>
    <w:p w:rsidR="008A0F28" w:rsidRDefault="008A0F28" w:rsidP="008A0F28">
      <w:pPr>
        <w:ind w:left="708" w:firstLine="708"/>
      </w:pPr>
      <w:r>
        <w:t>ДП «Українське агентство з авторських та суміжних прав»</w:t>
      </w:r>
    </w:p>
    <w:p w:rsidR="008A0F28" w:rsidRDefault="008A0F28" w:rsidP="008A0F28">
      <w:pPr>
        <w:ind w:left="708" w:firstLine="708"/>
      </w:pPr>
      <w:r>
        <w:t>ДП «</w:t>
      </w:r>
      <w:proofErr w:type="spellStart"/>
      <w:r>
        <w:t>Інтелзахист</w:t>
      </w:r>
      <w:proofErr w:type="spellEnd"/>
      <w:r>
        <w:t>»</w:t>
      </w:r>
    </w:p>
    <w:p w:rsidR="008A0F28" w:rsidRPr="00B7786F" w:rsidRDefault="008A0F28" w:rsidP="008A0F28">
      <w:pPr>
        <w:ind w:left="708" w:firstLine="708"/>
      </w:pPr>
      <w:r>
        <w:t>Громадські організації</w:t>
      </w:r>
    </w:p>
    <w:p w:rsidR="00F73164" w:rsidRDefault="003964FD" w:rsidP="003964FD">
      <w:pPr>
        <w:pStyle w:val="Heading1"/>
      </w:pPr>
      <w:r>
        <w:t>Міжнародна система охорони прав інтелектуальної власності</w:t>
      </w:r>
    </w:p>
    <w:p w:rsidR="003964FD" w:rsidRDefault="00582F20" w:rsidP="00F73164">
      <w:r>
        <w:t>Міжнародні ратифіковані договори впливають на законодавство України.</w:t>
      </w:r>
    </w:p>
    <w:p w:rsidR="00936CD5" w:rsidRDefault="00936CD5" w:rsidP="00F73164">
      <w:r>
        <w:t>Основою міжнародної системи ІВ є 23 угоди: 15 стосуються промислової власності, 8 – авторського та суміжного права.</w:t>
      </w:r>
    </w:p>
    <w:p w:rsidR="00936CD5" w:rsidRDefault="00936CD5" w:rsidP="00F73164">
      <w:r>
        <w:t>Класифікація:</w:t>
      </w:r>
    </w:p>
    <w:p w:rsidR="00675294" w:rsidRDefault="00936CD5" w:rsidP="00936CD5">
      <w:pPr>
        <w:pStyle w:val="ListParagraph"/>
        <w:numPr>
          <w:ilvl w:val="0"/>
          <w:numId w:val="3"/>
        </w:numPr>
      </w:pPr>
      <w:r>
        <w:t>Угоди, які встановлюють міжна</w:t>
      </w:r>
      <w:r w:rsidR="00675294">
        <w:t>родну систему охорони (базові):</w:t>
      </w:r>
    </w:p>
    <w:p w:rsidR="00675294" w:rsidRDefault="00936CD5" w:rsidP="00675294">
      <w:pPr>
        <w:pStyle w:val="ListParagraph"/>
        <w:numPr>
          <w:ilvl w:val="1"/>
          <w:numId w:val="4"/>
        </w:numPr>
      </w:pPr>
      <w:r>
        <w:t>Пари</w:t>
      </w:r>
      <w:r w:rsidR="00F05404">
        <w:t>з</w:t>
      </w:r>
      <w:r>
        <w:t>ька кон</w:t>
      </w:r>
      <w:r w:rsidR="00F05404">
        <w:t>в</w:t>
      </w:r>
      <w:r>
        <w:t>енція про охорону власності (1983), Україна – з грудня 1991</w:t>
      </w:r>
    </w:p>
    <w:p w:rsidR="00675294" w:rsidRDefault="009E6E12" w:rsidP="00675294">
      <w:pPr>
        <w:pStyle w:val="ListParagraph"/>
        <w:numPr>
          <w:ilvl w:val="1"/>
          <w:numId w:val="4"/>
        </w:numPr>
      </w:pPr>
      <w:r>
        <w:t>угода щодо торгівельних знаків</w:t>
      </w:r>
      <w:r w:rsidR="00936CD5">
        <w:t xml:space="preserve"> (</w:t>
      </w:r>
      <w:r w:rsidR="00936CD5">
        <w:rPr>
          <w:lang w:val="en-US"/>
        </w:rPr>
        <w:t>TLT</w:t>
      </w:r>
      <w:r w:rsidR="00936CD5">
        <w:t>)</w:t>
      </w:r>
      <w:r>
        <w:t xml:space="preserve"> – 1994, Україна –</w:t>
      </w:r>
      <w:r w:rsidR="001A5684">
        <w:t xml:space="preserve"> 1995</w:t>
      </w:r>
    </w:p>
    <w:p w:rsidR="00675294" w:rsidRDefault="001A5684" w:rsidP="00675294">
      <w:pPr>
        <w:pStyle w:val="ListParagraph"/>
        <w:numPr>
          <w:ilvl w:val="1"/>
          <w:numId w:val="4"/>
        </w:numPr>
      </w:pPr>
      <w:r>
        <w:t>мадридська угода про санкції про неправдиві та неправильні позначення виробів – 1891</w:t>
      </w:r>
    </w:p>
    <w:p w:rsidR="00675294" w:rsidRDefault="001A5684" w:rsidP="00675294">
      <w:pPr>
        <w:pStyle w:val="ListParagraph"/>
        <w:numPr>
          <w:ilvl w:val="1"/>
          <w:numId w:val="4"/>
        </w:numPr>
      </w:pPr>
      <w:r>
        <w:t xml:space="preserve">вашингтонська угода про заборону копіювання інтегральних схем – досі </w:t>
      </w:r>
      <w:r w:rsidR="00F876D0">
        <w:t>не є ч</w:t>
      </w:r>
      <w:r w:rsidR="00675294">
        <w:t>инною</w:t>
      </w:r>
    </w:p>
    <w:p w:rsidR="00675294" w:rsidRDefault="00F876D0" w:rsidP="00675294">
      <w:pPr>
        <w:pStyle w:val="ListParagraph"/>
        <w:numPr>
          <w:ilvl w:val="1"/>
          <w:numId w:val="4"/>
        </w:numPr>
      </w:pPr>
      <w:r>
        <w:t>договір про охорону олімпійського символу –</w:t>
      </w:r>
      <w:r w:rsidR="00675294">
        <w:t xml:space="preserve"> 1981</w:t>
      </w:r>
    </w:p>
    <w:p w:rsidR="00675294" w:rsidRDefault="008244A6" w:rsidP="00675294">
      <w:pPr>
        <w:pStyle w:val="ListParagraph"/>
        <w:numPr>
          <w:ilvl w:val="1"/>
          <w:numId w:val="4"/>
        </w:numPr>
      </w:pPr>
      <w:r>
        <w:t xml:space="preserve">Бернська конвенція про захист </w:t>
      </w:r>
      <w:r w:rsidR="002C1238">
        <w:t>літературних і художніх творів – 1986</w:t>
      </w:r>
      <w:r w:rsidR="001B18EB">
        <w:t xml:space="preserve">, Україна – з </w:t>
      </w:r>
      <w:r w:rsidR="00675294">
        <w:t>1995</w:t>
      </w:r>
    </w:p>
    <w:p w:rsidR="00675294" w:rsidRDefault="001B18EB" w:rsidP="00675294">
      <w:pPr>
        <w:pStyle w:val="ListParagraph"/>
        <w:numPr>
          <w:ilvl w:val="1"/>
          <w:numId w:val="4"/>
        </w:numPr>
      </w:pPr>
      <w:r>
        <w:t xml:space="preserve">Міжнародна конвенція про охорону прав виконавців, виробників фонограм і організацій </w:t>
      </w:r>
      <w:r w:rsidR="007373B0">
        <w:t>е</w:t>
      </w:r>
      <w:r>
        <w:t>фірного мовлення (Римська конвенція) – 1961, Укра</w:t>
      </w:r>
      <w:r w:rsidR="007373B0">
        <w:t>ї</w:t>
      </w:r>
      <w:r>
        <w:t>на –</w:t>
      </w:r>
      <w:r w:rsidR="00675294">
        <w:t xml:space="preserve"> 1992</w:t>
      </w:r>
    </w:p>
    <w:p w:rsidR="00675294" w:rsidRDefault="00BD0CE7" w:rsidP="00675294">
      <w:pPr>
        <w:pStyle w:val="ListParagraph"/>
        <w:numPr>
          <w:ilvl w:val="1"/>
          <w:numId w:val="4"/>
        </w:numPr>
      </w:pPr>
      <w:r>
        <w:t>Женевська конвенція про охорону виробників фонограм від незаконного копіювання та відтворення їх фонограм –</w:t>
      </w:r>
      <w:r w:rsidR="00675294">
        <w:t xml:space="preserve"> 1971</w:t>
      </w:r>
    </w:p>
    <w:p w:rsidR="00675294" w:rsidRDefault="008F2826" w:rsidP="00675294">
      <w:pPr>
        <w:pStyle w:val="ListParagraph"/>
        <w:numPr>
          <w:ilvl w:val="1"/>
          <w:numId w:val="4"/>
        </w:numPr>
      </w:pPr>
      <w:r>
        <w:t>Брюссельська конвенція про супутники –</w:t>
      </w:r>
      <w:r w:rsidR="00675294">
        <w:t xml:space="preserve"> 1971</w:t>
      </w:r>
    </w:p>
    <w:p w:rsidR="00936CD5" w:rsidRDefault="008F2826" w:rsidP="00675294">
      <w:pPr>
        <w:pStyle w:val="ListParagraph"/>
        <w:numPr>
          <w:ilvl w:val="1"/>
          <w:numId w:val="4"/>
        </w:numPr>
      </w:pPr>
      <w:r>
        <w:t>Договір про авторське право та договір про виконання і фонограми (</w:t>
      </w:r>
      <w:proofErr w:type="spellStart"/>
      <w:r>
        <w:t>інтернет-договори</w:t>
      </w:r>
      <w:proofErr w:type="spellEnd"/>
      <w:r>
        <w:t>) – 1996,</w:t>
      </w:r>
    </w:p>
    <w:p w:rsidR="00675294" w:rsidRDefault="008F2826" w:rsidP="00936CD5">
      <w:pPr>
        <w:pStyle w:val="ListParagraph"/>
        <w:numPr>
          <w:ilvl w:val="0"/>
          <w:numId w:val="3"/>
        </w:numPr>
      </w:pPr>
      <w:r>
        <w:lastRenderedPageBreak/>
        <w:t xml:space="preserve">Угоди, що полегшують отримання охорони одночасно в декількох країнах: </w:t>
      </w:r>
    </w:p>
    <w:p w:rsidR="00675294" w:rsidRDefault="008F2826" w:rsidP="00675294">
      <w:pPr>
        <w:pStyle w:val="ListParagraph"/>
        <w:numPr>
          <w:ilvl w:val="1"/>
          <w:numId w:val="5"/>
        </w:numPr>
      </w:pPr>
      <w:r>
        <w:t>договір про патентну кооперацію (</w:t>
      </w:r>
      <w:r>
        <w:rPr>
          <w:lang w:val="en-US"/>
        </w:rPr>
        <w:t>PCT</w:t>
      </w:r>
      <w:r>
        <w:t>)</w:t>
      </w:r>
      <w:r w:rsidR="00331D3D">
        <w:t xml:space="preserve"> – дозволив проводити міжнародний патентний пошук</w:t>
      </w:r>
      <w:r w:rsidR="002148F2">
        <w:t>, 1970, Україна –</w:t>
      </w:r>
      <w:r w:rsidR="00675294">
        <w:t xml:space="preserve"> 2002</w:t>
      </w:r>
    </w:p>
    <w:p w:rsidR="00675294" w:rsidRDefault="002148F2" w:rsidP="00675294">
      <w:pPr>
        <w:pStyle w:val="ListParagraph"/>
        <w:numPr>
          <w:ilvl w:val="1"/>
          <w:numId w:val="5"/>
        </w:numPr>
      </w:pPr>
      <w:r>
        <w:t>Договір про патентне право (</w:t>
      </w:r>
      <w:r>
        <w:rPr>
          <w:lang w:val="en-US"/>
        </w:rPr>
        <w:t>PLT</w:t>
      </w:r>
      <w:r>
        <w:t>)</w:t>
      </w:r>
    </w:p>
    <w:p w:rsidR="00675294" w:rsidRDefault="00F33229" w:rsidP="00675294">
      <w:pPr>
        <w:pStyle w:val="ListParagraph"/>
        <w:numPr>
          <w:ilvl w:val="1"/>
          <w:numId w:val="5"/>
        </w:numPr>
      </w:pPr>
      <w:r>
        <w:t xml:space="preserve">Мадридська угода про реєстрацію знаків </w:t>
      </w:r>
      <w:r w:rsidR="00675294">
        <w:t xml:space="preserve">– 1891, </w:t>
      </w:r>
      <w:r>
        <w:t>та протокол до неї</w:t>
      </w:r>
    </w:p>
    <w:p w:rsidR="00675294" w:rsidRDefault="00675294" w:rsidP="00675294">
      <w:pPr>
        <w:pStyle w:val="ListParagraph"/>
        <w:numPr>
          <w:ilvl w:val="1"/>
          <w:numId w:val="5"/>
        </w:numPr>
      </w:pPr>
      <w:proofErr w:type="spellStart"/>
      <w:r>
        <w:t>Гааська</w:t>
      </w:r>
      <w:proofErr w:type="spellEnd"/>
      <w:r>
        <w:t xml:space="preserve"> угода про реєстрацію промислових зразків – 1925</w:t>
      </w:r>
    </w:p>
    <w:p w:rsidR="008F2826" w:rsidRDefault="00675294" w:rsidP="00675294">
      <w:pPr>
        <w:pStyle w:val="ListParagraph"/>
        <w:numPr>
          <w:ilvl w:val="1"/>
          <w:numId w:val="5"/>
        </w:numPr>
      </w:pPr>
      <w:r>
        <w:t xml:space="preserve">Лісабонська угода про охорону за значимість за </w:t>
      </w:r>
      <w:proofErr w:type="spellStart"/>
      <w:r>
        <w:t>неправдивві</w:t>
      </w:r>
      <w:proofErr w:type="spellEnd"/>
      <w:r>
        <w:t xml:space="preserve"> …</w:t>
      </w:r>
    </w:p>
    <w:p w:rsidR="00675294" w:rsidRDefault="00D07FBE" w:rsidP="00675294">
      <w:pPr>
        <w:pStyle w:val="ListParagraph"/>
        <w:numPr>
          <w:ilvl w:val="1"/>
          <w:numId w:val="5"/>
        </w:numPr>
      </w:pPr>
      <w:r>
        <w:t>Будапештський договір про визнання мікроорганізмів ….</w:t>
      </w:r>
    </w:p>
    <w:p w:rsidR="00D07FBE" w:rsidRDefault="006E137A" w:rsidP="00675294">
      <w:pPr>
        <w:pStyle w:val="ListParagraph"/>
        <w:numPr>
          <w:ilvl w:val="1"/>
          <w:numId w:val="5"/>
        </w:numPr>
      </w:pPr>
      <w:r>
        <w:t>Договір про міжнародну реєстрацію аудіовізуальних творів (</w:t>
      </w:r>
      <w:r w:rsidR="00931CA5">
        <w:rPr>
          <w:lang w:val="en-US"/>
        </w:rPr>
        <w:t>F</w:t>
      </w:r>
      <w:r>
        <w:rPr>
          <w:lang w:val="en-US"/>
        </w:rPr>
        <w:t>RT</w:t>
      </w:r>
      <w:r>
        <w:t>)</w:t>
      </w:r>
      <w:r w:rsidR="005C12F7">
        <w:t xml:space="preserve"> – 1989;</w:t>
      </w:r>
    </w:p>
    <w:p w:rsidR="005C12F7" w:rsidRDefault="005C12F7" w:rsidP="005C12F7">
      <w:pPr>
        <w:pStyle w:val="ListParagraph"/>
        <w:numPr>
          <w:ilvl w:val="0"/>
          <w:numId w:val="3"/>
        </w:numPr>
      </w:pPr>
      <w:r>
        <w:t>Угоди, що встановлюють міжнародні класифікації</w:t>
      </w:r>
    </w:p>
    <w:p w:rsidR="005C12F7" w:rsidRDefault="005C12F7" w:rsidP="005C12F7">
      <w:pPr>
        <w:pStyle w:val="ListParagraph"/>
        <w:numPr>
          <w:ilvl w:val="1"/>
          <w:numId w:val="5"/>
        </w:numPr>
      </w:pPr>
      <w:r>
        <w:t>Локарнська угода про утворення міжнародної класифікації міжнародних промислових зразків – 1968</w:t>
      </w:r>
    </w:p>
    <w:p w:rsidR="005C12F7" w:rsidRDefault="005C12F7" w:rsidP="005C12F7">
      <w:pPr>
        <w:pStyle w:val="ListParagraph"/>
        <w:numPr>
          <w:ilvl w:val="1"/>
          <w:numId w:val="5"/>
        </w:numPr>
      </w:pPr>
      <w:proofErr w:type="spellStart"/>
      <w:r>
        <w:t>Ніцська</w:t>
      </w:r>
      <w:proofErr w:type="spellEnd"/>
      <w:r>
        <w:t xml:space="preserve"> угода про </w:t>
      </w:r>
      <w:r w:rsidR="007D63DA">
        <w:t>класифікацію</w:t>
      </w:r>
      <w:r>
        <w:t xml:space="preserve"> товарних знаків</w:t>
      </w:r>
    </w:p>
    <w:p w:rsidR="00E64C4F" w:rsidRDefault="00E64C4F" w:rsidP="005C12F7">
      <w:pPr>
        <w:pStyle w:val="ListParagraph"/>
        <w:numPr>
          <w:ilvl w:val="1"/>
          <w:numId w:val="5"/>
        </w:numPr>
      </w:pPr>
      <w:proofErr w:type="spellStart"/>
      <w:r>
        <w:t>Стратсьбургська</w:t>
      </w:r>
      <w:proofErr w:type="spellEnd"/>
      <w:r>
        <w:t xml:space="preserve"> угода про міжнародну патентну класифікацію – 1971;</w:t>
      </w:r>
    </w:p>
    <w:p w:rsidR="00E64C4F" w:rsidRDefault="00E64C4F" w:rsidP="005C12F7">
      <w:pPr>
        <w:pStyle w:val="ListParagraph"/>
        <w:numPr>
          <w:ilvl w:val="1"/>
          <w:numId w:val="5"/>
        </w:numPr>
      </w:pPr>
      <w:proofErr w:type="spellStart"/>
      <w:r>
        <w:t>Віденьска</w:t>
      </w:r>
      <w:proofErr w:type="spellEnd"/>
      <w:r>
        <w:t xml:space="preserve"> угода про міжнародну класифікацію зображувальних елементів знаків</w:t>
      </w:r>
    </w:p>
    <w:p w:rsidR="00E64C4F" w:rsidRDefault="00E64C4F" w:rsidP="005C12F7">
      <w:pPr>
        <w:pStyle w:val="ListParagraph"/>
        <w:numPr>
          <w:ilvl w:val="1"/>
          <w:numId w:val="5"/>
        </w:numPr>
      </w:pPr>
      <w:r>
        <w:t>Всесвітня конвенція про авторське право – 1956;</w:t>
      </w:r>
    </w:p>
    <w:p w:rsidR="00E64C4F" w:rsidRDefault="00E64C4F" w:rsidP="005C12F7">
      <w:pPr>
        <w:pStyle w:val="ListParagraph"/>
        <w:numPr>
          <w:ilvl w:val="1"/>
          <w:numId w:val="5"/>
        </w:numPr>
      </w:pPr>
      <w:r>
        <w:t>Угода про торгівельні аспекти торгівельної власності (</w:t>
      </w:r>
      <w:r>
        <w:rPr>
          <w:lang w:val="en-US"/>
        </w:rPr>
        <w:t>TRIPS</w:t>
      </w:r>
      <w:r>
        <w:t>)</w:t>
      </w:r>
    </w:p>
    <w:p w:rsidR="00B12D7F" w:rsidRDefault="00B12D7F" w:rsidP="00B12D7F">
      <w:pPr>
        <w:pStyle w:val="Heading1"/>
      </w:pPr>
      <w:r>
        <w:t>Всесвітня угода інтелектуальної власності (ВО</w:t>
      </w:r>
      <w:r w:rsidR="00C00592">
        <w:t>І</w:t>
      </w:r>
      <w:r w:rsidR="005328CF">
        <w:t>В</w:t>
      </w:r>
      <w:r>
        <w:t>)</w:t>
      </w:r>
    </w:p>
    <w:p w:rsidR="00F73164" w:rsidRDefault="00AD0B1B" w:rsidP="00F73164">
      <w:r>
        <w:t>Розроблена в 1883</w:t>
      </w:r>
      <w:r w:rsidR="00F05404">
        <w:t>. До цього існували дво</w:t>
      </w:r>
      <w:r w:rsidR="00A31347">
        <w:t>сторонні договори між сусідніми країнами.</w:t>
      </w:r>
    </w:p>
    <w:p w:rsidR="00C00592" w:rsidRDefault="00C00592" w:rsidP="00F73164">
      <w:r>
        <w:t>1967 – конвенція, яка заснувала ВОІ</w:t>
      </w:r>
      <w:r w:rsidR="005328CF">
        <w:t>В.</w:t>
      </w:r>
    </w:p>
    <w:p w:rsidR="005328CF" w:rsidRDefault="005328CF" w:rsidP="00F73164">
      <w:r>
        <w:t>Мета – поліпшення розуміння та співробітництва. Реєструє всі міжнародні з</w:t>
      </w:r>
      <w:r w:rsidR="00230DCF">
        <w:t>аявки. Керує патентними фондами, оновлює класифікаційні системи, програмна діяльність в підготовці нових угод і оновленні існуючих, гармонізація регіональних законодавств.</w:t>
      </w:r>
    </w:p>
    <w:p w:rsidR="00230DCF" w:rsidRDefault="00230DCF" w:rsidP="00F73164">
      <w:r>
        <w:t xml:space="preserve">Членом може бути </w:t>
      </w:r>
      <w:r w:rsidR="00C875F4">
        <w:t>будь-яка</w:t>
      </w:r>
      <w:r>
        <w:t xml:space="preserve"> країна, яка є членом ООН або підписала угоду з ВОІВ.</w:t>
      </w:r>
    </w:p>
    <w:p w:rsidR="005F2922" w:rsidRDefault="005F2922" w:rsidP="00F73164">
      <w:r>
        <w:t>Грамоти здають генеральному секретареві ВОІВ.</w:t>
      </w:r>
    </w:p>
    <w:p w:rsidR="005F2922" w:rsidRDefault="005F2922" w:rsidP="00F73164">
      <w:r>
        <w:t>Зараз 179 членів, штаб-квартира в Женеві.</w:t>
      </w:r>
    </w:p>
    <w:p w:rsidR="004F2A48" w:rsidRPr="00332E7C" w:rsidRDefault="004F2A48" w:rsidP="00332E7C">
      <w:pPr>
        <w:pStyle w:val="ListParagraph"/>
        <w:rPr>
          <w:b/>
        </w:rPr>
      </w:pPr>
      <w:r w:rsidRPr="00332E7C">
        <w:rPr>
          <w:b/>
        </w:rPr>
        <w:t>Адміністративні органи:</w:t>
      </w:r>
    </w:p>
    <w:p w:rsidR="004F2A48" w:rsidRDefault="004F2A48" w:rsidP="004F2A48">
      <w:pPr>
        <w:pStyle w:val="ListParagraph"/>
        <w:numPr>
          <w:ilvl w:val="0"/>
          <w:numId w:val="6"/>
        </w:numPr>
      </w:pPr>
      <w:r>
        <w:t>Генеральний директор – обирається на термін 6 років</w:t>
      </w:r>
    </w:p>
    <w:p w:rsidR="004F2A48" w:rsidRDefault="004F2A48" w:rsidP="004F2A48">
      <w:pPr>
        <w:pStyle w:val="ListParagraph"/>
        <w:numPr>
          <w:ilvl w:val="0"/>
          <w:numId w:val="6"/>
        </w:numPr>
      </w:pPr>
      <w:r>
        <w:t xml:space="preserve">Верховні органи – генеральна асамблея з країв-членів будь-якого союзу, конференція – всі </w:t>
      </w:r>
      <w:r w:rsidR="00680D1B">
        <w:t xml:space="preserve">179 </w:t>
      </w:r>
      <w:r>
        <w:t>члени ВОІВ. Сесії 1 раз на 2 роки.</w:t>
      </w:r>
    </w:p>
    <w:p w:rsidR="00845D93" w:rsidRDefault="00845D93" w:rsidP="004F2A48">
      <w:pPr>
        <w:pStyle w:val="ListParagraph"/>
        <w:numPr>
          <w:ilvl w:val="0"/>
          <w:numId w:val="6"/>
        </w:numPr>
      </w:pPr>
      <w:r>
        <w:t>В</w:t>
      </w:r>
      <w:r w:rsidR="004F2A48">
        <w:t>иконавчі</w:t>
      </w:r>
      <w:r>
        <w:t xml:space="preserve"> – координаційний комітет (72 країни), сесія 1 раз на рік</w:t>
      </w:r>
    </w:p>
    <w:p w:rsidR="004F2A48" w:rsidRDefault="00680D1B" w:rsidP="004F2A48">
      <w:pPr>
        <w:pStyle w:val="ListParagraph"/>
        <w:numPr>
          <w:ilvl w:val="0"/>
          <w:numId w:val="6"/>
        </w:numPr>
      </w:pPr>
      <w:r>
        <w:t>С</w:t>
      </w:r>
      <w:r w:rsidR="004F2A48">
        <w:t>екретаріат</w:t>
      </w:r>
      <w:r>
        <w:t xml:space="preserve"> – міжнародне бюро (650 чоловік</w:t>
      </w:r>
      <w:r w:rsidR="00E91F9F">
        <w:t xml:space="preserve"> з 67 країн</w:t>
      </w:r>
      <w:r>
        <w:t>)</w:t>
      </w:r>
    </w:p>
    <w:p w:rsidR="00332E7C" w:rsidRDefault="00F622F9" w:rsidP="00332E7C">
      <w:r>
        <w:t>Міжнародна федерація фотографічної індустрії</w:t>
      </w:r>
      <w:r w:rsidR="00A35FFC">
        <w:t xml:space="preserve"> (</w:t>
      </w:r>
      <w:r w:rsidR="00A35FFC">
        <w:rPr>
          <w:lang w:val="en-US"/>
        </w:rPr>
        <w:t>IFPI</w:t>
      </w:r>
      <w:r w:rsidR="00A35FFC">
        <w:t>)</w:t>
      </w:r>
      <w:r>
        <w:t>.</w:t>
      </w:r>
    </w:p>
    <w:p w:rsidR="00D31015" w:rsidRDefault="00D31015" w:rsidP="000979E6">
      <w:pPr>
        <w:pStyle w:val="Heading2"/>
      </w:pPr>
      <w:r>
        <w:t>Коротка характеристика деяких угод</w:t>
      </w:r>
    </w:p>
    <w:p w:rsidR="00D31015" w:rsidRDefault="00D31015" w:rsidP="00332E7C">
      <w:r>
        <w:t>Паризька конвенція – 173 країни на 1.1.2009. Утворюють Паризький союз.</w:t>
      </w:r>
    </w:p>
    <w:p w:rsidR="000979E6" w:rsidRDefault="000979E6" w:rsidP="00332E7C">
      <w:r>
        <w:t>Мета – забезпечити охорону промислової власності за єдиними нормами за умовами спрощення процедури охорони на міжнародній території.</w:t>
      </w:r>
      <w:r w:rsidR="000F0339">
        <w:t xml:space="preserve"> Видавати періодичні інформаційні </w:t>
      </w:r>
      <w:proofErr w:type="spellStart"/>
      <w:r w:rsidR="000F0339">
        <w:t>бюлетні</w:t>
      </w:r>
      <w:proofErr w:type="spellEnd"/>
      <w:r w:rsidR="000F0339">
        <w:t xml:space="preserve"> про зареєстровані патенти. Конвенція розповсюдилася на </w:t>
      </w:r>
      <w:proofErr w:type="spellStart"/>
      <w:r w:rsidR="000F0339">
        <w:t>сіль</w:t>
      </w:r>
      <w:r w:rsidR="00E408E0">
        <w:t>сь</w:t>
      </w:r>
      <w:r w:rsidR="000F0339">
        <w:t>ко-господарс</w:t>
      </w:r>
      <w:r w:rsidR="00E408E0">
        <w:t>ь</w:t>
      </w:r>
      <w:r w:rsidR="000F0339">
        <w:t>ке</w:t>
      </w:r>
      <w:proofErr w:type="spellEnd"/>
      <w:r w:rsidR="000F0339">
        <w:t xml:space="preserve"> виробництво. Визначила об’єкти охорони – віднесла до них припинення недобросовісної конкуренції</w:t>
      </w:r>
      <w:r w:rsidR="00E408E0">
        <w:t>. Основні принципи – національний режим</w:t>
      </w:r>
      <w:r w:rsidR="00166B04">
        <w:t xml:space="preserve">, право пріоритету (конвенційний пріоритет) – за заявником зберігається </w:t>
      </w:r>
      <w:r w:rsidR="00166B04">
        <w:lastRenderedPageBreak/>
        <w:t xml:space="preserve">пріоритет у всіх країнах союзу на 12 місяців на винаходи та на 6 місяців на товарні знаки та </w:t>
      </w:r>
      <w:r w:rsidR="00F123CC">
        <w:t>промислові</w:t>
      </w:r>
      <w:r w:rsidR="003A7285">
        <w:t xml:space="preserve"> зразки, незалежність патентів і товарних знаків.</w:t>
      </w:r>
      <w:r w:rsidR="003C5007">
        <w:t xml:space="preserve"> Конвенція містить загальні положення, які є обов’язкові для всіх, а також рекомендаційні положення.</w:t>
      </w:r>
      <w:r w:rsidR="00C537D0">
        <w:t xml:space="preserve"> Умови подачі заявки визначає національне законодавство.</w:t>
      </w:r>
      <w:r w:rsidR="005A1C98">
        <w:t xml:space="preserve"> Примусова ліцензія з метою запобігання зловживання.</w:t>
      </w:r>
      <w:r w:rsidR="00474D52">
        <w:t xml:space="preserve"> Право тимчасової охорони на офіційних міжнародних виставках</w:t>
      </w:r>
      <w:r w:rsidR="00017F65">
        <w:t>.</w:t>
      </w:r>
    </w:p>
    <w:p w:rsidR="00017F65" w:rsidRDefault="00017F65" w:rsidP="00332E7C">
      <w:r>
        <w:t>Особливі випадки, які не є порушення прав:</w:t>
      </w:r>
    </w:p>
    <w:p w:rsidR="00017F65" w:rsidRDefault="00017F65" w:rsidP="00A4518A">
      <w:pPr>
        <w:pStyle w:val="ListParagraph"/>
        <w:numPr>
          <w:ilvl w:val="0"/>
          <w:numId w:val="7"/>
        </w:numPr>
      </w:pPr>
      <w:r>
        <w:t>Вільне використання при використанні в засобах транспорту при тимчасовому перебуванні.</w:t>
      </w:r>
    </w:p>
    <w:p w:rsidR="00A4518A" w:rsidRPr="00B21DD8" w:rsidRDefault="00A4518A" w:rsidP="00A4518A">
      <w:pPr>
        <w:pStyle w:val="ListParagraph"/>
        <w:numPr>
          <w:ilvl w:val="0"/>
          <w:numId w:val="7"/>
        </w:numPr>
      </w:pPr>
      <w:r>
        <w:t>Ввезення в країну без наміру комерційного використання</w:t>
      </w:r>
    </w:p>
    <w:p w:rsidR="00B21DD8" w:rsidRDefault="00B21DD8" w:rsidP="00B21DD8">
      <w:pPr>
        <w:pStyle w:val="Heading1"/>
      </w:pPr>
      <w:r>
        <w:t>Правова охорона патентів патентного права</w:t>
      </w:r>
    </w:p>
    <w:p w:rsidR="00B21DD8" w:rsidRDefault="00B21DD8" w:rsidP="00B21DD8">
      <w:r>
        <w:t>Об’єкти патентного права – це винаходи, корисні моделі, промислові зразки. Охоронний документ – патент, який надається державою, засвідчує права. Винахід – загальне рішення утилітарної проблеми.  Не всі винаходи підлягають патентам.</w:t>
      </w:r>
    </w:p>
    <w:p w:rsidR="00B21DD8" w:rsidRDefault="00B21DD8" w:rsidP="00B21DD8">
      <w:r>
        <w:t xml:space="preserve">Технологічне або технічне забезпечення, яке відповідає умовам </w:t>
      </w:r>
      <w:proofErr w:type="spellStart"/>
      <w:r>
        <w:t>патентоздатності</w:t>
      </w:r>
      <w:proofErr w:type="spellEnd"/>
      <w:r>
        <w:t>.</w:t>
      </w:r>
    </w:p>
    <w:p w:rsidR="00B21DD8" w:rsidRDefault="00B21DD8" w:rsidP="00B21DD8">
      <w:r>
        <w:t>Тільки в тому разі, коли ці вимоги виконуються, чинне законодавство охороняє винахід патентом:</w:t>
      </w:r>
    </w:p>
    <w:p w:rsidR="00B21DD8" w:rsidRDefault="00B21DD8" w:rsidP="00B21DD8">
      <w:pPr>
        <w:pStyle w:val="ListParagraph"/>
        <w:numPr>
          <w:ilvl w:val="0"/>
          <w:numId w:val="9"/>
        </w:numPr>
      </w:pPr>
      <w:r>
        <w:t>Новизна</w:t>
      </w:r>
    </w:p>
    <w:p w:rsidR="00B21DD8" w:rsidRDefault="00B21DD8" w:rsidP="00B21DD8">
      <w:pPr>
        <w:pStyle w:val="ListParagraph"/>
        <w:numPr>
          <w:ilvl w:val="0"/>
          <w:numId w:val="9"/>
        </w:numPr>
      </w:pPr>
      <w:r>
        <w:t>винахідницький рівень</w:t>
      </w:r>
    </w:p>
    <w:p w:rsidR="00B21DD8" w:rsidRDefault="00B21DD8" w:rsidP="00B21DD8">
      <w:pPr>
        <w:pStyle w:val="ListParagraph"/>
        <w:numPr>
          <w:ilvl w:val="0"/>
          <w:numId w:val="9"/>
        </w:numPr>
      </w:pPr>
      <w:r>
        <w:t xml:space="preserve">промислова придатність. </w:t>
      </w:r>
    </w:p>
    <w:p w:rsidR="00B21DD8" w:rsidRDefault="00B21DD8" w:rsidP="00B21DD8">
      <w:r>
        <w:t>Типи винаходів:</w:t>
      </w:r>
    </w:p>
    <w:p w:rsidR="00B21DD8" w:rsidRDefault="00B21DD8" w:rsidP="00B21DD8">
      <w:pPr>
        <w:pStyle w:val="ListParagraph"/>
        <w:numPr>
          <w:ilvl w:val="0"/>
          <w:numId w:val="8"/>
        </w:numPr>
      </w:pPr>
      <w:r>
        <w:t>Продукт (пристрій, речовина, штам мікроорганізмів, культура рослин чи тварин)</w:t>
      </w:r>
    </w:p>
    <w:p w:rsidR="00B21DD8" w:rsidRDefault="00B21DD8" w:rsidP="00B21DD8">
      <w:pPr>
        <w:pStyle w:val="ListParagraph"/>
        <w:numPr>
          <w:ilvl w:val="0"/>
          <w:numId w:val="8"/>
        </w:numPr>
      </w:pPr>
      <w:r>
        <w:t>Процес або спосіб</w:t>
      </w:r>
    </w:p>
    <w:p w:rsidR="00B21DD8" w:rsidRDefault="00B21DD8" w:rsidP="00B21DD8">
      <w:pPr>
        <w:pStyle w:val="ListParagraph"/>
        <w:numPr>
          <w:ilvl w:val="0"/>
          <w:numId w:val="8"/>
        </w:numPr>
      </w:pPr>
      <w:r>
        <w:t xml:space="preserve">Нове застосування відомого продукту або процесу </w:t>
      </w:r>
    </w:p>
    <w:p w:rsidR="00D67E67" w:rsidRDefault="00D67E67" w:rsidP="00D67E67">
      <w:r>
        <w:t>Корисна модель – це рішення, яке схоже на винахід, але є менш корисною.</w:t>
      </w:r>
    </w:p>
    <w:p w:rsidR="00D67E67" w:rsidRDefault="00D67E67" w:rsidP="00D67E67">
      <w:r>
        <w:t>Об’єкти промислового зразка – це форма, малюнок чи розфарбування, або їх поєднання, що визначають зовнішній вигляд промислового виробу</w:t>
      </w:r>
    </w:p>
    <w:p w:rsidR="00D67E67" w:rsidRDefault="00D67E67" w:rsidP="00D67E67">
      <w:r>
        <w:t>Об’єктами промислових зразків не можуть бути пропозиції, які за змістом суперечать суспільним інтересам, принципам гуманності і т.д.</w:t>
      </w:r>
    </w:p>
    <w:p w:rsidR="00F65E45" w:rsidRDefault="00F65E45" w:rsidP="00D67E67">
      <w:r>
        <w:t xml:space="preserve">Не визнаються </w:t>
      </w:r>
      <w:proofErr w:type="spellStart"/>
      <w:r>
        <w:t>патентоздатними</w:t>
      </w:r>
      <w:proofErr w:type="spellEnd"/>
      <w:r>
        <w:t>:</w:t>
      </w:r>
    </w:p>
    <w:p w:rsidR="00F65E45" w:rsidRDefault="00F65E45" w:rsidP="00F65E45">
      <w:pPr>
        <w:pStyle w:val="ListParagraph"/>
        <w:numPr>
          <w:ilvl w:val="0"/>
          <w:numId w:val="10"/>
        </w:numPr>
      </w:pPr>
      <w:r>
        <w:t>Рішення виробів, зовнішній вигляд яких зумовлений їх функціями</w:t>
      </w:r>
    </w:p>
    <w:p w:rsidR="001D3BD9" w:rsidRDefault="001D3BD9" w:rsidP="00F65E45">
      <w:pPr>
        <w:pStyle w:val="ListParagraph"/>
        <w:numPr>
          <w:ilvl w:val="0"/>
          <w:numId w:val="10"/>
        </w:numPr>
      </w:pPr>
      <w:r>
        <w:t>Об’єкти архітектури, за винятком малих архітектурних форм (кіоски, телефонні будки і т.д.)</w:t>
      </w:r>
    </w:p>
    <w:p w:rsidR="000E358E" w:rsidRDefault="000E358E" w:rsidP="00F65E45">
      <w:pPr>
        <w:pStyle w:val="ListParagraph"/>
        <w:numPr>
          <w:ilvl w:val="0"/>
          <w:numId w:val="10"/>
        </w:numPr>
      </w:pPr>
      <w:r>
        <w:t>Друкована продукція</w:t>
      </w:r>
    </w:p>
    <w:p w:rsidR="000E358E" w:rsidRDefault="000E358E" w:rsidP="00F65E45">
      <w:pPr>
        <w:pStyle w:val="ListParagraph"/>
        <w:numPr>
          <w:ilvl w:val="0"/>
          <w:numId w:val="10"/>
        </w:numPr>
      </w:pPr>
      <w:r>
        <w:t>Об’єкти, які не мають газоподібної форми</w:t>
      </w:r>
    </w:p>
    <w:p w:rsidR="000E358E" w:rsidRDefault="000E358E" w:rsidP="000E358E">
      <w:r>
        <w:t>Промислові зразки бувають об’ємні або об’ємно-просторові (пляшка, упаковка), площинні (</w:t>
      </w:r>
      <w:proofErr w:type="spellStart"/>
      <w:r>
        <w:t>ковер</w:t>
      </w:r>
      <w:proofErr w:type="spellEnd"/>
      <w:r>
        <w:t xml:space="preserve">), комбіновані (годинник), </w:t>
      </w:r>
      <w:proofErr w:type="spellStart"/>
      <w:r>
        <w:t>однооб’єктні</w:t>
      </w:r>
      <w:proofErr w:type="spellEnd"/>
      <w:r>
        <w:t xml:space="preserve"> (окремий виріб або частина виробу, якщо вона є завершеною композицією і є функціонально самостійною, наприклад, фара), </w:t>
      </w:r>
      <w:proofErr w:type="spellStart"/>
      <w:r>
        <w:t>багатооб’єктні</w:t>
      </w:r>
      <w:proofErr w:type="spellEnd"/>
      <w:r>
        <w:t xml:space="preserve"> (комплекти, що об’єднують</w:t>
      </w:r>
      <w:r w:rsidR="00306369">
        <w:t xml:space="preserve"> об’єкти</w:t>
      </w:r>
      <w:r>
        <w:t xml:space="preserve"> разового функціонального призначення, наприклад, сервіз, набір меблів, інтер’єр, набір </w:t>
      </w:r>
      <w:r w:rsidR="00AD0627">
        <w:t>інструментів</w:t>
      </w:r>
    </w:p>
    <w:p w:rsidR="00AD0627" w:rsidRDefault="00AD0627" w:rsidP="000E358E">
      <w:r>
        <w:t>Суб’єкти патентного права:</w:t>
      </w:r>
    </w:p>
    <w:p w:rsidR="00D67E67" w:rsidRDefault="00AD0627" w:rsidP="00D67E67">
      <w:pPr>
        <w:pStyle w:val="ListParagraph"/>
        <w:numPr>
          <w:ilvl w:val="0"/>
          <w:numId w:val="11"/>
        </w:numPr>
      </w:pPr>
      <w:r>
        <w:lastRenderedPageBreak/>
        <w:t>Автори – мають право на додання свого імення цьому об’єкті. Якщо авторів кілька, то вони є співавторами, відносини між якими визначаються у їх співучасті та договором</w:t>
      </w:r>
      <w:r w:rsidR="00B81BBE">
        <w:t>. Якщо є договір, то він може когось уповноважити із співавторів на якісь дії (підпис)</w:t>
      </w:r>
      <w:r w:rsidR="00CA1F08">
        <w:t>. Можна поручати справи патент</w:t>
      </w:r>
      <w:r w:rsidR="00310329">
        <w:t>н</w:t>
      </w:r>
      <w:r w:rsidR="00CA1F08">
        <w:t>о-довіреному.</w:t>
      </w:r>
    </w:p>
    <w:p w:rsidR="00CA1F08" w:rsidRDefault="00CA1F08" w:rsidP="00D67E67">
      <w:pPr>
        <w:pStyle w:val="ListParagraph"/>
        <w:numPr>
          <w:ilvl w:val="0"/>
          <w:numId w:val="11"/>
        </w:numPr>
      </w:pPr>
      <w:r>
        <w:t>Власники патентів – фізичні або юридичні особи, які володіють патентом та правами на його використання (його можна подарувати, видати на іншу особу)</w:t>
      </w:r>
      <w:r w:rsidR="005529C4">
        <w:t xml:space="preserve">. </w:t>
      </w:r>
      <w:r w:rsidR="00310329">
        <w:t>Патентовласників</w:t>
      </w:r>
      <w:r w:rsidR="005529C4">
        <w:t xml:space="preserve"> також може бути кілька, тоді між ними заклечається договір</w:t>
      </w:r>
    </w:p>
    <w:p w:rsidR="005529C4" w:rsidRDefault="00310329" w:rsidP="00D67E67">
      <w:pPr>
        <w:pStyle w:val="ListParagraph"/>
        <w:numPr>
          <w:ilvl w:val="0"/>
          <w:numId w:val="11"/>
        </w:numPr>
      </w:pPr>
      <w:r>
        <w:t>Правонаступник</w:t>
      </w:r>
      <w:r w:rsidR="005529C4">
        <w:t xml:space="preserve"> – фізичні або юридичні особи, яким передають права на патенти.</w:t>
      </w:r>
    </w:p>
    <w:p w:rsidR="00310329" w:rsidRDefault="00310329" w:rsidP="00D67E67">
      <w:pPr>
        <w:pStyle w:val="ListParagraph"/>
        <w:numPr>
          <w:ilvl w:val="0"/>
          <w:numId w:val="11"/>
        </w:numPr>
      </w:pPr>
      <w:r>
        <w:t>Патентно-повірені – мають права здійснювати деякі дії.</w:t>
      </w:r>
      <w:r w:rsidR="00794D24">
        <w:t xml:space="preserve"> Вперше в 1988 р.</w:t>
      </w:r>
      <w:r w:rsidR="00EF0BC9">
        <w:t xml:space="preserve"> повинен бути громадянином України, досвід роботи за патентами не менше 5 років та вищу освіту в галузі патентознавства, тільки тоді особа може бути патентно-повіреною.</w:t>
      </w:r>
      <w:r w:rsidR="0066069B">
        <w:t xml:space="preserve"> Має право виступати в суді, захищати інтереси.</w:t>
      </w:r>
    </w:p>
    <w:p w:rsidR="00CE0C2F" w:rsidRDefault="00CE0C2F" w:rsidP="00CE0C2F">
      <w:r>
        <w:t>Умови надання охорони (</w:t>
      </w:r>
      <w:proofErr w:type="spellStart"/>
      <w:r>
        <w:t>охонооноспроможність</w:t>
      </w:r>
      <w:proofErr w:type="spellEnd"/>
      <w:r>
        <w:t>):</w:t>
      </w:r>
    </w:p>
    <w:tbl>
      <w:tblPr>
        <w:tblStyle w:val="TableGrid"/>
        <w:tblW w:w="0" w:type="auto"/>
        <w:tblLook w:val="04A0" w:firstRow="1" w:lastRow="0" w:firstColumn="1" w:lastColumn="0" w:noHBand="0" w:noVBand="1"/>
      </w:tblPr>
      <w:tblGrid>
        <w:gridCol w:w="2881"/>
        <w:gridCol w:w="5424"/>
        <w:gridCol w:w="1550"/>
      </w:tblGrid>
      <w:tr w:rsidR="00CE0C2F" w:rsidTr="00A36C75">
        <w:tc>
          <w:tcPr>
            <w:tcW w:w="0" w:type="auto"/>
          </w:tcPr>
          <w:p w:rsidR="00CE0C2F" w:rsidRDefault="00CE0C2F" w:rsidP="00CE0C2F">
            <w:r>
              <w:t>Об’єкт промислової власності</w:t>
            </w:r>
          </w:p>
        </w:tc>
        <w:tc>
          <w:tcPr>
            <w:tcW w:w="0" w:type="auto"/>
          </w:tcPr>
          <w:p w:rsidR="00CE0C2F" w:rsidRDefault="00CE0C2F" w:rsidP="00CE0C2F">
            <w:r>
              <w:t xml:space="preserve">Критерії </w:t>
            </w:r>
            <w:proofErr w:type="spellStart"/>
            <w:r>
              <w:t>охороноздатності</w:t>
            </w:r>
            <w:proofErr w:type="spellEnd"/>
          </w:p>
        </w:tc>
        <w:tc>
          <w:tcPr>
            <w:tcW w:w="0" w:type="auto"/>
          </w:tcPr>
          <w:p w:rsidR="00CE0C2F" w:rsidRDefault="00CE0C2F" w:rsidP="00CE0C2F">
            <w:r>
              <w:t>Строк охорони</w:t>
            </w:r>
          </w:p>
        </w:tc>
      </w:tr>
      <w:tr w:rsidR="00CE0C2F" w:rsidTr="00A36C75">
        <w:tc>
          <w:tcPr>
            <w:tcW w:w="0" w:type="auto"/>
          </w:tcPr>
          <w:p w:rsidR="00CE0C2F" w:rsidRDefault="00CE0C2F" w:rsidP="00CE0C2F">
            <w:r>
              <w:t>Винахід</w:t>
            </w:r>
          </w:p>
        </w:tc>
        <w:tc>
          <w:tcPr>
            <w:tcW w:w="0" w:type="auto"/>
          </w:tcPr>
          <w:p w:rsidR="00CE0C2F" w:rsidRDefault="00CE0C2F" w:rsidP="00CE0C2F">
            <w:r>
              <w:t xml:space="preserve">Винахідницький рівень, новизна, промислова придатність. </w:t>
            </w:r>
          </w:p>
        </w:tc>
        <w:tc>
          <w:tcPr>
            <w:tcW w:w="0" w:type="auto"/>
          </w:tcPr>
          <w:p w:rsidR="00CE0C2F" w:rsidRDefault="00CE0C2F" w:rsidP="00CE0C2F">
            <w:r>
              <w:t>20 років</w:t>
            </w:r>
          </w:p>
        </w:tc>
      </w:tr>
      <w:tr w:rsidR="00CE0C2F" w:rsidTr="00A36C75">
        <w:tc>
          <w:tcPr>
            <w:tcW w:w="0" w:type="auto"/>
          </w:tcPr>
          <w:p w:rsidR="00CE0C2F" w:rsidRDefault="00CE0C2F" w:rsidP="00CE0C2F">
            <w:r>
              <w:t>Корисна модель</w:t>
            </w:r>
          </w:p>
        </w:tc>
        <w:tc>
          <w:tcPr>
            <w:tcW w:w="0" w:type="auto"/>
          </w:tcPr>
          <w:p w:rsidR="00CE0C2F" w:rsidRDefault="00CE0C2F" w:rsidP="00CE0C2F">
            <w:r>
              <w:t>Новизна, промислова придатність</w:t>
            </w:r>
          </w:p>
        </w:tc>
        <w:tc>
          <w:tcPr>
            <w:tcW w:w="0" w:type="auto"/>
          </w:tcPr>
          <w:p w:rsidR="00CE0C2F" w:rsidRDefault="00CE0C2F" w:rsidP="00CE0C2F">
            <w:r>
              <w:t>10 років</w:t>
            </w:r>
          </w:p>
        </w:tc>
      </w:tr>
      <w:tr w:rsidR="00CE0C2F" w:rsidTr="00A36C75">
        <w:tc>
          <w:tcPr>
            <w:tcW w:w="0" w:type="auto"/>
          </w:tcPr>
          <w:p w:rsidR="00CE0C2F" w:rsidRDefault="00CE0C2F" w:rsidP="00CE0C2F">
            <w:r>
              <w:t>Промисловий зразок</w:t>
            </w:r>
          </w:p>
        </w:tc>
        <w:tc>
          <w:tcPr>
            <w:tcW w:w="0" w:type="auto"/>
          </w:tcPr>
          <w:p w:rsidR="00CE0C2F" w:rsidRDefault="00CE0C2F" w:rsidP="00CE0C2F">
            <w:r>
              <w:t>Новизна</w:t>
            </w:r>
          </w:p>
        </w:tc>
        <w:tc>
          <w:tcPr>
            <w:tcW w:w="0" w:type="auto"/>
          </w:tcPr>
          <w:p w:rsidR="00CE0C2F" w:rsidRDefault="00CE0C2F" w:rsidP="00CE0C2F">
            <w:r>
              <w:t>5 років</w:t>
            </w:r>
          </w:p>
        </w:tc>
      </w:tr>
    </w:tbl>
    <w:p w:rsidR="00CE0C2F" w:rsidRDefault="00CE0C2F" w:rsidP="00CE0C2F">
      <w:r>
        <w:t>Винахід є новим, якщо він не витікає з розвитку сучасної техніки і він є невідомим ні в інформаційних джерелах, ні в використаннях. Використовують лише загальнодоступні законним чином джерела.</w:t>
      </w:r>
      <w:r w:rsidR="00A36C75">
        <w:t xml:space="preserve"> Є абсолютна, відносна і локальна новизна. Більшість країн вимагає абсолютну світову новизну.</w:t>
      </w:r>
    </w:p>
    <w:p w:rsidR="00CD150E" w:rsidRDefault="00CD150E" w:rsidP="00CE0C2F">
      <w:pPr>
        <w:rPr>
          <w:lang w:val="en-US"/>
        </w:rPr>
      </w:pPr>
      <w:r>
        <w:t>Винахід має винахідницький рівень, якщо для середнього фахівця (експерта з патентної установи) він не є очевидним</w:t>
      </w:r>
      <w:r w:rsidR="00F74869">
        <w:t>.</w:t>
      </w:r>
    </w:p>
    <w:p w:rsidR="002041F8" w:rsidRDefault="002041F8" w:rsidP="00CE0C2F">
      <w:r>
        <w:t>Умови патентоспроможності, строки.</w:t>
      </w:r>
    </w:p>
    <w:p w:rsidR="002041F8" w:rsidRDefault="002041F8" w:rsidP="00CE0C2F">
      <w:r>
        <w:t>Єдиний патент, на який не розповсюджується термін – лікарські препарати</w:t>
      </w:r>
    </w:p>
    <w:p w:rsidR="002041F8" w:rsidRDefault="002041F8" w:rsidP="00CE0C2F">
      <w:r>
        <w:t>Обсяг охорони передбачається національним законодавством у вигляді часових, територіальних та предметних меж. Часові строки – 20 років (як правило). Дія виключних прав починається з моменту публікації про видачу патенту.</w:t>
      </w:r>
    </w:p>
    <w:p w:rsidR="002041F8" w:rsidRDefault="002041F8" w:rsidP="00CE0C2F">
      <w:r>
        <w:t>Предметні межі визначаються змістом формули винаходу</w:t>
      </w:r>
    </w:p>
    <w:p w:rsidR="002041F8" w:rsidRPr="005409B7" w:rsidRDefault="002041F8" w:rsidP="00CE0C2F">
      <w:pPr>
        <w:rPr>
          <w:b/>
        </w:rPr>
      </w:pPr>
      <w:r w:rsidRPr="005409B7">
        <w:rPr>
          <w:b/>
        </w:rPr>
        <w:t>Отримання або набуття прав на об’єкти патентного права</w:t>
      </w:r>
    </w:p>
    <w:p w:rsidR="00386879" w:rsidRDefault="002041F8" w:rsidP="00CE0C2F">
      <w:r>
        <w:t xml:space="preserve">Права на об’єкт промислової власності оформлюються </w:t>
      </w:r>
      <w:r w:rsidR="00386879">
        <w:t xml:space="preserve">відповідно до </w:t>
      </w:r>
      <w:r>
        <w:t xml:space="preserve">чинного законодавства </w:t>
      </w:r>
      <w:r w:rsidR="00386879">
        <w:t xml:space="preserve">згідно </w:t>
      </w:r>
      <w:r>
        <w:t xml:space="preserve">з Правилами подання заявки. Необхідно подати відповідним чином оформлену заявку в ДДІВ на адресу </w:t>
      </w:r>
      <w:proofErr w:type="spellStart"/>
      <w:r>
        <w:t>УкрПатенту</w:t>
      </w:r>
      <w:proofErr w:type="spellEnd"/>
      <w:r w:rsidR="00386879">
        <w:t>. Патентна установа встановлює дату подання заявки</w:t>
      </w:r>
      <w:r w:rsidR="002F7A6E">
        <w:t>, формальну експертизу заявку (формальну перевірку вимог до подання заявки).</w:t>
      </w:r>
      <w:r w:rsidR="006F5B39">
        <w:t xml:space="preserve"> Через 18 місяців після подачі заявки її публікують. Про кваліфікаційну експертизу автор повинен попросити (триває до 14 місяців). З моменту публікації заявки охорона права триває тимчасово до висновку експертизи також.</w:t>
      </w:r>
      <w:r w:rsidR="00F22525">
        <w:t xml:space="preserve"> В разі позитивного рішення реєстрація в державному бюлетені і через місяць видача публікації.</w:t>
      </w:r>
    </w:p>
    <w:p w:rsidR="00F22525" w:rsidRPr="005409B7" w:rsidRDefault="00F22525" w:rsidP="00CE0C2F">
      <w:pPr>
        <w:rPr>
          <w:b/>
        </w:rPr>
      </w:pPr>
      <w:r w:rsidRPr="005409B7">
        <w:rPr>
          <w:b/>
        </w:rPr>
        <w:t>Права патентовласника</w:t>
      </w:r>
      <w:r w:rsidR="005409B7" w:rsidRPr="005409B7">
        <w:rPr>
          <w:b/>
        </w:rPr>
        <w:t>:</w:t>
      </w:r>
    </w:p>
    <w:p w:rsidR="00F22525" w:rsidRDefault="00F22525" w:rsidP="005409B7">
      <w:pPr>
        <w:pStyle w:val="ListParagraph"/>
        <w:numPr>
          <w:ilvl w:val="0"/>
          <w:numId w:val="13"/>
        </w:numPr>
      </w:pPr>
      <w:r>
        <w:t>Майнові права</w:t>
      </w:r>
    </w:p>
    <w:p w:rsidR="00F22525" w:rsidRDefault="00F22525" w:rsidP="005409B7">
      <w:pPr>
        <w:pStyle w:val="ListParagraph"/>
        <w:numPr>
          <w:ilvl w:val="0"/>
          <w:numId w:val="13"/>
        </w:numPr>
      </w:pPr>
      <w:r>
        <w:t>Передача прав стороннім особам</w:t>
      </w:r>
    </w:p>
    <w:p w:rsidR="00F22525" w:rsidRDefault="00F22525" w:rsidP="005409B7">
      <w:pPr>
        <w:pStyle w:val="ListParagraph"/>
        <w:numPr>
          <w:ilvl w:val="0"/>
          <w:numId w:val="13"/>
        </w:numPr>
      </w:pPr>
      <w:r>
        <w:t>Відступлення патенту – передача всіх прав</w:t>
      </w:r>
    </w:p>
    <w:p w:rsidR="005409B7" w:rsidRDefault="005409B7" w:rsidP="005409B7">
      <w:pPr>
        <w:pStyle w:val="ListParagraph"/>
        <w:numPr>
          <w:ilvl w:val="0"/>
          <w:numId w:val="13"/>
        </w:numPr>
      </w:pPr>
      <w:r>
        <w:lastRenderedPageBreak/>
        <w:t>Не має права без своїх співавторів продати ліцензію</w:t>
      </w:r>
    </w:p>
    <w:p w:rsidR="005409B7" w:rsidRDefault="005409B7" w:rsidP="005409B7">
      <w:pPr>
        <w:pStyle w:val="ListParagraph"/>
        <w:numPr>
          <w:ilvl w:val="0"/>
          <w:numId w:val="13"/>
        </w:numPr>
      </w:pPr>
      <w:r>
        <w:t>Права на використання винаходу передається іншим особам за ліцензією</w:t>
      </w:r>
    </w:p>
    <w:p w:rsidR="005409B7" w:rsidRDefault="005409B7" w:rsidP="005409B7">
      <w:pPr>
        <w:pStyle w:val="ListParagraph"/>
        <w:numPr>
          <w:ilvl w:val="0"/>
          <w:numId w:val="13"/>
        </w:numPr>
      </w:pPr>
      <w:r>
        <w:t>Патентовласник має виключне право на використання</w:t>
      </w:r>
    </w:p>
    <w:p w:rsidR="005409B7" w:rsidRDefault="005409B7" w:rsidP="005409B7">
      <w:pPr>
        <w:pStyle w:val="ListParagraph"/>
        <w:numPr>
          <w:ilvl w:val="0"/>
          <w:numId w:val="13"/>
        </w:numPr>
      </w:pPr>
      <w:r>
        <w:t>Патентовласник (</w:t>
      </w:r>
      <w:r w:rsidR="00AF1DAA">
        <w:t>ліцензіар</w:t>
      </w:r>
      <w:r>
        <w:t>) має право використовувати давати використовувати патент ліцензіатом за обумовлену винагороду.</w:t>
      </w:r>
    </w:p>
    <w:p w:rsidR="00AF1DAA" w:rsidRDefault="00AF1DAA" w:rsidP="00AF1DAA">
      <w:r>
        <w:t>Ліцензійна угода містить обсяг прав, які передаються (обсяг часу на який передаються, обмеження сфери, обмеження території, обмеження обсягу виробництва, додаткові зобов’язання сторін)</w:t>
      </w:r>
    </w:p>
    <w:p w:rsidR="00AF1DAA" w:rsidRDefault="00AF1DAA" w:rsidP="00AF1DAA">
      <w:r>
        <w:t>Ліцензіар зобов’язаний гарантувати ліцензіату можливість виробництва згідно ліцензії, підтримання в силі патенту, захищати інтереси ліцензіата в суді.</w:t>
      </w:r>
    </w:p>
    <w:p w:rsidR="00AF1DAA" w:rsidRDefault="00AF1DAA" w:rsidP="00AF1DAA">
      <w:r>
        <w:t>Обов’язки ліцензіата: своєчасна плата, здійснення виробництва і своєчасна реалізація</w:t>
      </w:r>
    </w:p>
    <w:p w:rsidR="00AF1DAA" w:rsidRDefault="00AF1DAA" w:rsidP="00AF1DAA">
      <w:r>
        <w:t>Види ліцензійних виплат:</w:t>
      </w:r>
    </w:p>
    <w:p w:rsidR="00AF1DAA" w:rsidRDefault="00AF1DAA" w:rsidP="00AF1DAA">
      <w:pPr>
        <w:pStyle w:val="ListParagraph"/>
        <w:numPr>
          <w:ilvl w:val="0"/>
          <w:numId w:val="14"/>
        </w:numPr>
      </w:pPr>
      <w:r>
        <w:t>Паушальні – це виплата ліцензіару зафіксованої в угоді суми до початку виробництва.</w:t>
      </w:r>
    </w:p>
    <w:p w:rsidR="00AF1DAA" w:rsidRDefault="00AF1DAA" w:rsidP="00AF1DAA">
      <w:pPr>
        <w:pStyle w:val="ListParagraph"/>
        <w:numPr>
          <w:ilvl w:val="0"/>
          <w:numId w:val="14"/>
        </w:numPr>
      </w:pPr>
      <w:r>
        <w:t xml:space="preserve">Роялті – виплачується протягом всього строку дії ліцензії і це відрахування від кожної </w:t>
      </w:r>
      <w:r w:rsidR="004F5F65">
        <w:t>одиниці ліцензованої продукції.</w:t>
      </w:r>
    </w:p>
    <w:p w:rsidR="004F5F65" w:rsidRDefault="004F5F65" w:rsidP="00AF1DAA">
      <w:pPr>
        <w:pStyle w:val="ListParagraph"/>
        <w:numPr>
          <w:ilvl w:val="0"/>
          <w:numId w:val="14"/>
        </w:numPr>
      </w:pPr>
      <w:r>
        <w:t>Комбіновані – гібрид перших двох</w:t>
      </w:r>
    </w:p>
    <w:p w:rsidR="004F5F65" w:rsidRDefault="004F5F65" w:rsidP="004F5F65">
      <w:r>
        <w:t>Комерційна передача технологій:</w:t>
      </w:r>
    </w:p>
    <w:p w:rsidR="004F5F65" w:rsidRDefault="004F5F65" w:rsidP="004F5F65">
      <w:pPr>
        <w:pStyle w:val="ListParagraph"/>
        <w:numPr>
          <w:ilvl w:val="0"/>
          <w:numId w:val="15"/>
        </w:numPr>
      </w:pPr>
      <w:r>
        <w:t>Комерційна концесія – одна особа надає свою репутацію, технічну інформацію і досвід, а інша вкладає капітал.</w:t>
      </w:r>
    </w:p>
    <w:p w:rsidR="004F5F65" w:rsidRDefault="004F5F65" w:rsidP="004F5F65"/>
    <w:p w:rsidR="004F5F65" w:rsidRDefault="004F5F65" w:rsidP="004F5F65">
      <w:r w:rsidRPr="004F5F65">
        <w:rPr>
          <w:b/>
        </w:rPr>
        <w:t>Обмеження прав патентовласника</w:t>
      </w:r>
      <w:r>
        <w:t>: для дотримання інтересів держави і суспільства, виконання міжнародних правових зобов’язань, запобігання зловживання виключними правами (монополії).</w:t>
      </w:r>
    </w:p>
    <w:p w:rsidR="004F5F65" w:rsidRDefault="004F5F65" w:rsidP="004F5F65">
      <w:r w:rsidRPr="004F5F65">
        <w:rPr>
          <w:b/>
        </w:rPr>
        <w:t>Випадки обмеження</w:t>
      </w:r>
      <w:r>
        <w:t>: визнання за третьою особою права попереднього користування а після користування, використання запатентованих об’єктів, які є частиною транспортних засобів, які тимчасово перебувають на території дії патентів, використання винаходів за особливих умов або власних інтересах, разове використання рецептів для виготовлення в аптеках, використання винаходу для наукових досліджень або експериментів над винаходом , видача примусових ліцензій: на патент, який не використовується, на залежний патент, в суспільних інтересах</w:t>
      </w:r>
    </w:p>
    <w:p w:rsidR="005D304D" w:rsidRDefault="005D304D" w:rsidP="004F5F65">
      <w:r>
        <w:t>Примусова ліцензія – це механізм впливу на недобросовісного патентовласника.</w:t>
      </w:r>
    </w:p>
    <w:p w:rsidR="005D304D" w:rsidRDefault="005D304D" w:rsidP="004F5F65">
      <w:r>
        <w:t>Залежні винаходи – винахід використовується на основі іншого винаходу.</w:t>
      </w:r>
    </w:p>
    <w:p w:rsidR="005D304D" w:rsidRDefault="005D304D" w:rsidP="004F5F65">
      <w:pPr>
        <w:rPr>
          <w:lang w:val="en-US"/>
        </w:rPr>
      </w:pPr>
      <w:r>
        <w:t>В суспільних інтересах – тоді, коли суспільство зацікавлене в виробництві більших обсягів продукції.</w:t>
      </w:r>
    </w:p>
    <w:p w:rsidR="000F05D0" w:rsidRDefault="000F05D0" w:rsidP="004F5F65">
      <w:pPr>
        <w:rPr>
          <w:lang w:val="en-US"/>
        </w:rPr>
      </w:pPr>
    </w:p>
    <w:p w:rsidR="000F05D0" w:rsidRDefault="000F05D0" w:rsidP="000F05D0">
      <w:pPr>
        <w:pStyle w:val="Heading1"/>
        <w:jc w:val="center"/>
      </w:pPr>
      <w:r>
        <w:t>Правова охорона засобів індивідуалізації засобів цивільного обігу, товарів та послуг</w:t>
      </w:r>
    </w:p>
    <w:p w:rsidR="000F05D0" w:rsidRDefault="000F05D0" w:rsidP="004F5F65">
      <w:r>
        <w:t>Відноситься:</w:t>
      </w:r>
    </w:p>
    <w:p w:rsidR="000F05D0" w:rsidRDefault="000F05D0" w:rsidP="000F05D0">
      <w:pPr>
        <w:pStyle w:val="ListParagraph"/>
        <w:numPr>
          <w:ilvl w:val="0"/>
          <w:numId w:val="15"/>
        </w:numPr>
      </w:pPr>
      <w:r>
        <w:t>Комерційне фірмове найменування</w:t>
      </w:r>
    </w:p>
    <w:p w:rsidR="000F05D0" w:rsidRDefault="000F05D0" w:rsidP="000F05D0">
      <w:pPr>
        <w:pStyle w:val="ListParagraph"/>
        <w:numPr>
          <w:ilvl w:val="0"/>
          <w:numId w:val="15"/>
        </w:numPr>
      </w:pPr>
      <w:r>
        <w:t>Торгівельна марка</w:t>
      </w:r>
    </w:p>
    <w:p w:rsidR="000F05D0" w:rsidRDefault="000F05D0" w:rsidP="000F05D0">
      <w:pPr>
        <w:pStyle w:val="ListParagraph"/>
        <w:numPr>
          <w:ilvl w:val="0"/>
          <w:numId w:val="15"/>
        </w:numPr>
      </w:pPr>
      <w:r>
        <w:t>Знак для товарів та послуг</w:t>
      </w:r>
    </w:p>
    <w:p w:rsidR="000F05D0" w:rsidRDefault="000F05D0" w:rsidP="000F05D0">
      <w:pPr>
        <w:pStyle w:val="ListParagraph"/>
        <w:numPr>
          <w:ilvl w:val="0"/>
          <w:numId w:val="15"/>
        </w:numPr>
      </w:pPr>
      <w:r>
        <w:lastRenderedPageBreak/>
        <w:t>Географічне зазначення походження товарів – відноситься до промислової власності</w:t>
      </w:r>
    </w:p>
    <w:p w:rsidR="000F05D0" w:rsidRDefault="000F05D0" w:rsidP="000F05D0">
      <w:r>
        <w:t xml:space="preserve">Це назва або ім’я, під яким виступає особа або підприємець. </w:t>
      </w:r>
    </w:p>
    <w:p w:rsidR="000F05D0" w:rsidRDefault="000F05D0" w:rsidP="000F05D0">
      <w:r>
        <w:t xml:space="preserve">На підприємницьку діяльність мають право особи, які мають складений статутний </w:t>
      </w:r>
      <w:r w:rsidR="00B00275">
        <w:t>капітал.</w:t>
      </w:r>
    </w:p>
    <w:p w:rsidR="000F05D0" w:rsidRDefault="00654FC4" w:rsidP="000F05D0">
      <w:r>
        <w:t>В комерційне найменування в</w:t>
      </w:r>
      <w:r w:rsidR="000F05D0">
        <w:t xml:space="preserve">ходить спеціальна назва підприємства. Місить вказівку на організаційно правову форму підприємства, відображує тип підприємства, містить вказівку на профіль діяльності, містить необов’язкові додатки. Повинно відрізнятися від подібних, за певних умов можуть бути тотожні найменування, але підприємства мають бути розмежовані за сферою діяльності або </w:t>
      </w:r>
      <w:r>
        <w:t>територіально. Не повинно співпадати з товарними знаками або географічними позначеннями, які належать третім особам. За цивільним кодексом комерційне найменування не прирівнюється до юридичного найменування. Майнові права на комерційне найменування передаються лише цілком з фірмою.</w:t>
      </w:r>
    </w:p>
    <w:p w:rsidR="003D7BA5" w:rsidRDefault="00654FC4" w:rsidP="000F05D0">
      <w:r>
        <w:t>Торгівельна марка – будь-яке позначення або комбінація призначень. Об’єкт – слова, літри, цифри, зображувальні елементи, комбінація кольорів (ст. 492 цивільного кодексу). Розташування на товарах, документах, упаковці. Торгова марка – єдиний спосіб захисту прав споживачів. Товарні марки бувають:</w:t>
      </w:r>
    </w:p>
    <w:p w:rsidR="00654FC4" w:rsidRDefault="00654FC4" w:rsidP="000F05D0">
      <w:r>
        <w:t xml:space="preserve">словесні (70%), </w:t>
      </w:r>
    </w:p>
    <w:p w:rsidR="00654FC4" w:rsidRDefault="00654FC4" w:rsidP="000F05D0">
      <w:r>
        <w:t xml:space="preserve">Графічні марки – художні, </w:t>
      </w:r>
      <w:r w:rsidR="00E63F59">
        <w:t>зображення, фігури людей, птахів, стилізовані.</w:t>
      </w:r>
    </w:p>
    <w:p w:rsidR="00E63F59" w:rsidRDefault="00E63F59" w:rsidP="000F05D0">
      <w:r>
        <w:t>Об’ємні марки – тривимірне оформлення товару. Близькі до промислових зразків.</w:t>
      </w:r>
    </w:p>
    <w:p w:rsidR="00E63F59" w:rsidRDefault="00E63F59" w:rsidP="000F05D0">
      <w:r>
        <w:t>Звукові – реєструються у вигляді фонограм або нотного запису.</w:t>
      </w:r>
    </w:p>
    <w:p w:rsidR="001E1739" w:rsidRDefault="001E1739" w:rsidP="000F05D0">
      <w:r>
        <w:t>Нюхові торгові марки.</w:t>
      </w:r>
    </w:p>
    <w:p w:rsidR="00B00275" w:rsidRDefault="00B00275" w:rsidP="000F05D0">
      <w:r>
        <w:t>Марки послуг - виконують ті самі функції, що й торгівельні, але реалізують послуги.</w:t>
      </w:r>
    </w:p>
    <w:p w:rsidR="00B00275" w:rsidRDefault="00B00275" w:rsidP="000F05D0">
      <w:r>
        <w:t>Колективні товарні знаки – в Україні не визнаються.</w:t>
      </w:r>
      <w:r w:rsidR="00A81012">
        <w:t xml:space="preserve"> Надається спілкам, господарським організаціям, тобто не фізичним особам. Членство підпорядковується певним правилам.</w:t>
      </w:r>
    </w:p>
    <w:p w:rsidR="005E659B" w:rsidRDefault="005E659B" w:rsidP="000F05D0">
      <w:r>
        <w:rPr>
          <w:noProof/>
          <w:lang w:eastAsia="uk-UA"/>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60AEC" w:rsidRDefault="00F60AEC" w:rsidP="000F05D0">
      <w:r>
        <w:lastRenderedPageBreak/>
        <w:t xml:space="preserve">Географічні зазначення </w:t>
      </w:r>
      <w:r w:rsidR="00771D97">
        <w:t>–</w:t>
      </w:r>
      <w:r>
        <w:t xml:space="preserve"> охоплюють</w:t>
      </w:r>
      <w:r w:rsidR="00771D97">
        <w:t xml:space="preserve"> прості географічні і кваліфіковані позначення. Кваліфіковані діляться на назву місця походження та географічне позначення місяця походження. Просте зазначення товарів – це будь-яке словесне або графічне позначення, яке показує на місце виготовлення товарів. Реєстрації не підлягає охорона на підставі використання, тобто єдина умова – щоб це була правда. Кваліфіковане зазначення – назва географічного товару, що вказує, що походження товару саме з цього географічно місця, має певні властивості (якість, умови місця походження).</w:t>
      </w:r>
      <w:r w:rsidR="003D05E2">
        <w:t xml:space="preserve"> ГЗП – це географічна назва певного регіону, яка вказує на особливі якості товару, але не зобов’язує виготовлення товару саме в цьому місці.</w:t>
      </w:r>
    </w:p>
    <w:p w:rsidR="000F05D0" w:rsidRDefault="005E659B" w:rsidP="005E659B">
      <w:pPr>
        <w:pStyle w:val="Heading2"/>
      </w:pPr>
      <w:r>
        <w:t>Умови надання охорони</w:t>
      </w:r>
    </w:p>
    <w:p w:rsidR="005E659B" w:rsidRDefault="005E659B" w:rsidP="004F5F65">
      <w:r>
        <w:t>З моменту першого використання без реєстрації, але може бути внесено до реєстру.</w:t>
      </w:r>
    </w:p>
    <w:p w:rsidR="005E659B" w:rsidRDefault="005E659B" w:rsidP="004F5F65">
      <w:r>
        <w:t>Охорона надається знаку, який не суперечить принципам гуманності та моралі (порнографії, екстремістських виразів) і знаку, на який не поширюються</w:t>
      </w:r>
      <w:r w:rsidR="006421BC">
        <w:t xml:space="preserve"> підстави на відмову. Що міст</w:t>
      </w:r>
      <w:r>
        <w:t>ять державну символіку – не охороняються. Не охороняються міжнародні організації (червоний хрест). Не можуть одержати охорону п</w:t>
      </w:r>
      <w:r w:rsidR="006421BC">
        <w:t>означення, які не мають розріз</w:t>
      </w:r>
      <w:r>
        <w:t>няльної здатності, складаються з загальновживаних позначень, або символів та термінів.</w:t>
      </w:r>
      <w:r w:rsidR="006421BC">
        <w:t xml:space="preserve"> Такі що зумовлені формою природного стану товару, такі що вводять в оману. Загальновживані терміни ідентифікують не виробника, а товар. Окрім загальновживаних термінів розрізняють загальновідомі та загальновідомі в Україні. Загальновідомий знак – це знак, який охороняється без реєстрації.</w:t>
      </w:r>
      <w:r w:rsidR="00CE46BB">
        <w:t xml:space="preserve"> </w:t>
      </w:r>
    </w:p>
    <w:p w:rsidR="00CE46BB" w:rsidRDefault="00CE46BB" w:rsidP="004F5F65">
      <w:r>
        <w:t xml:space="preserve">Підстави на набуття </w:t>
      </w:r>
      <w:proofErr w:type="spellStart"/>
      <w:r>
        <w:t>прави</w:t>
      </w:r>
      <w:proofErr w:type="spellEnd"/>
      <w:r>
        <w:t xml:space="preserve"> </w:t>
      </w:r>
      <w:proofErr w:type="spellStart"/>
      <w:r>
        <w:t>торгівальнеої</w:t>
      </w:r>
      <w:proofErr w:type="spellEnd"/>
      <w:r>
        <w:t xml:space="preserve"> марки:</w:t>
      </w:r>
    </w:p>
    <w:p w:rsidR="00CE46BB" w:rsidRDefault="00CE46BB" w:rsidP="00CE46BB">
      <w:pPr>
        <w:pStyle w:val="ListParagraph"/>
        <w:numPr>
          <w:ilvl w:val="2"/>
          <w:numId w:val="4"/>
        </w:numPr>
      </w:pPr>
      <w:r>
        <w:t>Подання заяви;</w:t>
      </w:r>
    </w:p>
    <w:p w:rsidR="00CE46BB" w:rsidRDefault="00CE46BB" w:rsidP="00CE46BB">
      <w:pPr>
        <w:pStyle w:val="ListParagraph"/>
        <w:numPr>
          <w:ilvl w:val="2"/>
          <w:numId w:val="4"/>
        </w:numPr>
      </w:pPr>
      <w:r>
        <w:t>Міжнародна реєстрація:</w:t>
      </w:r>
    </w:p>
    <w:p w:rsidR="00CE46BB" w:rsidRDefault="00CE46BB" w:rsidP="00CE46BB">
      <w:pPr>
        <w:pStyle w:val="ListParagraph"/>
        <w:numPr>
          <w:ilvl w:val="2"/>
          <w:numId w:val="4"/>
        </w:numPr>
      </w:pPr>
      <w:r>
        <w:t>Визнання ТМ добре відомою в Україні;</w:t>
      </w:r>
    </w:p>
    <w:p w:rsidR="00CE46BB" w:rsidRDefault="00CE46BB" w:rsidP="00CE46BB">
      <w:pPr>
        <w:pStyle w:val="ListParagraph"/>
        <w:numPr>
          <w:ilvl w:val="2"/>
          <w:numId w:val="4"/>
        </w:numPr>
      </w:pPr>
      <w:r>
        <w:t>Перехід прав;</w:t>
      </w:r>
    </w:p>
    <w:p w:rsidR="00CE46BB" w:rsidRDefault="00CE46BB" w:rsidP="00CE46BB">
      <w:pPr>
        <w:pStyle w:val="ListParagraph"/>
        <w:numPr>
          <w:ilvl w:val="2"/>
          <w:numId w:val="4"/>
        </w:numPr>
      </w:pPr>
      <w:r>
        <w:t>Рішення суду щодо встановлення власника прав.</w:t>
      </w:r>
    </w:p>
    <w:p w:rsidR="00CE46BB" w:rsidRDefault="00CE46BB" w:rsidP="00CE46BB">
      <w:r>
        <w:t>Крім першого пун</w:t>
      </w:r>
      <w:r w:rsidR="000810B0">
        <w:t>кту все інше не потребує свідоц</w:t>
      </w:r>
      <w:r>
        <w:t xml:space="preserve">тва. Строк охорони не обмежений. Охорона з дня </w:t>
      </w:r>
      <w:proofErr w:type="spellStart"/>
      <w:r>
        <w:t>настпного</w:t>
      </w:r>
      <w:proofErr w:type="spellEnd"/>
      <w:r>
        <w:t xml:space="preserve"> від подання заявки Охорона прав обмежений переліком товарів. Термін продовження – 10 років з моменту продовження. </w:t>
      </w:r>
      <w:r w:rsidR="000810B0">
        <w:t>ТМ має право ставити попереджувальне маркування, що вона зареєстрована.</w:t>
      </w:r>
      <w:r w:rsidR="000142DD">
        <w:t xml:space="preserve"> В деяких країнах передбачена відповідальність за те, що компанія пише, що ТМ зареєстрована, якщо вона насправді незареєстрована.</w:t>
      </w:r>
    </w:p>
    <w:p w:rsidR="000142DD" w:rsidRDefault="000142DD" w:rsidP="00CE46BB">
      <w:proofErr w:type="spellStart"/>
      <w:r>
        <w:t>Геграфічне</w:t>
      </w:r>
      <w:proofErr w:type="spellEnd"/>
      <w:r>
        <w:t xml:space="preserve"> зазначення має державну реєстрацію самого зазначення і державну реєстрацію на саме зазначення. Обсяг прав визначається характеристиками товару і межами…</w:t>
      </w:r>
    </w:p>
    <w:p w:rsidR="000142DD" w:rsidRDefault="000142DD" w:rsidP="00CE46BB">
      <w:r>
        <w:t>Охорона здатна надати право на реєстрацію з наступної дати після дати подання заявки.</w:t>
      </w:r>
    </w:p>
    <w:p w:rsidR="000142DD" w:rsidRDefault="000142DD" w:rsidP="00CE46BB">
      <w:pPr>
        <w:rPr>
          <w:lang w:val="en-US"/>
        </w:rPr>
      </w:pPr>
      <w:r>
        <w:t>Доменні імена зараз розглядаються як товарні марки.</w:t>
      </w:r>
    </w:p>
    <w:p w:rsidR="00BF4EE0" w:rsidRDefault="00BF4EE0" w:rsidP="00BF4EE0">
      <w:pPr>
        <w:pStyle w:val="Heading2"/>
      </w:pPr>
      <w:r>
        <w:t>Порядок одержання охоронних документів на засоби індивідуалізації</w:t>
      </w:r>
    </w:p>
    <w:p w:rsidR="00BF4EE0" w:rsidRDefault="00BF4EE0" w:rsidP="00CE46BB">
      <w:r>
        <w:t xml:space="preserve">Охоронний документ – це свідоцтво. Видається держдепартаментом. Треба подати заяву із зображенням товарного знаку 8х8 см та переліком товарів та послуг, на які товарний знак буде розповсюджуватись. Збори визначені кабінетом міністрів в 2007 році. За подання заявки – 100 </w:t>
      </w:r>
      <w:proofErr w:type="spellStart"/>
      <w:r>
        <w:t>грн</w:t>
      </w:r>
      <w:proofErr w:type="spellEnd"/>
      <w:r>
        <w:t xml:space="preserve">, за кольорове зображення – 500 </w:t>
      </w:r>
      <w:proofErr w:type="spellStart"/>
      <w:r>
        <w:t>грн</w:t>
      </w:r>
      <w:proofErr w:type="spellEnd"/>
      <w:r>
        <w:t xml:space="preserve">, за включення слова «Україна» - 6000 </w:t>
      </w:r>
      <w:proofErr w:type="spellStart"/>
      <w:r>
        <w:t>грн</w:t>
      </w:r>
      <w:proofErr w:type="spellEnd"/>
      <w:r>
        <w:t>, публікація в чорно-білому кольорі – 100 грн.</w:t>
      </w:r>
    </w:p>
    <w:p w:rsidR="00BF4EE0" w:rsidRDefault="00BF4EE0" w:rsidP="00CE46BB">
      <w:r>
        <w:t>Підстави відмови:</w:t>
      </w:r>
    </w:p>
    <w:p w:rsidR="00BF4EE0" w:rsidRDefault="00BF4EE0" w:rsidP="00BF4EE0">
      <w:pPr>
        <w:pStyle w:val="ListParagraph"/>
        <w:numPr>
          <w:ilvl w:val="2"/>
          <w:numId w:val="4"/>
        </w:numPr>
        <w:ind w:left="426"/>
      </w:pPr>
      <w:r>
        <w:t>Суперечить гуманності та нормам моралі;</w:t>
      </w:r>
    </w:p>
    <w:p w:rsidR="00BF4EE0" w:rsidRDefault="00BF4EE0" w:rsidP="00BF4EE0">
      <w:pPr>
        <w:pStyle w:val="ListParagraph"/>
        <w:numPr>
          <w:ilvl w:val="2"/>
          <w:numId w:val="4"/>
        </w:numPr>
        <w:ind w:left="426"/>
      </w:pPr>
      <w:r>
        <w:lastRenderedPageBreak/>
        <w:t>Вводить в оману покупця;</w:t>
      </w:r>
    </w:p>
    <w:p w:rsidR="00BF4EE0" w:rsidRDefault="00BF4EE0" w:rsidP="00BF4EE0">
      <w:pPr>
        <w:pStyle w:val="ListParagraph"/>
        <w:numPr>
          <w:ilvl w:val="2"/>
          <w:numId w:val="4"/>
        </w:numPr>
        <w:ind w:left="426"/>
      </w:pPr>
      <w:r>
        <w:t>Є видовою назвою товару.</w:t>
      </w:r>
    </w:p>
    <w:p w:rsidR="00BF4EE0" w:rsidRDefault="00BF4EE0" w:rsidP="00BF4EE0">
      <w:pPr>
        <w:rPr>
          <w:lang w:val="en-US"/>
        </w:rPr>
      </w:pPr>
      <w:r>
        <w:t xml:space="preserve">Франчайзинг – це коли </w:t>
      </w:r>
      <w:r w:rsidR="00D95A8C">
        <w:t>стороння особа продає товари під іншим товарним знаком за умови, що буде підтримуватись якість.</w:t>
      </w:r>
    </w:p>
    <w:p w:rsidR="000639DB" w:rsidRDefault="000639DB" w:rsidP="00BF4EE0">
      <w:r>
        <w:t>Дія свідоцтва припиняється</w:t>
      </w:r>
      <w:r w:rsidR="00DC1FEE">
        <w:t xml:space="preserve"> на товарний знак</w:t>
      </w:r>
      <w:r>
        <w:t>:</w:t>
      </w:r>
    </w:p>
    <w:p w:rsidR="000639DB" w:rsidRDefault="000639DB" w:rsidP="00DC1FEE">
      <w:pPr>
        <w:pStyle w:val="ListParagraph"/>
        <w:numPr>
          <w:ilvl w:val="2"/>
          <w:numId w:val="4"/>
        </w:numPr>
        <w:ind w:left="426"/>
      </w:pPr>
      <w:r>
        <w:t>Без використання протягом 3 років:</w:t>
      </w:r>
    </w:p>
    <w:p w:rsidR="000639DB" w:rsidRDefault="000639DB" w:rsidP="00DC1FEE">
      <w:pPr>
        <w:pStyle w:val="ListParagraph"/>
        <w:numPr>
          <w:ilvl w:val="2"/>
          <w:numId w:val="4"/>
        </w:numPr>
        <w:ind w:left="426"/>
      </w:pPr>
      <w:r>
        <w:t>При переході знаку в загальновживаний;</w:t>
      </w:r>
    </w:p>
    <w:p w:rsidR="00DC1FEE" w:rsidRDefault="00DC1FEE" w:rsidP="00DC1FEE">
      <w:pPr>
        <w:pStyle w:val="ListParagraph"/>
        <w:numPr>
          <w:ilvl w:val="2"/>
          <w:numId w:val="4"/>
        </w:numPr>
        <w:ind w:left="426"/>
      </w:pPr>
      <w:r>
        <w:t>Не подовжується реєстрація;</w:t>
      </w:r>
    </w:p>
    <w:p w:rsidR="000639DB" w:rsidRPr="00BF16D5" w:rsidRDefault="00DC1FEE" w:rsidP="00DC1FEE">
      <w:pPr>
        <w:pStyle w:val="ListParagraph"/>
        <w:numPr>
          <w:ilvl w:val="2"/>
          <w:numId w:val="4"/>
        </w:numPr>
        <w:ind w:left="426"/>
      </w:pPr>
      <w:r>
        <w:t>При несплаті зборів.</w:t>
      </w:r>
    </w:p>
    <w:p w:rsidR="00BF16D5" w:rsidRDefault="00E253BA" w:rsidP="00BF16D5">
      <w:r>
        <w:t>Не розповсюджує</w:t>
      </w:r>
      <w:r w:rsidR="00D6295A">
        <w:t>ть</w:t>
      </w:r>
      <w:bookmarkStart w:id="0" w:name="_GoBack"/>
      <w:bookmarkEnd w:id="0"/>
      <w:r>
        <w:t>ся на ідеї, теорії, процеси, способи, відкриття математичні моделі, які описані, пояснені, проілюстровані</w:t>
      </w:r>
    </w:p>
    <w:p w:rsidR="00E253BA" w:rsidRDefault="00947A8C" w:rsidP="00BF16D5">
      <w:r>
        <w:t xml:space="preserve">Не є об’єктами: </w:t>
      </w:r>
      <w:r w:rsidR="00E253BA">
        <w:t>Не є ідеями повідомлення про новини дня</w:t>
      </w:r>
    </w:p>
    <w:p w:rsidR="00947A8C" w:rsidRDefault="00947A8C" w:rsidP="00BF16D5">
      <w:r>
        <w:t>Авторське право охороняється 70 років після смерті автора або останнього співавтора.</w:t>
      </w:r>
    </w:p>
    <w:p w:rsidR="001C2C86" w:rsidRDefault="001C2C86" w:rsidP="00BF16D5">
      <w:r>
        <w:t>Особливі випадки</w:t>
      </w:r>
    </w:p>
    <w:p w:rsidR="001C2C86" w:rsidRDefault="001C2C86" w:rsidP="00BF16D5">
      <w:r>
        <w:t>Твори створені в співавторстві – авторство належить усім співавторам, відносини визначаються угодою</w:t>
      </w:r>
    </w:p>
    <w:p w:rsidR="007126F0" w:rsidRDefault="007126F0" w:rsidP="00BF16D5">
      <w:r>
        <w:t>Складені твори – збірки, антології.</w:t>
      </w:r>
    </w:p>
    <w:p w:rsidR="008111AF" w:rsidRDefault="008111AF" w:rsidP="00BF16D5">
      <w:r>
        <w:t xml:space="preserve">Колективні твори – енциклопедії, періодичні збірки, </w:t>
      </w:r>
      <w:proofErr w:type="spellStart"/>
      <w:r>
        <w:t>збірки</w:t>
      </w:r>
      <w:proofErr w:type="spellEnd"/>
      <w:r>
        <w:t xml:space="preserve"> наукових праць, журнали.</w:t>
      </w:r>
    </w:p>
    <w:p w:rsidR="008111AF" w:rsidRDefault="008111AF" w:rsidP="00BF16D5">
      <w:r>
        <w:t xml:space="preserve">Службові твори – такі, що створені у зв’язку з трудовим </w:t>
      </w:r>
      <w:proofErr w:type="spellStart"/>
      <w:r>
        <w:t>замовлнням</w:t>
      </w:r>
      <w:proofErr w:type="spellEnd"/>
      <w:r>
        <w:t>.</w:t>
      </w:r>
    </w:p>
    <w:p w:rsidR="008111AF" w:rsidRDefault="008111AF" w:rsidP="00BF16D5">
      <w:r>
        <w:t>Окремі немайнові права можуть належати замовнику, а майнові – спільно автору, якщо інші не встановлені договором або контрактом.</w:t>
      </w:r>
    </w:p>
    <w:p w:rsidR="008111AF" w:rsidRPr="00E253BA" w:rsidRDefault="008111AF" w:rsidP="00BF16D5"/>
    <w:p w:rsidR="00BF16D5" w:rsidRDefault="00BF16D5" w:rsidP="00BF16D5">
      <w:pPr>
        <w:pStyle w:val="Heading1"/>
      </w:pPr>
      <w:r>
        <w:t>Тест</w:t>
      </w:r>
    </w:p>
    <w:p w:rsidR="00BF16D5" w:rsidRDefault="00BF16D5" w:rsidP="00BF16D5">
      <w:r>
        <w:t>15 питань</w:t>
      </w:r>
    </w:p>
    <w:p w:rsidR="00BF16D5" w:rsidRDefault="00BF16D5" w:rsidP="00BF16D5">
      <w:r>
        <w:t xml:space="preserve">На </w:t>
      </w:r>
      <w:proofErr w:type="spellStart"/>
      <w:r>
        <w:t>ка</w:t>
      </w:r>
      <w:r w:rsidR="00C52120">
        <w:t>ж</w:t>
      </w:r>
      <w:r>
        <w:t>дій</w:t>
      </w:r>
      <w:proofErr w:type="spellEnd"/>
      <w:r>
        <w:t xml:space="preserve"> </w:t>
      </w:r>
      <w:proofErr w:type="spellStart"/>
      <w:r>
        <w:t>вопрос</w:t>
      </w:r>
      <w:proofErr w:type="spellEnd"/>
      <w:r>
        <w:t xml:space="preserve"> </w:t>
      </w:r>
      <w:proofErr w:type="spellStart"/>
      <w:r>
        <w:t>может</w:t>
      </w:r>
      <w:proofErr w:type="spellEnd"/>
      <w:r>
        <w:t xml:space="preserve"> </w:t>
      </w:r>
      <w:proofErr w:type="spellStart"/>
      <w:r>
        <w:t>біть</w:t>
      </w:r>
      <w:proofErr w:type="spellEnd"/>
      <w:r>
        <w:t xml:space="preserve"> от одного 0 до 3 </w:t>
      </w:r>
      <w:proofErr w:type="spellStart"/>
      <w:r>
        <w:t>правильніх</w:t>
      </w:r>
      <w:proofErr w:type="spellEnd"/>
      <w:r>
        <w:t xml:space="preserve"> </w:t>
      </w:r>
      <w:proofErr w:type="spellStart"/>
      <w:r>
        <w:t>ответов</w:t>
      </w:r>
      <w:proofErr w:type="spellEnd"/>
    </w:p>
    <w:p w:rsidR="00BF16D5" w:rsidRDefault="00BF16D5" w:rsidP="00BF16D5">
      <w:r>
        <w:t xml:space="preserve">4 книгу цивільного кодексу – право інтелектуальної власності – 20 </w:t>
      </w:r>
      <w:proofErr w:type="spellStart"/>
      <w:r>
        <w:t>страниц</w:t>
      </w:r>
      <w:proofErr w:type="spellEnd"/>
      <w:r>
        <w:t xml:space="preserve">, більше не </w:t>
      </w:r>
      <w:proofErr w:type="spellStart"/>
      <w:r>
        <w:t>читать</w:t>
      </w:r>
      <w:proofErr w:type="spellEnd"/>
    </w:p>
    <w:p w:rsidR="00BF16D5" w:rsidRPr="00BF16D5" w:rsidRDefault="00BF16D5" w:rsidP="00BF16D5">
      <w:r>
        <w:t>Правова охорона авторських та суміжних прав</w:t>
      </w:r>
    </w:p>
    <w:sectPr w:rsidR="00BF16D5" w:rsidRPr="00BF16D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5DB"/>
    <w:multiLevelType w:val="hybridMultilevel"/>
    <w:tmpl w:val="D3BC5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76060CD"/>
    <w:multiLevelType w:val="hybridMultilevel"/>
    <w:tmpl w:val="CEDC8D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9377F68"/>
    <w:multiLevelType w:val="hybridMultilevel"/>
    <w:tmpl w:val="1F9C04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426CCC"/>
    <w:multiLevelType w:val="hybridMultilevel"/>
    <w:tmpl w:val="9376B5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42678C6"/>
    <w:multiLevelType w:val="hybridMultilevel"/>
    <w:tmpl w:val="3738BB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8823A6F"/>
    <w:multiLevelType w:val="hybridMultilevel"/>
    <w:tmpl w:val="E0968BBE"/>
    <w:lvl w:ilvl="0" w:tplc="04220011">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B312D7E"/>
    <w:multiLevelType w:val="hybridMultilevel"/>
    <w:tmpl w:val="FF422D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1C341D9"/>
    <w:multiLevelType w:val="hybridMultilevel"/>
    <w:tmpl w:val="A21A4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6C72FD4"/>
    <w:multiLevelType w:val="hybridMultilevel"/>
    <w:tmpl w:val="0394AD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DAF17A8"/>
    <w:multiLevelType w:val="hybridMultilevel"/>
    <w:tmpl w:val="9BD02A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1370DD9"/>
    <w:multiLevelType w:val="hybridMultilevel"/>
    <w:tmpl w:val="E0A809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62B3C26"/>
    <w:multiLevelType w:val="hybridMultilevel"/>
    <w:tmpl w:val="59F0DC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25C7B89"/>
    <w:multiLevelType w:val="hybridMultilevel"/>
    <w:tmpl w:val="55C84E30"/>
    <w:lvl w:ilvl="0" w:tplc="04220011">
      <w:start w:val="1"/>
      <w:numFmt w:val="decimal"/>
      <w:lvlText w:val="%1)"/>
      <w:lvlJc w:val="left"/>
      <w:pPr>
        <w:ind w:left="720" w:hanging="360"/>
      </w:pPr>
      <w:rPr>
        <w:rFonts w:hint="default"/>
      </w:rPr>
    </w:lvl>
    <w:lvl w:ilvl="1" w:tplc="04220001">
      <w:start w:val="1"/>
      <w:numFmt w:val="bullet"/>
      <w:lvlText w:val=""/>
      <w:lvlJc w:val="left"/>
      <w:pPr>
        <w:ind w:left="1440" w:hanging="360"/>
      </w:pPr>
      <w:rPr>
        <w:rFonts w:ascii="Symbol" w:hAnsi="Symbol" w:hint="default"/>
      </w:rPr>
    </w:lvl>
    <w:lvl w:ilvl="2" w:tplc="E1447A88">
      <w:numFmt w:val="bullet"/>
      <w:lvlText w:val="-"/>
      <w:lvlJc w:val="left"/>
      <w:pPr>
        <w:ind w:left="2340" w:hanging="360"/>
      </w:pPr>
      <w:rPr>
        <w:rFonts w:ascii="Calibri" w:eastAsiaTheme="minorHAnsi" w:hAnsi="Calibri" w:cs="Calibri"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7276CE5"/>
    <w:multiLevelType w:val="hybridMultilevel"/>
    <w:tmpl w:val="9612CC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7D474FBE"/>
    <w:multiLevelType w:val="hybridMultilevel"/>
    <w:tmpl w:val="CC4AF10E"/>
    <w:lvl w:ilvl="0" w:tplc="04220011">
      <w:start w:val="1"/>
      <w:numFmt w:val="decimal"/>
      <w:lvlText w:val="%1)"/>
      <w:lvlJc w:val="left"/>
      <w:pPr>
        <w:ind w:left="720" w:hanging="360"/>
      </w:pPr>
      <w:rPr>
        <w:rFonts w:hint="default"/>
      </w:r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2"/>
  </w:num>
  <w:num w:numId="5">
    <w:abstractNumId w:val="14"/>
  </w:num>
  <w:num w:numId="6">
    <w:abstractNumId w:val="8"/>
  </w:num>
  <w:num w:numId="7">
    <w:abstractNumId w:val="1"/>
  </w:num>
  <w:num w:numId="8">
    <w:abstractNumId w:val="10"/>
  </w:num>
  <w:num w:numId="9">
    <w:abstractNumId w:val="2"/>
  </w:num>
  <w:num w:numId="10">
    <w:abstractNumId w:val="4"/>
  </w:num>
  <w:num w:numId="11">
    <w:abstractNumId w:val="13"/>
  </w:num>
  <w:num w:numId="12">
    <w:abstractNumId w:val="0"/>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64"/>
    <w:rsid w:val="000142DD"/>
    <w:rsid w:val="00017F65"/>
    <w:rsid w:val="000639DB"/>
    <w:rsid w:val="000810B0"/>
    <w:rsid w:val="000979E6"/>
    <w:rsid w:val="000E358E"/>
    <w:rsid w:val="000F0339"/>
    <w:rsid w:val="000F05D0"/>
    <w:rsid w:val="000F2632"/>
    <w:rsid w:val="00104807"/>
    <w:rsid w:val="00166B04"/>
    <w:rsid w:val="001A5684"/>
    <w:rsid w:val="001B18EB"/>
    <w:rsid w:val="001C2C86"/>
    <w:rsid w:val="001D3BD9"/>
    <w:rsid w:val="001E1739"/>
    <w:rsid w:val="002041F8"/>
    <w:rsid w:val="002148F2"/>
    <w:rsid w:val="00230DCF"/>
    <w:rsid w:val="00242070"/>
    <w:rsid w:val="002C1238"/>
    <w:rsid w:val="002F7A6E"/>
    <w:rsid w:val="00306369"/>
    <w:rsid w:val="00310329"/>
    <w:rsid w:val="00331D3D"/>
    <w:rsid w:val="00332E7C"/>
    <w:rsid w:val="00386879"/>
    <w:rsid w:val="003964FD"/>
    <w:rsid w:val="003A6F09"/>
    <w:rsid w:val="003A7285"/>
    <w:rsid w:val="003C5007"/>
    <w:rsid w:val="003D05E2"/>
    <w:rsid w:val="003D7BA5"/>
    <w:rsid w:val="00434EE6"/>
    <w:rsid w:val="00474D52"/>
    <w:rsid w:val="004D630B"/>
    <w:rsid w:val="004F2A48"/>
    <w:rsid w:val="004F5F65"/>
    <w:rsid w:val="005042C4"/>
    <w:rsid w:val="005117DA"/>
    <w:rsid w:val="005328CF"/>
    <w:rsid w:val="005409B7"/>
    <w:rsid w:val="005529C4"/>
    <w:rsid w:val="00582F20"/>
    <w:rsid w:val="005A1C98"/>
    <w:rsid w:val="005C12F7"/>
    <w:rsid w:val="005D304D"/>
    <w:rsid w:val="005E659B"/>
    <w:rsid w:val="005F2922"/>
    <w:rsid w:val="006421BC"/>
    <w:rsid w:val="00654FC4"/>
    <w:rsid w:val="0066069B"/>
    <w:rsid w:val="00675294"/>
    <w:rsid w:val="00680D1B"/>
    <w:rsid w:val="006E137A"/>
    <w:rsid w:val="006F5B39"/>
    <w:rsid w:val="007126F0"/>
    <w:rsid w:val="007373B0"/>
    <w:rsid w:val="00757D73"/>
    <w:rsid w:val="00771D97"/>
    <w:rsid w:val="00794D24"/>
    <w:rsid w:val="007D63DA"/>
    <w:rsid w:val="008111AF"/>
    <w:rsid w:val="008244A6"/>
    <w:rsid w:val="00845D93"/>
    <w:rsid w:val="0086763D"/>
    <w:rsid w:val="008A0F28"/>
    <w:rsid w:val="008B6985"/>
    <w:rsid w:val="008F2826"/>
    <w:rsid w:val="00902B98"/>
    <w:rsid w:val="00931CA5"/>
    <w:rsid w:val="00936CD5"/>
    <w:rsid w:val="00947A8C"/>
    <w:rsid w:val="009E6E12"/>
    <w:rsid w:val="00A12686"/>
    <w:rsid w:val="00A31347"/>
    <w:rsid w:val="00A35FFC"/>
    <w:rsid w:val="00A36C75"/>
    <w:rsid w:val="00A4518A"/>
    <w:rsid w:val="00A81012"/>
    <w:rsid w:val="00A9189E"/>
    <w:rsid w:val="00AD0627"/>
    <w:rsid w:val="00AD0B1B"/>
    <w:rsid w:val="00AF1DAA"/>
    <w:rsid w:val="00B00275"/>
    <w:rsid w:val="00B12D7F"/>
    <w:rsid w:val="00B21DD8"/>
    <w:rsid w:val="00B36E99"/>
    <w:rsid w:val="00B7786F"/>
    <w:rsid w:val="00B81BBE"/>
    <w:rsid w:val="00BD0CE7"/>
    <w:rsid w:val="00BF16D5"/>
    <w:rsid w:val="00BF4EE0"/>
    <w:rsid w:val="00C00592"/>
    <w:rsid w:val="00C52120"/>
    <w:rsid w:val="00C537D0"/>
    <w:rsid w:val="00C875F4"/>
    <w:rsid w:val="00CA1F08"/>
    <w:rsid w:val="00CD150E"/>
    <w:rsid w:val="00CE0C2F"/>
    <w:rsid w:val="00CE46BB"/>
    <w:rsid w:val="00D07FBE"/>
    <w:rsid w:val="00D31015"/>
    <w:rsid w:val="00D6295A"/>
    <w:rsid w:val="00D67E67"/>
    <w:rsid w:val="00D95A8C"/>
    <w:rsid w:val="00DC1FEE"/>
    <w:rsid w:val="00E253BA"/>
    <w:rsid w:val="00E408E0"/>
    <w:rsid w:val="00E63F59"/>
    <w:rsid w:val="00E64C4F"/>
    <w:rsid w:val="00E85D6F"/>
    <w:rsid w:val="00E91F9F"/>
    <w:rsid w:val="00EC1346"/>
    <w:rsid w:val="00EF0BC9"/>
    <w:rsid w:val="00F05404"/>
    <w:rsid w:val="00F061AC"/>
    <w:rsid w:val="00F123CC"/>
    <w:rsid w:val="00F22525"/>
    <w:rsid w:val="00F33229"/>
    <w:rsid w:val="00F60AEC"/>
    <w:rsid w:val="00F622F9"/>
    <w:rsid w:val="00F65E45"/>
    <w:rsid w:val="00F73164"/>
    <w:rsid w:val="00F74869"/>
    <w:rsid w:val="00F876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9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64"/>
    <w:pPr>
      <w:ind w:left="720"/>
      <w:contextualSpacing/>
    </w:pPr>
  </w:style>
  <w:style w:type="paragraph" w:styleId="BalloonText">
    <w:name w:val="Balloon Text"/>
    <w:basedOn w:val="Normal"/>
    <w:link w:val="BalloonTextChar"/>
    <w:uiPriority w:val="99"/>
    <w:semiHidden/>
    <w:unhideWhenUsed/>
    <w:rsid w:val="00E85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D6F"/>
    <w:rPr>
      <w:rFonts w:ascii="Tahoma" w:hAnsi="Tahoma" w:cs="Tahoma"/>
      <w:sz w:val="16"/>
      <w:szCs w:val="16"/>
    </w:rPr>
  </w:style>
  <w:style w:type="character" w:customStyle="1" w:styleId="Heading1Char">
    <w:name w:val="Heading 1 Char"/>
    <w:basedOn w:val="DefaultParagraphFont"/>
    <w:link w:val="Heading1"/>
    <w:uiPriority w:val="9"/>
    <w:rsid w:val="003964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9E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E0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9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64"/>
    <w:pPr>
      <w:ind w:left="720"/>
      <w:contextualSpacing/>
    </w:pPr>
  </w:style>
  <w:style w:type="paragraph" w:styleId="BalloonText">
    <w:name w:val="Balloon Text"/>
    <w:basedOn w:val="Normal"/>
    <w:link w:val="BalloonTextChar"/>
    <w:uiPriority w:val="99"/>
    <w:semiHidden/>
    <w:unhideWhenUsed/>
    <w:rsid w:val="00E85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D6F"/>
    <w:rPr>
      <w:rFonts w:ascii="Tahoma" w:hAnsi="Tahoma" w:cs="Tahoma"/>
      <w:sz w:val="16"/>
      <w:szCs w:val="16"/>
    </w:rPr>
  </w:style>
  <w:style w:type="character" w:customStyle="1" w:styleId="Heading1Char">
    <w:name w:val="Heading 1 Char"/>
    <w:basedOn w:val="DefaultParagraphFont"/>
    <w:link w:val="Heading1"/>
    <w:uiPriority w:val="9"/>
    <w:rsid w:val="003964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9E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E0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05F6E-CBBD-4C43-9E40-4B1034F1D01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uk-UA"/>
        </a:p>
      </dgm:t>
    </dgm:pt>
    <dgm:pt modelId="{F32BE7BD-C059-4DCD-B383-DEF2D88FACD1}">
      <dgm:prSet phldrT="[Text]"/>
      <dgm:spPr/>
      <dgm:t>
        <a:bodyPr/>
        <a:lstStyle/>
        <a:p>
          <a:r>
            <a:rPr lang="uk-UA"/>
            <a:t>Географічні позначення</a:t>
          </a:r>
        </a:p>
      </dgm:t>
    </dgm:pt>
    <dgm:pt modelId="{1DBC303B-A7F6-4536-B0D8-C7EB540DC95C}" type="parTrans" cxnId="{DE71C6F3-3224-439C-9C1A-B094E01F412F}">
      <dgm:prSet/>
      <dgm:spPr/>
      <dgm:t>
        <a:bodyPr/>
        <a:lstStyle/>
        <a:p>
          <a:endParaRPr lang="uk-UA"/>
        </a:p>
      </dgm:t>
    </dgm:pt>
    <dgm:pt modelId="{D80E795D-E06B-4520-9703-F6030D99E918}" type="sibTrans" cxnId="{DE71C6F3-3224-439C-9C1A-B094E01F412F}">
      <dgm:prSet/>
      <dgm:spPr/>
      <dgm:t>
        <a:bodyPr/>
        <a:lstStyle/>
        <a:p>
          <a:endParaRPr lang="uk-UA"/>
        </a:p>
      </dgm:t>
    </dgm:pt>
    <dgm:pt modelId="{085DC476-1C69-43EA-BFF6-B33D796BACD4}">
      <dgm:prSet phldrT="[Text]"/>
      <dgm:spPr/>
      <dgm:t>
        <a:bodyPr/>
        <a:lstStyle/>
        <a:p>
          <a:r>
            <a:rPr lang="uk-UA"/>
            <a:t>Кваліфіковані</a:t>
          </a:r>
        </a:p>
      </dgm:t>
    </dgm:pt>
    <dgm:pt modelId="{315A70C7-F2C8-41DD-A64A-814BFD242F9E}" type="parTrans" cxnId="{B2FDFEFC-CDB9-4DBA-AA69-25794384E7BF}">
      <dgm:prSet/>
      <dgm:spPr/>
      <dgm:t>
        <a:bodyPr/>
        <a:lstStyle/>
        <a:p>
          <a:endParaRPr lang="uk-UA"/>
        </a:p>
      </dgm:t>
    </dgm:pt>
    <dgm:pt modelId="{203381C6-8692-4938-9144-509859105BA6}" type="sibTrans" cxnId="{B2FDFEFC-CDB9-4DBA-AA69-25794384E7BF}">
      <dgm:prSet/>
      <dgm:spPr/>
      <dgm:t>
        <a:bodyPr/>
        <a:lstStyle/>
        <a:p>
          <a:endParaRPr lang="uk-UA"/>
        </a:p>
      </dgm:t>
    </dgm:pt>
    <dgm:pt modelId="{A71F7B08-E498-4AB3-88FF-54F3B8ABA250}">
      <dgm:prSet phldrT="[Text]"/>
      <dgm:spPr/>
      <dgm:t>
        <a:bodyPr/>
        <a:lstStyle/>
        <a:p>
          <a:r>
            <a:rPr lang="uk-UA"/>
            <a:t>НМП</a:t>
          </a:r>
        </a:p>
      </dgm:t>
    </dgm:pt>
    <dgm:pt modelId="{FA176A9D-F748-4991-A0DE-44211D73272C}" type="parTrans" cxnId="{CF0C6B0D-822A-4B35-ADAB-ADA4A63A81DC}">
      <dgm:prSet/>
      <dgm:spPr/>
      <dgm:t>
        <a:bodyPr/>
        <a:lstStyle/>
        <a:p>
          <a:endParaRPr lang="uk-UA"/>
        </a:p>
      </dgm:t>
    </dgm:pt>
    <dgm:pt modelId="{FF6F0FCB-888A-49FB-8AA5-DD2C8A9FD118}" type="sibTrans" cxnId="{CF0C6B0D-822A-4B35-ADAB-ADA4A63A81DC}">
      <dgm:prSet/>
      <dgm:spPr/>
      <dgm:t>
        <a:bodyPr/>
        <a:lstStyle/>
        <a:p>
          <a:endParaRPr lang="uk-UA"/>
        </a:p>
      </dgm:t>
    </dgm:pt>
    <dgm:pt modelId="{4DF81FDA-C7F7-405B-9B36-85DA2FF6F20B}">
      <dgm:prSet phldrT="[Text]"/>
      <dgm:spPr/>
      <dgm:t>
        <a:bodyPr/>
        <a:lstStyle/>
        <a:p>
          <a:r>
            <a:rPr lang="uk-UA"/>
            <a:t>ГЗП</a:t>
          </a:r>
        </a:p>
      </dgm:t>
    </dgm:pt>
    <dgm:pt modelId="{D4F29D80-B195-4E16-B19E-D01B29B59E53}" type="parTrans" cxnId="{66DA33C5-2E28-4FD0-A7A4-36132A164572}">
      <dgm:prSet/>
      <dgm:spPr/>
      <dgm:t>
        <a:bodyPr/>
        <a:lstStyle/>
        <a:p>
          <a:endParaRPr lang="uk-UA"/>
        </a:p>
      </dgm:t>
    </dgm:pt>
    <dgm:pt modelId="{06B01D3F-3487-4A22-9596-1953BF870FCE}" type="sibTrans" cxnId="{66DA33C5-2E28-4FD0-A7A4-36132A164572}">
      <dgm:prSet/>
      <dgm:spPr/>
      <dgm:t>
        <a:bodyPr/>
        <a:lstStyle/>
        <a:p>
          <a:endParaRPr lang="uk-UA"/>
        </a:p>
      </dgm:t>
    </dgm:pt>
    <dgm:pt modelId="{ED555A13-9CF4-4BC9-86F5-02691CADB3A7}">
      <dgm:prSet phldrT="[Text]"/>
      <dgm:spPr/>
      <dgm:t>
        <a:bodyPr/>
        <a:lstStyle/>
        <a:p>
          <a:r>
            <a:rPr lang="uk-UA"/>
            <a:t>Прості</a:t>
          </a:r>
        </a:p>
      </dgm:t>
    </dgm:pt>
    <dgm:pt modelId="{8AF46652-F718-4894-9B78-C21732BAC5BD}" type="parTrans" cxnId="{E9353D5E-FAA0-4AF1-9BA1-7FE2F7323A64}">
      <dgm:prSet/>
      <dgm:spPr/>
      <dgm:t>
        <a:bodyPr/>
        <a:lstStyle/>
        <a:p>
          <a:endParaRPr lang="uk-UA"/>
        </a:p>
      </dgm:t>
    </dgm:pt>
    <dgm:pt modelId="{5003A706-956F-4FCD-A553-31D43F5C46E2}" type="sibTrans" cxnId="{E9353D5E-FAA0-4AF1-9BA1-7FE2F7323A64}">
      <dgm:prSet/>
      <dgm:spPr/>
      <dgm:t>
        <a:bodyPr/>
        <a:lstStyle/>
        <a:p>
          <a:endParaRPr lang="uk-UA"/>
        </a:p>
      </dgm:t>
    </dgm:pt>
    <dgm:pt modelId="{1E76CFE8-B974-4F29-9B4A-F6A0EFD172B2}" type="pres">
      <dgm:prSet presAssocID="{7B005F6E-CBBD-4C43-9E40-4B1034F1D016}" presName="hierChild1" presStyleCnt="0">
        <dgm:presLayoutVars>
          <dgm:chPref val="1"/>
          <dgm:dir/>
          <dgm:animOne val="branch"/>
          <dgm:animLvl val="lvl"/>
          <dgm:resizeHandles/>
        </dgm:presLayoutVars>
      </dgm:prSet>
      <dgm:spPr/>
      <dgm:t>
        <a:bodyPr/>
        <a:lstStyle/>
        <a:p>
          <a:endParaRPr lang="uk-UA"/>
        </a:p>
      </dgm:t>
    </dgm:pt>
    <dgm:pt modelId="{98CAFD6F-4EA8-468C-82B6-60100B2D9463}" type="pres">
      <dgm:prSet presAssocID="{F32BE7BD-C059-4DCD-B383-DEF2D88FACD1}" presName="hierRoot1" presStyleCnt="0"/>
      <dgm:spPr/>
    </dgm:pt>
    <dgm:pt modelId="{6D735B24-8736-4A3B-B29F-CD8DBE1B4B4F}" type="pres">
      <dgm:prSet presAssocID="{F32BE7BD-C059-4DCD-B383-DEF2D88FACD1}" presName="composite" presStyleCnt="0"/>
      <dgm:spPr/>
    </dgm:pt>
    <dgm:pt modelId="{EC382212-EA52-48F4-9C7C-05F7332EFBEB}" type="pres">
      <dgm:prSet presAssocID="{F32BE7BD-C059-4DCD-B383-DEF2D88FACD1}" presName="background" presStyleLbl="node0" presStyleIdx="0" presStyleCnt="1"/>
      <dgm:spPr/>
    </dgm:pt>
    <dgm:pt modelId="{B35B64A2-D2EC-4592-AE12-39E255D71891}" type="pres">
      <dgm:prSet presAssocID="{F32BE7BD-C059-4DCD-B383-DEF2D88FACD1}" presName="text" presStyleLbl="fgAcc0" presStyleIdx="0" presStyleCnt="1">
        <dgm:presLayoutVars>
          <dgm:chPref val="3"/>
        </dgm:presLayoutVars>
      </dgm:prSet>
      <dgm:spPr/>
      <dgm:t>
        <a:bodyPr/>
        <a:lstStyle/>
        <a:p>
          <a:endParaRPr lang="uk-UA"/>
        </a:p>
      </dgm:t>
    </dgm:pt>
    <dgm:pt modelId="{58EFD6AB-EABA-4E86-9B79-846D1B7C2434}" type="pres">
      <dgm:prSet presAssocID="{F32BE7BD-C059-4DCD-B383-DEF2D88FACD1}" presName="hierChild2" presStyleCnt="0"/>
      <dgm:spPr/>
    </dgm:pt>
    <dgm:pt modelId="{ACB50E33-CB26-401F-A08E-661C9ED9321F}" type="pres">
      <dgm:prSet presAssocID="{8AF46652-F718-4894-9B78-C21732BAC5BD}" presName="Name10" presStyleLbl="parChTrans1D2" presStyleIdx="0" presStyleCnt="2"/>
      <dgm:spPr/>
    </dgm:pt>
    <dgm:pt modelId="{2B49441F-FED7-4E02-81CE-EFFBB17A85EC}" type="pres">
      <dgm:prSet presAssocID="{ED555A13-9CF4-4BC9-86F5-02691CADB3A7}" presName="hierRoot2" presStyleCnt="0"/>
      <dgm:spPr/>
    </dgm:pt>
    <dgm:pt modelId="{6E6FF9E4-11DE-4FE7-BCB5-6AA72208498C}" type="pres">
      <dgm:prSet presAssocID="{ED555A13-9CF4-4BC9-86F5-02691CADB3A7}" presName="composite2" presStyleCnt="0"/>
      <dgm:spPr/>
    </dgm:pt>
    <dgm:pt modelId="{B5D957BB-6299-45D1-9848-4F47BE5C1546}" type="pres">
      <dgm:prSet presAssocID="{ED555A13-9CF4-4BC9-86F5-02691CADB3A7}" presName="background2" presStyleLbl="node2" presStyleIdx="0" presStyleCnt="2"/>
      <dgm:spPr/>
    </dgm:pt>
    <dgm:pt modelId="{5689BD5A-3C81-493C-BB5B-45D4FDA7ECF9}" type="pres">
      <dgm:prSet presAssocID="{ED555A13-9CF4-4BC9-86F5-02691CADB3A7}" presName="text2" presStyleLbl="fgAcc2" presStyleIdx="0" presStyleCnt="2">
        <dgm:presLayoutVars>
          <dgm:chPref val="3"/>
        </dgm:presLayoutVars>
      </dgm:prSet>
      <dgm:spPr/>
      <dgm:t>
        <a:bodyPr/>
        <a:lstStyle/>
        <a:p>
          <a:endParaRPr lang="uk-UA"/>
        </a:p>
      </dgm:t>
    </dgm:pt>
    <dgm:pt modelId="{DEB5AF59-C455-4B75-B218-1D9A25F76175}" type="pres">
      <dgm:prSet presAssocID="{ED555A13-9CF4-4BC9-86F5-02691CADB3A7}" presName="hierChild3" presStyleCnt="0"/>
      <dgm:spPr/>
    </dgm:pt>
    <dgm:pt modelId="{1F9F0012-C93D-42F0-911E-79F353D2CC87}" type="pres">
      <dgm:prSet presAssocID="{315A70C7-F2C8-41DD-A64A-814BFD242F9E}" presName="Name10" presStyleLbl="parChTrans1D2" presStyleIdx="1" presStyleCnt="2"/>
      <dgm:spPr/>
      <dgm:t>
        <a:bodyPr/>
        <a:lstStyle/>
        <a:p>
          <a:endParaRPr lang="uk-UA"/>
        </a:p>
      </dgm:t>
    </dgm:pt>
    <dgm:pt modelId="{0E45B620-EDD6-4A90-A2CA-2ABF348176BA}" type="pres">
      <dgm:prSet presAssocID="{085DC476-1C69-43EA-BFF6-B33D796BACD4}" presName="hierRoot2" presStyleCnt="0"/>
      <dgm:spPr/>
    </dgm:pt>
    <dgm:pt modelId="{BBC87FCF-5386-407C-B856-89AFA40FFCD9}" type="pres">
      <dgm:prSet presAssocID="{085DC476-1C69-43EA-BFF6-B33D796BACD4}" presName="composite2" presStyleCnt="0"/>
      <dgm:spPr/>
    </dgm:pt>
    <dgm:pt modelId="{6EC743F3-CBB8-49E0-85D3-E20C765D93ED}" type="pres">
      <dgm:prSet presAssocID="{085DC476-1C69-43EA-BFF6-B33D796BACD4}" presName="background2" presStyleLbl="node2" presStyleIdx="1" presStyleCnt="2"/>
      <dgm:spPr/>
    </dgm:pt>
    <dgm:pt modelId="{B3D25E9B-2355-4DC7-8FED-D817D3FE4A50}" type="pres">
      <dgm:prSet presAssocID="{085DC476-1C69-43EA-BFF6-B33D796BACD4}" presName="text2" presStyleLbl="fgAcc2" presStyleIdx="1" presStyleCnt="2">
        <dgm:presLayoutVars>
          <dgm:chPref val="3"/>
        </dgm:presLayoutVars>
      </dgm:prSet>
      <dgm:spPr/>
      <dgm:t>
        <a:bodyPr/>
        <a:lstStyle/>
        <a:p>
          <a:endParaRPr lang="uk-UA"/>
        </a:p>
      </dgm:t>
    </dgm:pt>
    <dgm:pt modelId="{8B6CC0C7-7174-4933-9FB4-6B98DF245113}" type="pres">
      <dgm:prSet presAssocID="{085DC476-1C69-43EA-BFF6-B33D796BACD4}" presName="hierChild3" presStyleCnt="0"/>
      <dgm:spPr/>
    </dgm:pt>
    <dgm:pt modelId="{A15690DB-FB2B-44E0-AFFC-E267C74AE3F6}" type="pres">
      <dgm:prSet presAssocID="{FA176A9D-F748-4991-A0DE-44211D73272C}" presName="Name17" presStyleLbl="parChTrans1D3" presStyleIdx="0" presStyleCnt="2"/>
      <dgm:spPr/>
      <dgm:t>
        <a:bodyPr/>
        <a:lstStyle/>
        <a:p>
          <a:endParaRPr lang="uk-UA"/>
        </a:p>
      </dgm:t>
    </dgm:pt>
    <dgm:pt modelId="{2E6D49BC-CA20-406B-B260-53987A1E7BB0}" type="pres">
      <dgm:prSet presAssocID="{A71F7B08-E498-4AB3-88FF-54F3B8ABA250}" presName="hierRoot3" presStyleCnt="0"/>
      <dgm:spPr/>
    </dgm:pt>
    <dgm:pt modelId="{E0DE0F0F-4242-48DA-9BAB-6C0E38D1ACED}" type="pres">
      <dgm:prSet presAssocID="{A71F7B08-E498-4AB3-88FF-54F3B8ABA250}" presName="composite3" presStyleCnt="0"/>
      <dgm:spPr/>
    </dgm:pt>
    <dgm:pt modelId="{778F199A-8D60-4C88-B998-4C37A4B65A53}" type="pres">
      <dgm:prSet presAssocID="{A71F7B08-E498-4AB3-88FF-54F3B8ABA250}" presName="background3" presStyleLbl="node3" presStyleIdx="0" presStyleCnt="2"/>
      <dgm:spPr/>
    </dgm:pt>
    <dgm:pt modelId="{8CF02C89-954F-46BF-A59E-29BE9ADAA5D3}" type="pres">
      <dgm:prSet presAssocID="{A71F7B08-E498-4AB3-88FF-54F3B8ABA250}" presName="text3" presStyleLbl="fgAcc3" presStyleIdx="0" presStyleCnt="2">
        <dgm:presLayoutVars>
          <dgm:chPref val="3"/>
        </dgm:presLayoutVars>
      </dgm:prSet>
      <dgm:spPr/>
      <dgm:t>
        <a:bodyPr/>
        <a:lstStyle/>
        <a:p>
          <a:endParaRPr lang="uk-UA"/>
        </a:p>
      </dgm:t>
    </dgm:pt>
    <dgm:pt modelId="{C3912D6C-0094-47CB-B313-8ED673CEFE60}" type="pres">
      <dgm:prSet presAssocID="{A71F7B08-E498-4AB3-88FF-54F3B8ABA250}" presName="hierChild4" presStyleCnt="0"/>
      <dgm:spPr/>
    </dgm:pt>
    <dgm:pt modelId="{46CB98F1-FD6B-4C2F-9B8A-B05C15EEAAE0}" type="pres">
      <dgm:prSet presAssocID="{D4F29D80-B195-4E16-B19E-D01B29B59E53}" presName="Name17" presStyleLbl="parChTrans1D3" presStyleIdx="1" presStyleCnt="2"/>
      <dgm:spPr/>
      <dgm:t>
        <a:bodyPr/>
        <a:lstStyle/>
        <a:p>
          <a:endParaRPr lang="uk-UA"/>
        </a:p>
      </dgm:t>
    </dgm:pt>
    <dgm:pt modelId="{0E54640C-434E-4E82-9DE3-962D07FB0D61}" type="pres">
      <dgm:prSet presAssocID="{4DF81FDA-C7F7-405B-9B36-85DA2FF6F20B}" presName="hierRoot3" presStyleCnt="0"/>
      <dgm:spPr/>
    </dgm:pt>
    <dgm:pt modelId="{8061D67D-AED1-4C0C-92A6-735EAF50A88B}" type="pres">
      <dgm:prSet presAssocID="{4DF81FDA-C7F7-405B-9B36-85DA2FF6F20B}" presName="composite3" presStyleCnt="0"/>
      <dgm:spPr/>
    </dgm:pt>
    <dgm:pt modelId="{4BFD6B6F-1A6A-4234-996B-312FDC36E0B9}" type="pres">
      <dgm:prSet presAssocID="{4DF81FDA-C7F7-405B-9B36-85DA2FF6F20B}" presName="background3" presStyleLbl="node3" presStyleIdx="1" presStyleCnt="2"/>
      <dgm:spPr/>
    </dgm:pt>
    <dgm:pt modelId="{B30F18BC-7E2F-4FBF-B068-604F12A57736}" type="pres">
      <dgm:prSet presAssocID="{4DF81FDA-C7F7-405B-9B36-85DA2FF6F20B}" presName="text3" presStyleLbl="fgAcc3" presStyleIdx="1" presStyleCnt="2">
        <dgm:presLayoutVars>
          <dgm:chPref val="3"/>
        </dgm:presLayoutVars>
      </dgm:prSet>
      <dgm:spPr/>
      <dgm:t>
        <a:bodyPr/>
        <a:lstStyle/>
        <a:p>
          <a:endParaRPr lang="uk-UA"/>
        </a:p>
      </dgm:t>
    </dgm:pt>
    <dgm:pt modelId="{9BD82506-7D5F-4CAF-BE5E-7AB5978A38E4}" type="pres">
      <dgm:prSet presAssocID="{4DF81FDA-C7F7-405B-9B36-85DA2FF6F20B}" presName="hierChild4" presStyleCnt="0"/>
      <dgm:spPr/>
    </dgm:pt>
  </dgm:ptLst>
  <dgm:cxnLst>
    <dgm:cxn modelId="{7A7941D1-00DA-499F-9069-8D61418F63A4}" type="presOf" srcId="{ED555A13-9CF4-4BC9-86F5-02691CADB3A7}" destId="{5689BD5A-3C81-493C-BB5B-45D4FDA7ECF9}" srcOrd="0" destOrd="0" presId="urn:microsoft.com/office/officeart/2005/8/layout/hierarchy1"/>
    <dgm:cxn modelId="{66DA33C5-2E28-4FD0-A7A4-36132A164572}" srcId="{085DC476-1C69-43EA-BFF6-B33D796BACD4}" destId="{4DF81FDA-C7F7-405B-9B36-85DA2FF6F20B}" srcOrd="1" destOrd="0" parTransId="{D4F29D80-B195-4E16-B19E-D01B29B59E53}" sibTransId="{06B01D3F-3487-4A22-9596-1953BF870FCE}"/>
    <dgm:cxn modelId="{7C434B7D-7BA7-4480-B1F7-2CE2BE67AE44}" type="presOf" srcId="{8AF46652-F718-4894-9B78-C21732BAC5BD}" destId="{ACB50E33-CB26-401F-A08E-661C9ED9321F}" srcOrd="0" destOrd="0" presId="urn:microsoft.com/office/officeart/2005/8/layout/hierarchy1"/>
    <dgm:cxn modelId="{DFD6092E-B6AE-4437-8E75-4AB99031ECB0}" type="presOf" srcId="{4DF81FDA-C7F7-405B-9B36-85DA2FF6F20B}" destId="{B30F18BC-7E2F-4FBF-B068-604F12A57736}" srcOrd="0" destOrd="0" presId="urn:microsoft.com/office/officeart/2005/8/layout/hierarchy1"/>
    <dgm:cxn modelId="{DE71C6F3-3224-439C-9C1A-B094E01F412F}" srcId="{7B005F6E-CBBD-4C43-9E40-4B1034F1D016}" destId="{F32BE7BD-C059-4DCD-B383-DEF2D88FACD1}" srcOrd="0" destOrd="0" parTransId="{1DBC303B-A7F6-4536-B0D8-C7EB540DC95C}" sibTransId="{D80E795D-E06B-4520-9703-F6030D99E918}"/>
    <dgm:cxn modelId="{C47DFE12-E620-4D25-BD1D-B5A8101A787C}" type="presOf" srcId="{D4F29D80-B195-4E16-B19E-D01B29B59E53}" destId="{46CB98F1-FD6B-4C2F-9B8A-B05C15EEAAE0}" srcOrd="0" destOrd="0" presId="urn:microsoft.com/office/officeart/2005/8/layout/hierarchy1"/>
    <dgm:cxn modelId="{B2FDFEFC-CDB9-4DBA-AA69-25794384E7BF}" srcId="{F32BE7BD-C059-4DCD-B383-DEF2D88FACD1}" destId="{085DC476-1C69-43EA-BFF6-B33D796BACD4}" srcOrd="1" destOrd="0" parTransId="{315A70C7-F2C8-41DD-A64A-814BFD242F9E}" sibTransId="{203381C6-8692-4938-9144-509859105BA6}"/>
    <dgm:cxn modelId="{5094F073-4F6B-4E40-9038-E5DDEC95056D}" type="presOf" srcId="{A71F7B08-E498-4AB3-88FF-54F3B8ABA250}" destId="{8CF02C89-954F-46BF-A59E-29BE9ADAA5D3}" srcOrd="0" destOrd="0" presId="urn:microsoft.com/office/officeart/2005/8/layout/hierarchy1"/>
    <dgm:cxn modelId="{CF0C6B0D-822A-4B35-ADAB-ADA4A63A81DC}" srcId="{085DC476-1C69-43EA-BFF6-B33D796BACD4}" destId="{A71F7B08-E498-4AB3-88FF-54F3B8ABA250}" srcOrd="0" destOrd="0" parTransId="{FA176A9D-F748-4991-A0DE-44211D73272C}" sibTransId="{FF6F0FCB-888A-49FB-8AA5-DD2C8A9FD118}"/>
    <dgm:cxn modelId="{FBAED709-7383-405A-8602-5C8228E63958}" type="presOf" srcId="{315A70C7-F2C8-41DD-A64A-814BFD242F9E}" destId="{1F9F0012-C93D-42F0-911E-79F353D2CC87}" srcOrd="0" destOrd="0" presId="urn:microsoft.com/office/officeart/2005/8/layout/hierarchy1"/>
    <dgm:cxn modelId="{C3AE21E0-3A54-46D3-B546-FC5FF63E44AD}" type="presOf" srcId="{F32BE7BD-C059-4DCD-B383-DEF2D88FACD1}" destId="{B35B64A2-D2EC-4592-AE12-39E255D71891}" srcOrd="0" destOrd="0" presId="urn:microsoft.com/office/officeart/2005/8/layout/hierarchy1"/>
    <dgm:cxn modelId="{4D08A83A-61AB-4EB8-ACC0-EE782961B5DE}" type="presOf" srcId="{085DC476-1C69-43EA-BFF6-B33D796BACD4}" destId="{B3D25E9B-2355-4DC7-8FED-D817D3FE4A50}" srcOrd="0" destOrd="0" presId="urn:microsoft.com/office/officeart/2005/8/layout/hierarchy1"/>
    <dgm:cxn modelId="{E9353D5E-FAA0-4AF1-9BA1-7FE2F7323A64}" srcId="{F32BE7BD-C059-4DCD-B383-DEF2D88FACD1}" destId="{ED555A13-9CF4-4BC9-86F5-02691CADB3A7}" srcOrd="0" destOrd="0" parTransId="{8AF46652-F718-4894-9B78-C21732BAC5BD}" sibTransId="{5003A706-956F-4FCD-A553-31D43F5C46E2}"/>
    <dgm:cxn modelId="{C7018BDF-C862-4C9C-9A2F-90B430B00BF2}" type="presOf" srcId="{FA176A9D-F748-4991-A0DE-44211D73272C}" destId="{A15690DB-FB2B-44E0-AFFC-E267C74AE3F6}" srcOrd="0" destOrd="0" presId="urn:microsoft.com/office/officeart/2005/8/layout/hierarchy1"/>
    <dgm:cxn modelId="{0E1EC3DF-A114-4D28-BAC5-1AB3D667BC2A}" type="presOf" srcId="{7B005F6E-CBBD-4C43-9E40-4B1034F1D016}" destId="{1E76CFE8-B974-4F29-9B4A-F6A0EFD172B2}" srcOrd="0" destOrd="0" presId="urn:microsoft.com/office/officeart/2005/8/layout/hierarchy1"/>
    <dgm:cxn modelId="{62536522-732E-4069-B6D4-483F204A7BFF}" type="presParOf" srcId="{1E76CFE8-B974-4F29-9B4A-F6A0EFD172B2}" destId="{98CAFD6F-4EA8-468C-82B6-60100B2D9463}" srcOrd="0" destOrd="0" presId="urn:microsoft.com/office/officeart/2005/8/layout/hierarchy1"/>
    <dgm:cxn modelId="{F82AC36D-B4DF-41BD-98CE-E4A20ED28D59}" type="presParOf" srcId="{98CAFD6F-4EA8-468C-82B6-60100B2D9463}" destId="{6D735B24-8736-4A3B-B29F-CD8DBE1B4B4F}" srcOrd="0" destOrd="0" presId="urn:microsoft.com/office/officeart/2005/8/layout/hierarchy1"/>
    <dgm:cxn modelId="{D2F2D723-D46A-4882-9FF2-BCA33DAEEDBC}" type="presParOf" srcId="{6D735B24-8736-4A3B-B29F-CD8DBE1B4B4F}" destId="{EC382212-EA52-48F4-9C7C-05F7332EFBEB}" srcOrd="0" destOrd="0" presId="urn:microsoft.com/office/officeart/2005/8/layout/hierarchy1"/>
    <dgm:cxn modelId="{37D96612-9A7D-41F7-A596-DF1C391BC906}" type="presParOf" srcId="{6D735B24-8736-4A3B-B29F-CD8DBE1B4B4F}" destId="{B35B64A2-D2EC-4592-AE12-39E255D71891}" srcOrd="1" destOrd="0" presId="urn:microsoft.com/office/officeart/2005/8/layout/hierarchy1"/>
    <dgm:cxn modelId="{597EF1D5-1CB9-4753-9197-CFA417CDF57D}" type="presParOf" srcId="{98CAFD6F-4EA8-468C-82B6-60100B2D9463}" destId="{58EFD6AB-EABA-4E86-9B79-846D1B7C2434}" srcOrd="1" destOrd="0" presId="urn:microsoft.com/office/officeart/2005/8/layout/hierarchy1"/>
    <dgm:cxn modelId="{E8597FBD-3AB5-489C-8A22-E3302E029CCD}" type="presParOf" srcId="{58EFD6AB-EABA-4E86-9B79-846D1B7C2434}" destId="{ACB50E33-CB26-401F-A08E-661C9ED9321F}" srcOrd="0" destOrd="0" presId="urn:microsoft.com/office/officeart/2005/8/layout/hierarchy1"/>
    <dgm:cxn modelId="{58F3E9CC-12EE-4B93-8116-AD85CB45583E}" type="presParOf" srcId="{58EFD6AB-EABA-4E86-9B79-846D1B7C2434}" destId="{2B49441F-FED7-4E02-81CE-EFFBB17A85EC}" srcOrd="1" destOrd="0" presId="urn:microsoft.com/office/officeart/2005/8/layout/hierarchy1"/>
    <dgm:cxn modelId="{A8BFD115-AC6C-4754-ABB3-5996FAC1F742}" type="presParOf" srcId="{2B49441F-FED7-4E02-81CE-EFFBB17A85EC}" destId="{6E6FF9E4-11DE-4FE7-BCB5-6AA72208498C}" srcOrd="0" destOrd="0" presId="urn:microsoft.com/office/officeart/2005/8/layout/hierarchy1"/>
    <dgm:cxn modelId="{C197352F-6181-43D9-AE0B-D8A0E591E0A3}" type="presParOf" srcId="{6E6FF9E4-11DE-4FE7-BCB5-6AA72208498C}" destId="{B5D957BB-6299-45D1-9848-4F47BE5C1546}" srcOrd="0" destOrd="0" presId="urn:microsoft.com/office/officeart/2005/8/layout/hierarchy1"/>
    <dgm:cxn modelId="{ADC982E9-AAA0-454F-9106-8378F2F4DEAD}" type="presParOf" srcId="{6E6FF9E4-11DE-4FE7-BCB5-6AA72208498C}" destId="{5689BD5A-3C81-493C-BB5B-45D4FDA7ECF9}" srcOrd="1" destOrd="0" presId="urn:microsoft.com/office/officeart/2005/8/layout/hierarchy1"/>
    <dgm:cxn modelId="{68F837FF-6F23-4DE4-ADD3-010ADAB2D0FF}" type="presParOf" srcId="{2B49441F-FED7-4E02-81CE-EFFBB17A85EC}" destId="{DEB5AF59-C455-4B75-B218-1D9A25F76175}" srcOrd="1" destOrd="0" presId="urn:microsoft.com/office/officeart/2005/8/layout/hierarchy1"/>
    <dgm:cxn modelId="{4350CB84-B88E-4A01-B4A5-1FDE771A1FA6}" type="presParOf" srcId="{58EFD6AB-EABA-4E86-9B79-846D1B7C2434}" destId="{1F9F0012-C93D-42F0-911E-79F353D2CC87}" srcOrd="2" destOrd="0" presId="urn:microsoft.com/office/officeart/2005/8/layout/hierarchy1"/>
    <dgm:cxn modelId="{60B2B191-0BDC-4F9F-9DEF-B3F90F8E5AE4}" type="presParOf" srcId="{58EFD6AB-EABA-4E86-9B79-846D1B7C2434}" destId="{0E45B620-EDD6-4A90-A2CA-2ABF348176BA}" srcOrd="3" destOrd="0" presId="urn:microsoft.com/office/officeart/2005/8/layout/hierarchy1"/>
    <dgm:cxn modelId="{B25EE213-FDA9-42E4-B9B4-6446C2723502}" type="presParOf" srcId="{0E45B620-EDD6-4A90-A2CA-2ABF348176BA}" destId="{BBC87FCF-5386-407C-B856-89AFA40FFCD9}" srcOrd="0" destOrd="0" presId="urn:microsoft.com/office/officeart/2005/8/layout/hierarchy1"/>
    <dgm:cxn modelId="{575BBAE1-0D41-4018-89B6-F6B62A82A949}" type="presParOf" srcId="{BBC87FCF-5386-407C-B856-89AFA40FFCD9}" destId="{6EC743F3-CBB8-49E0-85D3-E20C765D93ED}" srcOrd="0" destOrd="0" presId="urn:microsoft.com/office/officeart/2005/8/layout/hierarchy1"/>
    <dgm:cxn modelId="{21BEB7F7-5738-4E23-A1F0-B40AFC76335E}" type="presParOf" srcId="{BBC87FCF-5386-407C-B856-89AFA40FFCD9}" destId="{B3D25E9B-2355-4DC7-8FED-D817D3FE4A50}" srcOrd="1" destOrd="0" presId="urn:microsoft.com/office/officeart/2005/8/layout/hierarchy1"/>
    <dgm:cxn modelId="{3C80C747-E72A-4FB1-98C2-1354D75DC33C}" type="presParOf" srcId="{0E45B620-EDD6-4A90-A2CA-2ABF348176BA}" destId="{8B6CC0C7-7174-4933-9FB4-6B98DF245113}" srcOrd="1" destOrd="0" presId="urn:microsoft.com/office/officeart/2005/8/layout/hierarchy1"/>
    <dgm:cxn modelId="{02676FB0-26B7-4142-9C35-71AA759D9E54}" type="presParOf" srcId="{8B6CC0C7-7174-4933-9FB4-6B98DF245113}" destId="{A15690DB-FB2B-44E0-AFFC-E267C74AE3F6}" srcOrd="0" destOrd="0" presId="urn:microsoft.com/office/officeart/2005/8/layout/hierarchy1"/>
    <dgm:cxn modelId="{C40FB43F-D1B4-4784-A62C-D64BB577C8A4}" type="presParOf" srcId="{8B6CC0C7-7174-4933-9FB4-6B98DF245113}" destId="{2E6D49BC-CA20-406B-B260-53987A1E7BB0}" srcOrd="1" destOrd="0" presId="urn:microsoft.com/office/officeart/2005/8/layout/hierarchy1"/>
    <dgm:cxn modelId="{F7D87B0C-E674-4B77-BDD9-2A815CDA2203}" type="presParOf" srcId="{2E6D49BC-CA20-406B-B260-53987A1E7BB0}" destId="{E0DE0F0F-4242-48DA-9BAB-6C0E38D1ACED}" srcOrd="0" destOrd="0" presId="urn:microsoft.com/office/officeart/2005/8/layout/hierarchy1"/>
    <dgm:cxn modelId="{DFE9A4C4-E3E6-4091-8C9A-626285C44B19}" type="presParOf" srcId="{E0DE0F0F-4242-48DA-9BAB-6C0E38D1ACED}" destId="{778F199A-8D60-4C88-B998-4C37A4B65A53}" srcOrd="0" destOrd="0" presId="urn:microsoft.com/office/officeart/2005/8/layout/hierarchy1"/>
    <dgm:cxn modelId="{F0DB53B8-F31D-403E-ABA8-BFCAA9B1C08B}" type="presParOf" srcId="{E0DE0F0F-4242-48DA-9BAB-6C0E38D1ACED}" destId="{8CF02C89-954F-46BF-A59E-29BE9ADAA5D3}" srcOrd="1" destOrd="0" presId="urn:microsoft.com/office/officeart/2005/8/layout/hierarchy1"/>
    <dgm:cxn modelId="{C92BD3B8-7C57-4794-8FAC-40EB080CD1B2}" type="presParOf" srcId="{2E6D49BC-CA20-406B-B260-53987A1E7BB0}" destId="{C3912D6C-0094-47CB-B313-8ED673CEFE60}" srcOrd="1" destOrd="0" presId="urn:microsoft.com/office/officeart/2005/8/layout/hierarchy1"/>
    <dgm:cxn modelId="{DD7E897B-4D60-4394-88FA-6F41808359BF}" type="presParOf" srcId="{8B6CC0C7-7174-4933-9FB4-6B98DF245113}" destId="{46CB98F1-FD6B-4C2F-9B8A-B05C15EEAAE0}" srcOrd="2" destOrd="0" presId="urn:microsoft.com/office/officeart/2005/8/layout/hierarchy1"/>
    <dgm:cxn modelId="{41244078-D8C4-4815-AB27-CEF25449CA3C}" type="presParOf" srcId="{8B6CC0C7-7174-4933-9FB4-6B98DF245113}" destId="{0E54640C-434E-4E82-9DE3-962D07FB0D61}" srcOrd="3" destOrd="0" presId="urn:microsoft.com/office/officeart/2005/8/layout/hierarchy1"/>
    <dgm:cxn modelId="{A9B156E1-7742-465A-A316-EF1FF45465FC}" type="presParOf" srcId="{0E54640C-434E-4E82-9DE3-962D07FB0D61}" destId="{8061D67D-AED1-4C0C-92A6-735EAF50A88B}" srcOrd="0" destOrd="0" presId="urn:microsoft.com/office/officeart/2005/8/layout/hierarchy1"/>
    <dgm:cxn modelId="{D512C6F7-732D-4319-8B5D-CBA0B4A1F0CC}" type="presParOf" srcId="{8061D67D-AED1-4C0C-92A6-735EAF50A88B}" destId="{4BFD6B6F-1A6A-4234-996B-312FDC36E0B9}" srcOrd="0" destOrd="0" presId="urn:microsoft.com/office/officeart/2005/8/layout/hierarchy1"/>
    <dgm:cxn modelId="{3CDFF9AC-E1A2-4246-8C3D-FEABD354808E}" type="presParOf" srcId="{8061D67D-AED1-4C0C-92A6-735EAF50A88B}" destId="{B30F18BC-7E2F-4FBF-B068-604F12A57736}" srcOrd="1" destOrd="0" presId="urn:microsoft.com/office/officeart/2005/8/layout/hierarchy1"/>
    <dgm:cxn modelId="{026F16FA-53F2-4584-B515-D735FA10C386}" type="presParOf" srcId="{0E54640C-434E-4E82-9DE3-962D07FB0D61}" destId="{9BD82506-7D5F-4CAF-BE5E-7AB5978A38E4}"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B98F1-FD6B-4C2F-9B8A-B05C15EEAAE0}">
      <dsp:nvSpPr>
        <dsp:cNvPr id="0" name=""/>
        <dsp:cNvSpPr/>
      </dsp:nvSpPr>
      <dsp:spPr>
        <a:xfrm>
          <a:off x="3051810" y="1926983"/>
          <a:ext cx="754380" cy="359016"/>
        </a:xfrm>
        <a:custGeom>
          <a:avLst/>
          <a:gdLst/>
          <a:ahLst/>
          <a:cxnLst/>
          <a:rect l="0" t="0" r="0" b="0"/>
          <a:pathLst>
            <a:path>
              <a:moveTo>
                <a:pt x="0" y="0"/>
              </a:moveTo>
              <a:lnTo>
                <a:pt x="0" y="244659"/>
              </a:lnTo>
              <a:lnTo>
                <a:pt x="754380" y="244659"/>
              </a:lnTo>
              <a:lnTo>
                <a:pt x="75438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5690DB-FB2B-44E0-AFFC-E267C74AE3F6}">
      <dsp:nvSpPr>
        <dsp:cNvPr id="0" name=""/>
        <dsp:cNvSpPr/>
      </dsp:nvSpPr>
      <dsp:spPr>
        <a:xfrm>
          <a:off x="2297430" y="1926983"/>
          <a:ext cx="754380" cy="359016"/>
        </a:xfrm>
        <a:custGeom>
          <a:avLst/>
          <a:gdLst/>
          <a:ahLst/>
          <a:cxnLst/>
          <a:rect l="0" t="0" r="0" b="0"/>
          <a:pathLst>
            <a:path>
              <a:moveTo>
                <a:pt x="754380" y="0"/>
              </a:moveTo>
              <a:lnTo>
                <a:pt x="75438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F0012-C93D-42F0-911E-79F353D2CC87}">
      <dsp:nvSpPr>
        <dsp:cNvPr id="0" name=""/>
        <dsp:cNvSpPr/>
      </dsp:nvSpPr>
      <dsp:spPr>
        <a:xfrm>
          <a:off x="2297430" y="784098"/>
          <a:ext cx="754380" cy="359016"/>
        </a:xfrm>
        <a:custGeom>
          <a:avLst/>
          <a:gdLst/>
          <a:ahLst/>
          <a:cxnLst/>
          <a:rect l="0" t="0" r="0" b="0"/>
          <a:pathLst>
            <a:path>
              <a:moveTo>
                <a:pt x="0" y="0"/>
              </a:moveTo>
              <a:lnTo>
                <a:pt x="0" y="244659"/>
              </a:lnTo>
              <a:lnTo>
                <a:pt x="754380" y="244659"/>
              </a:lnTo>
              <a:lnTo>
                <a:pt x="75438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B50E33-CB26-401F-A08E-661C9ED9321F}">
      <dsp:nvSpPr>
        <dsp:cNvPr id="0" name=""/>
        <dsp:cNvSpPr/>
      </dsp:nvSpPr>
      <dsp:spPr>
        <a:xfrm>
          <a:off x="1543049" y="784098"/>
          <a:ext cx="754380" cy="359016"/>
        </a:xfrm>
        <a:custGeom>
          <a:avLst/>
          <a:gdLst/>
          <a:ahLst/>
          <a:cxnLst/>
          <a:rect l="0" t="0" r="0" b="0"/>
          <a:pathLst>
            <a:path>
              <a:moveTo>
                <a:pt x="754380" y="0"/>
              </a:moveTo>
              <a:lnTo>
                <a:pt x="754380" y="244659"/>
              </a:lnTo>
              <a:lnTo>
                <a:pt x="0" y="244659"/>
              </a:lnTo>
              <a:lnTo>
                <a:pt x="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82212-EA52-48F4-9C7C-05F7332EFBEB}">
      <dsp:nvSpPr>
        <dsp:cNvPr id="0" name=""/>
        <dsp:cNvSpPr/>
      </dsp:nvSpPr>
      <dsp:spPr>
        <a:xfrm>
          <a:off x="168020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5B64A2-D2EC-4592-AE12-39E255D71891}">
      <dsp:nvSpPr>
        <dsp:cNvPr id="0" name=""/>
        <dsp:cNvSpPr/>
      </dsp:nvSpPr>
      <dsp:spPr>
        <a:xfrm>
          <a:off x="181736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uk-UA" sz="1400" kern="1200"/>
            <a:t>Географічні позначення</a:t>
          </a:r>
        </a:p>
      </dsp:txBody>
      <dsp:txXfrm>
        <a:off x="1840328" y="153489"/>
        <a:ext cx="1188522" cy="737951"/>
      </dsp:txXfrm>
    </dsp:sp>
    <dsp:sp modelId="{B5D957BB-6299-45D1-9848-4F47BE5C1546}">
      <dsp:nvSpPr>
        <dsp:cNvPr id="0" name=""/>
        <dsp:cNvSpPr/>
      </dsp:nvSpPr>
      <dsp:spPr>
        <a:xfrm>
          <a:off x="92582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89BD5A-3C81-493C-BB5B-45D4FDA7ECF9}">
      <dsp:nvSpPr>
        <dsp:cNvPr id="0" name=""/>
        <dsp:cNvSpPr/>
      </dsp:nvSpPr>
      <dsp:spPr>
        <a:xfrm>
          <a:off x="106298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uk-UA" sz="1400" kern="1200"/>
            <a:t>Прості</a:t>
          </a:r>
        </a:p>
      </dsp:txBody>
      <dsp:txXfrm>
        <a:off x="1085948" y="1296375"/>
        <a:ext cx="1188522" cy="737951"/>
      </dsp:txXfrm>
    </dsp:sp>
    <dsp:sp modelId="{6EC743F3-CBB8-49E0-85D3-E20C765D93ED}">
      <dsp:nvSpPr>
        <dsp:cNvPr id="0" name=""/>
        <dsp:cNvSpPr/>
      </dsp:nvSpPr>
      <dsp:spPr>
        <a:xfrm>
          <a:off x="243459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D25E9B-2355-4DC7-8FED-D817D3FE4A50}">
      <dsp:nvSpPr>
        <dsp:cNvPr id="0" name=""/>
        <dsp:cNvSpPr/>
      </dsp:nvSpPr>
      <dsp:spPr>
        <a:xfrm>
          <a:off x="257175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uk-UA" sz="1400" kern="1200"/>
            <a:t>Кваліфіковані</a:t>
          </a:r>
        </a:p>
      </dsp:txBody>
      <dsp:txXfrm>
        <a:off x="2594709" y="1296375"/>
        <a:ext cx="1188522" cy="737951"/>
      </dsp:txXfrm>
    </dsp:sp>
    <dsp:sp modelId="{778F199A-8D60-4C88-B998-4C37A4B65A53}">
      <dsp:nvSpPr>
        <dsp:cNvPr id="0" name=""/>
        <dsp:cNvSpPr/>
      </dsp:nvSpPr>
      <dsp:spPr>
        <a:xfrm>
          <a:off x="168020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F02C89-954F-46BF-A59E-29BE9ADAA5D3}">
      <dsp:nvSpPr>
        <dsp:cNvPr id="0" name=""/>
        <dsp:cNvSpPr/>
      </dsp:nvSpPr>
      <dsp:spPr>
        <a:xfrm>
          <a:off x="181736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uk-UA" sz="1400" kern="1200"/>
            <a:t>НМП</a:t>
          </a:r>
        </a:p>
      </dsp:txBody>
      <dsp:txXfrm>
        <a:off x="1840328" y="2439260"/>
        <a:ext cx="1188522" cy="737951"/>
      </dsp:txXfrm>
    </dsp:sp>
    <dsp:sp modelId="{4BFD6B6F-1A6A-4234-996B-312FDC36E0B9}">
      <dsp:nvSpPr>
        <dsp:cNvPr id="0" name=""/>
        <dsp:cNvSpPr/>
      </dsp:nvSpPr>
      <dsp:spPr>
        <a:xfrm>
          <a:off x="318897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F18BC-7E2F-4FBF-B068-604F12A57736}">
      <dsp:nvSpPr>
        <dsp:cNvPr id="0" name=""/>
        <dsp:cNvSpPr/>
      </dsp:nvSpPr>
      <dsp:spPr>
        <a:xfrm>
          <a:off x="332613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uk-UA" sz="1400" kern="1200"/>
            <a:t>ГЗП</a:t>
          </a:r>
        </a:p>
      </dsp:txBody>
      <dsp:txXfrm>
        <a:off x="334908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13529</Words>
  <Characters>7713</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NTUU "KPI", KV-64M</Company>
  <LinksUpToDate>false</LinksUpToDate>
  <CharactersWithSpaces>21200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Podolsky Sergey</dc:creator>
  <cp:lastModifiedBy>Podolsky Sergey</cp:lastModifiedBy>
  <cp:revision>95</cp:revision>
  <dcterms:created xsi:type="dcterms:W3CDTF">2011-02-24T13:15:00Z</dcterms:created>
  <dcterms:modified xsi:type="dcterms:W3CDTF">2011-06-01T16:27:00Z</dcterms:modified>
</cp:coreProperties>
</file>