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Computación cuántica: «Todavía no se compra un negocio, se compra una probabilidad»</w:t>
      </w:r>
    </w:p>
    <w:p>
      <w:pPr>
        <w:spacing w:after="360"/>
      </w:pPr>
      <w:r>
        <w:rPr>
          <w:i/>
          <w:iCs/>
          <w:color w:val="444444"/>
          <w:sz w:val="26"/>
          <w:szCs w:val="26"/>
        </w:rPr>
        <w:t xml:space="preserve">Las empresas cuánticas se multiplican en bolsa y Estados Unidos, China y Europa compiten por llegar primero, aunque las máquinas todavía no resuelven ningún problema útil mejor que un ordenador convencional</w:t>
      </w:r>
    </w:p>
    <w:p>
      <w:pPr>
        <w:spacing w:after="200" w:line="300"/>
      </w:pPr>
      <w:r>
        <w:t xml:space="preserve">El número de empresas de computación cuántica que cotizan en la bolsa estadounidense se ha duplicado desde enero, señala </w:t>
      </w:r>
      <w:r>
        <w:rPr>
          <w:i/>
          <w:iCs/>
        </w:rPr>
        <w:t xml:space="preserve">Wired</w:t>
      </w:r>
      <w:r>
        <w:t xml:space="preserve">. La última en debutar, Quantinuum, perdió casi 200 millones de dólares el año pasado, y aun así los inversores siguen llegando. En este sector «todavía no se compra un negocio, se compra una probabilidad», resume Olivier Roussy Newton, consejero delegado de BTQ Technologies.</w:t>
      </w:r>
    </w:p>
    <w:p>
      <w:pPr>
        <w:spacing w:after="200" w:line="300"/>
      </w:pPr>
      <w:r>
        <w:t xml:space="preserve">Esa probabilidad es doble. Los ordenadores cuánticos podrían conducir «al descubrimiento de nuevos medicamentos y vacunas, así como al descifrado de las técnicas de encriptación que protegen los secretos del mundo», escribía </w:t>
      </w:r>
      <w:r>
        <w:rPr>
          <w:i/>
          <w:iCs/>
        </w:rPr>
        <w:t xml:space="preserve">The New York Times</w:t>
      </w:r>
      <w:r>
        <w:t xml:space="preserve">. Por eso Washington, Bruselas y Pekín han convertido la tecnología en su próximo terreno de competición. Pero las máquinas actuales todavía no hacen nada que no pueda hacer un ordenador convencional, y los propios científicos discuten cuánto de lo que se anuncia es ciencia y cuánto, marketing.</w:t>
      </w:r>
    </w:p>
    <w:p>
      <w:pPr>
        <w:pStyle w:val="Heading1"/>
      </w:pPr>
      <w:r>
        <w:t xml:space="preserve">«Una moneda que gira en el aire»</w:t>
      </w:r>
    </w:p>
    <w:p>
      <w:pPr>
        <w:spacing w:after="200" w:line="300"/>
      </w:pPr>
      <w:r>
        <w:t xml:space="preserve">Un ordenador o un teléfono funcionan con bits, que valen uno o cero. El cúbit, la unidad de un ordenador cuántico, puede ser uno, cero «y cualquier combinación de ambos estados a la vez», explica </w:t>
      </w:r>
      <w:r>
        <w:rPr>
          <w:i/>
          <w:iCs/>
        </w:rPr>
        <w:t xml:space="preserve">The European Correspondent</w:t>
      </w:r>
      <w:r>
        <w:t xml:space="preserve">. </w:t>
      </w:r>
      <w:r>
        <w:rPr>
          <w:i/>
          <w:iCs/>
        </w:rPr>
        <w:t xml:space="preserve">The Verge</w:t>
      </w:r>
      <w:r>
        <w:t xml:space="preserve"> propone una imagen: una moneda que gira en el aire y que, antes de caer, es a la vez cara y cruz. Por eso puede explorar muchas soluciones en paralelo, donde un ordenador clásico las prueba una tras otra. Los ordenadores cuánticos «no son solo más rápidos: piensan de otra manera».</w:t>
      </w:r>
    </w:p>
    <w:p>
      <w:pPr>
        <w:spacing w:after="200" w:line="300"/>
      </w:pPr>
      <w:r>
        <w:t xml:space="preserve">Está más claro para qué no sirven. No sustituirán al ordenador que llevamos en el bolsillo, insisten en el pódcast de Itnig Marta Estarellas y Víctor Canivell, directivos de la empresa barcelonesa Qilimanjaro. Serán aceleradores para un catálogo muy reducido de problemas, y el primero será simular moléculas y materiales: baterías más potentes, nuevos materiales para la industria química y fármacos diseñados sin ensayo y error.</w:t>
      </w:r>
    </w:p>
    <w:p>
      <w:pPr>
        <w:pStyle w:val="Heading1"/>
      </w:pPr>
      <w:r>
        <w:t xml:space="preserve">«Sobre todo relaciones públicas»</w:t>
      </w:r>
    </w:p>
    <w:p>
      <w:pPr>
        <w:spacing w:after="200" w:line="300"/>
      </w:pPr>
      <w:r>
        <w:t xml:space="preserve">Antes de cumplir esas promesas, la tecnología tiene que superar dos obstáculos. El primero es físico: los cúbits son extremadamente frágiles. Cualquier vibración o el mínimo calor les hace perder su estado cuántico, por lo que las máquinas se enfrían hasta casi el cero absoluto. Aun así, los cúbits conservan la información apenas millonésimas de segundo, explican Estarellas y Canivell.</w:t>
      </w:r>
    </w:p>
    <w:p>
      <w:pPr>
        <w:spacing w:after="200" w:line="300"/>
      </w:pPr>
      <w:r>
        <w:t xml:space="preserve">El segundo obstáculo deriva del primero: con piezas tan inestables, los errores se acumulan, y los problemas que interesan exigen precisamente cálculos largos, señala </w:t>
      </w:r>
      <w:r>
        <w:rPr>
          <w:i/>
          <w:iCs/>
        </w:rPr>
        <w:t xml:space="preserve">The Verge</w:t>
      </w:r>
      <w:r>
        <w:t xml:space="preserve">. Para compensarlo hay que agrupar muchos cúbits en uno solo más fiable, de modo que una máquina con cientos de cúbits dispone en realidad de muy pocos útiles. Por eso las que presumen de 200 son «sobre todo relaciones públicas», dice a </w:t>
      </w:r>
      <w:r>
        <w:rPr>
          <w:i/>
          <w:iCs/>
        </w:rPr>
        <w:t xml:space="preserve">The European Correspondent</w:t>
      </w:r>
      <w:r>
        <w:t xml:space="preserve"> Markus Holmgren, investigador del Instituto Finlandés de Asuntos Internacionales: «Añadir cúbits no aporta ningún beneficio porque los ordenadores cuánticos siguen siendo demasiado propensos a errores».</w:t>
      </w:r>
    </w:p>
    <w:p>
      <w:pPr>
        <w:pStyle w:val="Heading1"/>
      </w:pPr>
      <w:r>
        <w:t xml:space="preserve">«Donde estaba la IA hace cinco años»</w:t>
      </w:r>
    </w:p>
    <w:p>
      <w:pPr>
        <w:spacing w:after="200" w:line="300"/>
      </w:pPr>
      <w:r>
        <w:t xml:space="preserve">Las dudas de los científicos no frenan a los inversores. Google, IBM y Microsoft sitúan hacia 2030 el momento en que sus máquinas superarán a las convencionales. Para Sundar Pichai, director ejecutivo de Google, la tecnología está «donde estaba la IA hace quizás cinco años», recoge el </w:t>
      </w:r>
      <w:r>
        <w:rPr>
          <w:i/>
          <w:iCs/>
        </w:rPr>
        <w:t xml:space="preserve">Financial Times</w:t>
      </w:r>
      <w:r>
        <w:t xml:space="preserve">. Es decir, a las puertas de un salto que nadie sabe todavía si llegará.</w:t>
      </w:r>
    </w:p>
    <w:p>
      <w:pPr>
        <w:pStyle w:val="Heading1"/>
      </w:pPr>
      <w:r>
        <w:t xml:space="preserve">¿Cuándo llegará el «Día Q»?</w:t>
      </w:r>
    </w:p>
    <w:p>
      <w:pPr>
        <w:spacing w:after="200" w:line="300"/>
      </w:pPr>
      <w:r>
        <w:t xml:space="preserve">La aplicación que más preocupa a los Gobiernos es la que todavía no existe. El cifrado que protege hoy la banca y los secretos de Estado se basa en una operación matemática que un ordenador actual tardaría siglos en resolver; uno cuántico suficientemente potente la resolvería en poco tiempo, explica el </w:t>
      </w:r>
      <w:r>
        <w:rPr>
          <w:i/>
          <w:iCs/>
        </w:rPr>
        <w:t xml:space="preserve">Financial Times</w:t>
      </w:r>
      <w:r>
        <w:t xml:space="preserve">. Al día en que eso ocurra se le llama ya «Día Q», y nadie sabe cuándo llegará. Google habla de 2029. Adi Shamir, uno de los inventores del cifrado más usado en internet, calcula que faltan 30 años, según </w:t>
      </w:r>
      <w:r>
        <w:rPr>
          <w:i/>
          <w:iCs/>
        </w:rPr>
        <w:t xml:space="preserve">The European Correspondent</w:t>
      </w:r>
      <w:r>
        <w:t xml:space="preserve">.</w:t>
      </w:r>
    </w:p>
    <w:p>
      <w:pPr>
        <w:spacing w:after="200" w:line="300"/>
      </w:pPr>
      <w:r>
        <w:t xml:space="preserve">El riesgo, sin embargo, ya es presente. Quien robe hoy datos cifrados puede guardarlos y leerlos cuando exista la máquina, una táctica conocida como «almacenar ahora, descifrar después», escribe el informático Panos Louridas en </w:t>
      </w:r>
      <w:r>
        <w:rPr>
          <w:i/>
          <w:iCs/>
        </w:rPr>
        <w:t xml:space="preserve">The MIT Press Reader</w:t>
      </w:r>
      <w:r>
        <w:t xml:space="preserve">. Por eso ya se están adoptando sistemas de cifrado resistentes a los ordenadores cuánticos: Estados Unidos aprobó los primeros en 2024, apunta el </w:t>
      </w:r>
      <w:r>
        <w:rPr>
          <w:i/>
          <w:iCs/>
        </w:rPr>
        <w:t xml:space="preserve">Financial Times</w:t>
      </w:r>
      <w:r>
        <w:t xml:space="preserve">.</w:t>
      </w:r>
    </w:p>
    <w:p>
      <w:pPr>
        <w:pStyle w:val="Heading1"/>
      </w:pPr>
      <w:r>
        <w:t xml:space="preserve">«La carrera cuántica»</w:t>
      </w:r>
    </w:p>
    <w:p>
      <w:pPr>
        <w:spacing w:after="200" w:line="300"/>
      </w:pPr>
      <w:r>
        <w:t xml:space="preserve">Lo que está en juego explica que la competición se libre ya entre Estados. La pregunta es «quién desarrolla primero un ordenador cuántico comercial: China, Estados Unidos o Europa», plantea </w:t>
      </w:r>
      <w:r>
        <w:rPr>
          <w:i/>
          <w:iCs/>
        </w:rPr>
        <w:t xml:space="preserve">The European Correspondent</w:t>
      </w:r>
      <w:r>
        <w:t xml:space="preserve">, que recuerda que en diciembre de 2024 China presentó su procesador una semana después de que Google mostrara el suyo. Pekín encabeza con ventaja la inversión y comparte con Washington el liderazgo en patentes [FUENTE?].</w:t>
      </w:r>
    </w:p>
    <w:p>
      <w:pPr>
        <w:spacing w:after="200" w:line="300"/>
      </w:pPr>
      <w:r>
        <w:t xml:space="preserve">Estados Unidos ha respondido con dinero público: 2.000 millones de dólares para nueve empresas, una orden ejecutiva para acelerar la industria y el compromiso del Departamento de Energía de tener en 2028 el primer ordenador cuántico capaz de corregir sus propios errores, algo que ninguna máquina ha logrado todavía, recoge </w:t>
      </w:r>
      <w:r>
        <w:rPr>
          <w:i/>
          <w:iCs/>
        </w:rPr>
        <w:t xml:space="preserve">IEEE Spectrum</w:t>
      </w:r>
      <w:r>
        <w:t xml:space="preserve">. El escepticismo, también allí, es considerable: Jay Sau, físico de la Universidad de Maryland, no imagina «ninguna pregunta en la que un ordenador cuántico pueda ayudar» ese año.</w:t>
      </w:r>
    </w:p>
    <w:p>
      <w:pPr>
        <w:spacing w:after="200" w:line="300"/>
      </w:pPr>
      <w:r>
        <w:t xml:space="preserve">Europa aspira a ser «líder mundial en 2030», según su estrategia cuántica, pero la ley que debía desarrollarla podría retrasarse hasta 2027, informa </w:t>
      </w:r>
      <w:r>
        <w:rPr>
          <w:i/>
          <w:iCs/>
        </w:rPr>
        <w:t xml:space="preserve">MLex</w:t>
      </w:r>
      <w:r>
        <w:t xml:space="preserve">. Acoge el 32 % de las empresas cuánticas del mundo, más que Estados Unidos o China, y Finlandia construyó el primer ordenador europeo de 50 cúbits con 20,7 millones de euros públicos, destaca </w:t>
      </w:r>
      <w:r>
        <w:rPr>
          <w:i/>
          <w:iCs/>
        </w:rPr>
        <w:t xml:space="preserve">The European Correspondent</w:t>
      </w:r>
      <w:r>
        <w:t xml:space="preserve">. La financiación, sin embargo, sigue siendo escasa y fragmentada [FUENTE?].</w:t>
      </w:r>
    </w:p>
    <w:p>
      <w:pPr>
        <w:spacing w:after="200" w:line="300"/>
      </w:pPr>
      <w:r>
        <w:t xml:space="preserve">Que la tecnología esté tan verde tiene una ventaja: ni siquiera se sabe qué forma de fabricar cúbits acabará funcionando a gran escala. Por eso Holmgren ve el vaso medio lleno para Europa. Su incapacidad para concentrar recursos «todavía no es un problema en este sector, porque las economías de escala no son un factor clave. La competición sigue completamente abierta».</w:t>
      </w:r>
    </w:p>
    <w:p>
      <w:r>
        <w:br w:type="page"/>
      </w:r>
    </w:p>
    <w:p>
      <w:pPr>
        <w:pStyle w:val="Heading1"/>
      </w:pPr>
      <w:r>
        <w:t xml:space="preserve">Nota di modifiche</w:t>
      </w:r>
    </w:p>
    <w:p>
      <w:pPr>
        <w:pStyle w:val="ListParagraph"/>
        <w:numPr>
          <w:ilvl w:val="0"/>
          <w:numId w:val="2"/>
        </w:numPr>
        <w:spacing w:after="120"/>
      </w:pPr>
      <w:r>
        <w:rPr>
          <w:b/>
          <w:bCs/>
        </w:rPr>
        <w:t xml:space="preserve">Titolo e attacco (versione 2).</w:t>
      </w:r>
      <w:r>
        <w:t xml:space="preserve"> Il gancio non è più il Nobel 2025 ma la bolla in borsa (</w:t>
      </w:r>
      <w:r>
        <w:rPr>
          <w:i/>
          <w:iCs/>
        </w:rPr>
        <w:t xml:space="preserve">Wired</w:t>
      </w:r>
      <w:r>
        <w:t xml:space="preserve"> + Roussy Newton), con la citazione «se compra una probabilidad» nel titolo. La citazione del </w:t>
      </w:r>
      <w:r>
        <w:rPr>
          <w:i/>
          <w:iCs/>
        </w:rPr>
        <w:t xml:space="preserve">NYT</w:t>
      </w:r>
      <w:r>
        <w:t xml:space="preserve"> resta nel secondo paragrafo, senza il Nobel. La sezione sugli investimenti ora si intitola «Donde estaba la IA hace cinco años» per non ripetere la citazione.</w:t>
      </w:r>
    </w:p>
    <w:p>
      <w:pPr>
        <w:pStyle w:val="ListParagraph"/>
        <w:numPr>
          <w:ilvl w:val="0"/>
          <w:numId w:val="2"/>
        </w:numPr>
        <w:spacing w:after="120"/>
      </w:pPr>
      <w:r>
        <w:rPr>
          <w:b/>
          <w:bCs/>
        </w:rPr>
        <w:t xml:space="preserve">Titolo (versione 1).</w:t>
      </w:r>
      <w:r>
        <w:t xml:space="preserve"> «Una moneda que gira en el aire» è una bella immagine ma non dice la tesi. Il nuovo titolo mette in primo piano il contrasto che regge tutto il pezzo: tanti soldi e una corsa geopolitica attorno a una macchina che ancora non serve. La moneta resta come intertitolo della parte tecnica, dove è più efficace. </w:t>
      </w:r>
      <w:r>
        <w:rPr>
          <w:i/>
          <w:iCs/>
        </w:rPr>
        <w:t xml:space="preserve">Alternativa più prudente:</w:t>
      </w:r>
      <w:r>
        <w:t xml:space="preserve"> «Computación cuántica: la carrera por una máquina que todavía es una promesa».</w:t>
      </w:r>
    </w:p>
    <w:p>
      <w:pPr>
        <w:pStyle w:val="ListParagraph"/>
        <w:numPr>
          <w:ilvl w:val="0"/>
          <w:numId w:val="2"/>
        </w:numPr>
        <w:spacing w:after="120"/>
      </w:pPr>
      <w:r>
        <w:rPr>
          <w:b/>
          <w:bCs/>
        </w:rPr>
        <w:t xml:space="preserve">Sottotitolo.</w:t>
      </w:r>
      <w:r>
        <w:t xml:space="preserve"> Ora contiene i due poli del pezzo, la promessa (farmaci) e la minaccia (crittografia), e il «mentre» con lo scetticismo.</w:t>
      </w:r>
    </w:p>
    <w:p>
      <w:pPr>
        <w:pStyle w:val="ListParagraph"/>
        <w:numPr>
          <w:ilvl w:val="0"/>
          <w:numId w:val="2"/>
        </w:numPr>
        <w:spacing w:after="120"/>
      </w:pPr>
      <w:r>
        <w:rPr>
          <w:b/>
          <w:bCs/>
        </w:rPr>
        <w:t xml:space="preserve">Attacco.</w:t>
      </w:r>
      <w:r>
        <w:t xml:space="preserve"> Il Nobel resta come aggancio, ma il secondo paragrafo esplicita l'angolo: soldi e corsa tra potenze contro una tecnologia che non fa ancora nulla di utile. Prima l'angolo era solo implicito.</w:t>
      </w:r>
    </w:p>
    <w:p>
      <w:pPr>
        <w:pStyle w:val="ListParagraph"/>
        <w:numPr>
          <w:ilvl w:val="0"/>
          <w:numId w:val="2"/>
        </w:numPr>
        <w:spacing w:after="120"/>
      </w:pPr>
      <w:r>
        <w:rPr>
          <w:b/>
          <w:bCs/>
        </w:rPr>
        <w:t xml:space="preserve">Ordine dal tecnico al politico.</w:t>
      </w:r>
      <w:r>
        <w:t xml:space="preserve"> Gli ostacoli tecnici ora vengono </w:t>
      </w:r>
      <w:r>
        <w:rPr>
          <w:b/>
          <w:bCs/>
        </w:rPr>
        <w:t xml:space="preserve">prima</w:t>
      </w:r>
      <w:r>
        <w:t xml:space="preserve"> degli investimenti. Prima l'intertitolo «Sobre todo relaciones públicas» stava sopra il paragrafo su Pichai e Wall Street, mentre la citazione era in fondo alla parte sugli ostacoli. La sequenza è ora: cos'è → a cosa serve → cosa la frena → chi ci scommette → cosa rischiano gli Stati (Día Q) → la corsa.</w:t>
      </w:r>
    </w:p>
    <w:p>
      <w:pPr>
        <w:pStyle w:val="ListParagraph"/>
        <w:numPr>
          <w:ilvl w:val="0"/>
          <w:numId w:val="2"/>
        </w:numPr>
        <w:spacing w:after="120"/>
      </w:pPr>
      <w:r>
        <w:rPr>
          <w:b/>
          <w:bCs/>
        </w:rPr>
        <w:t xml:space="preserve">Ripetizione eliminata.</w:t>
      </w:r>
      <w:r>
        <w:t xml:space="preserve"> Estarellas e Canivell (Qilimanjaro, pódcast di Itnig) erano presentati due volte per intero. Ora la seconda volta compaiono solo i cognomi.</w:t>
      </w:r>
    </w:p>
    <w:p>
      <w:pPr>
        <w:pStyle w:val="ListParagraph"/>
        <w:numPr>
          <w:ilvl w:val="0"/>
          <w:numId w:val="2"/>
        </w:numPr>
        <w:spacing w:after="120"/>
      </w:pPr>
      <w:r>
        <w:rPr>
          <w:b/>
          <w:bCs/>
        </w:rPr>
        <w:t xml:space="preserve">Meno tecnicismi.</w:t>
      </w:r>
      <w:r>
        <w:t xml:space="preserve"> Ho tolto i «cúbits lógicos/físicos», i «catalizadores» e il «tolerante a fallos y científicamente relevante», sostituito da «capaz de corregir sus propios errores», che il testo stesso già spiegava. Ho unito le due frasi sulla correzione degli errori.</w:t>
      </w:r>
    </w:p>
    <w:p>
      <w:pPr>
        <w:pStyle w:val="ListParagraph"/>
        <w:numPr>
          <w:ilvl w:val="0"/>
          <w:numId w:val="2"/>
        </w:numPr>
        <w:spacing w:after="120"/>
      </w:pPr>
      <w:r>
        <w:rPr>
          <w:b/>
          <w:bCs/>
        </w:rPr>
        <w:t xml:space="preserve">Transizioni.</w:t>
      </w:r>
      <w:r>
        <w:t xml:space="preserve"> Ho aggiunto un raccordo all'inizio di ogni sezione: «Las dudas de los científicos no frenan a los inversores», «La aplicación que más preocupa a los Gobiernos», «Lo que está en juego explica…». Così il passaggio dalla tecnica alla politica è esplicito.</w:t>
      </w:r>
    </w:p>
    <w:p>
      <w:pPr>
        <w:pStyle w:val="ListParagraph"/>
        <w:numPr>
          <w:ilvl w:val="0"/>
          <w:numId w:val="2"/>
        </w:numPr>
        <w:spacing w:after="120"/>
      </w:pPr>
      <w:r>
        <w:rPr>
          <w:b/>
          <w:bCs/>
        </w:rPr>
        <w:t xml:space="preserve">Jay Sau.</w:t>
      </w:r>
      <w:r>
        <w:t xml:space="preserve"> La citazione era isolata. Ora è introdotta come scetticismo negli Stati Uniti, e si capisce perché è lì.</w:t>
      </w:r>
    </w:p>
    <w:p>
      <w:pPr>
        <w:pStyle w:val="ListParagraph"/>
        <w:numPr>
          <w:ilvl w:val="0"/>
          <w:numId w:val="2"/>
        </w:numPr>
        <w:spacing w:after="120"/>
      </w:pPr>
      <w:r>
        <w:rPr>
          <w:b/>
          <w:bCs/>
        </w:rPr>
        <w:t xml:space="preserve">Refusi.</w:t>
      </w:r>
      <w:r>
        <w:t xml:space="preserve"> Ho corretto «empresasdel» e lo spazio in «Día Q» ?. Ho uniformato «pódcast», messo le testate in corsivo e scritto «consejero delegado» al posto di «CEO».</w:t>
      </w:r>
    </w:p>
    <w:p>
      <w:pPr>
        <w:pStyle w:val="ListParagraph"/>
        <w:numPr>
          <w:ilvl w:val="0"/>
          <w:numId w:val="2"/>
        </w:numPr>
        <w:spacing w:after="120"/>
      </w:pPr>
      <w:r>
        <w:rPr>
          <w:b/>
          <w:bCs/>
        </w:rPr>
        <w:t xml:space="preserve">Da verificare (`[FUENTE?]`):</w:t>
      </w:r>
    </w:p>
    <w:p>
      <w:pPr>
        <w:pStyle w:val="ListParagraph"/>
        <w:numPr>
          <w:ilvl w:val="1"/>
          <w:numId w:val="3"/>
        </w:numPr>
        <w:spacing w:after="80"/>
      </w:pPr>
      <w:r>
        <w:t xml:space="preserve">«Pekín encabeza con ventaja la inversión y comparte con Washington el liderazgo en patentes» non ha attribuzione. Se viene da </w:t>
      </w:r>
      <w:r>
        <w:rPr>
          <w:i/>
          <w:iCs/>
        </w:rPr>
        <w:t xml:space="preserve">The European Correspondent</w:t>
      </w:r>
      <w:r>
        <w:t xml:space="preserve">, basta aggiungere «según el mismo medio».</w:t>
      </w:r>
    </w:p>
    <w:p>
      <w:pPr>
        <w:pStyle w:val="ListParagraph"/>
        <w:numPr>
          <w:ilvl w:val="1"/>
          <w:numId w:val="3"/>
        </w:numPr>
        <w:spacing w:after="80"/>
      </w:pPr>
      <w:r>
        <w:t xml:space="preserve">«La financiación… sigue siendo escasa y fragmentada» non ha attribuzione.</w:t>
      </w:r>
    </w:p>
    <w:p>
      <w:pPr>
        <w:pStyle w:val="ListParagraph"/>
        <w:numPr>
          <w:ilvl w:val="1"/>
          <w:numId w:val="3"/>
        </w:numPr>
        <w:spacing w:after="80"/>
      </w:pPr>
      <w:r>
        <w:t xml:space="preserve">«Desde enero» (</w:t>
      </w:r>
      <w:r>
        <w:rPr>
          <w:i/>
          <w:iCs/>
        </w:rPr>
        <w:t xml:space="preserve">Wired</w:t>
      </w:r>
      <w:r>
        <w:t xml:space="preserve">): verificare la data dell'articolo di </w:t>
      </w:r>
      <w:r>
        <w:rPr>
          <w:i/>
          <w:iCs/>
        </w:rPr>
        <w:t xml:space="preserve">Wired</w:t>
      </w:r>
      <w:r>
        <w:t xml:space="preserve">, perché ora è l'attacco del pezzo.</w:t>
      </w:r>
    </w:p>
    <w:p>
      <w:pPr>
        <w:pStyle w:val="ListParagraph"/>
        <w:numPr>
          <w:ilvl w:val="1"/>
          <w:numId w:val="3"/>
        </w:numPr>
        <w:spacing w:after="80"/>
      </w:pPr>
      <w:r>
        <w:t xml:space="preserve">«Es decir, a las puertas de un salto que nadie sabe todavía si llegará» è una frase di raccordo nostra, non della fonte: toglierla se sembra un'opinione.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Georgia" w:cs="Georgia" w:eastAsia="Georgia" w:hAnsi="Georgia"/>
      <w:b/>
      <w:bCs/>
      <w:sz w:val="40"/>
      <w:szCs w:val="40"/>
    </w:rPr>
  </w:style>
  <w:style w:type="paragraph" w:styleId="Heading1">
    <w:name w:val="Heading 1"/>
    <w:basedOn w:val="Normal"/>
    <w:next w:val="Normal"/>
    <w:qFormat/>
    <w:pPr>
      <w:spacing w:after="140" w:before="320"/>
      <w:outlineLvl w:val="0"/>
    </w:pPr>
    <w:rPr>
      <w:rFonts w:ascii="Georgia" w:cs="Georgia" w:eastAsia="Georgia" w:hAnsi="Georgia"/>
      <w:b/>
      <w:bCs/>
      <w:color w:val="9B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2026-10-14T09:44:27.493Z</dcterms:created>
  <dcterms:modified xsi:type="dcterms:W3CDTF">2026-10-14T09:44:27.494Z</dcterms:modified>
</cp:coreProperties>
</file>

<file path=docProps/custom.xml><?xml version="1.0" encoding="utf-8"?>
<Properties xmlns="http://schemas.openxmlformats.org/officeDocument/2006/custom-properties" xmlns:vt="http://schemas.openxmlformats.org/officeDocument/2006/docPropsVTypes"/>
</file>