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2C6" w:rsidRPr="00B261FE" w:rsidRDefault="00753974">
      <w:pPr>
        <w:rPr>
          <w:b/>
        </w:rPr>
      </w:pPr>
      <w:proofErr w:type="spellStart"/>
      <w:r w:rsidRPr="00B261FE">
        <w:rPr>
          <w:b/>
        </w:rPr>
        <w:t>Total_population</w:t>
      </w:r>
      <w:proofErr w:type="spellEnd"/>
      <w:r w:rsidRPr="00B261FE">
        <w:rPr>
          <w:b/>
        </w:rPr>
        <w:t xml:space="preserve"> : </w:t>
      </w:r>
    </w:p>
    <w:p w:rsidR="00753974" w:rsidRDefault="00753974"/>
    <w:p w:rsidR="00753974" w:rsidRPr="00753974" w:rsidRDefault="00753974">
      <w:pPr>
        <w:rPr>
          <w:b/>
          <w:i/>
          <w:color w:val="FF0000"/>
          <w:u w:val="single"/>
        </w:rPr>
      </w:pPr>
      <w:r w:rsidRPr="00753974">
        <w:rPr>
          <w:b/>
          <w:i/>
          <w:color w:val="FF0000"/>
          <w:u w:val="single"/>
        </w:rPr>
        <w:t>Figure 1 : Statistiques descriptives de la variable « </w:t>
      </w:r>
      <w:proofErr w:type="spellStart"/>
      <w:proofErr w:type="gramStart"/>
      <w:r w:rsidRPr="00753974">
        <w:rPr>
          <w:b/>
          <w:i/>
          <w:color w:val="FF0000"/>
          <w:u w:val="single"/>
        </w:rPr>
        <w:t>Estimate</w:t>
      </w:r>
      <w:proofErr w:type="spellEnd"/>
      <w:r w:rsidRPr="00753974">
        <w:rPr>
          <w:b/>
          <w:i/>
          <w:color w:val="FF0000"/>
          <w:u w:val="single"/>
        </w:rPr>
        <w:t>;</w:t>
      </w:r>
      <w:proofErr w:type="gramEnd"/>
      <w:r w:rsidRPr="00753974">
        <w:rPr>
          <w:b/>
          <w:i/>
          <w:color w:val="FF0000"/>
          <w:u w:val="single"/>
        </w:rPr>
        <w:t xml:space="preserve"> Total »</w:t>
      </w:r>
    </w:p>
    <w:tbl>
      <w:tblPr>
        <w:tblStyle w:val="Grilledutableau"/>
        <w:tblW w:w="0" w:type="auto"/>
        <w:tblLook w:val="04A0" w:firstRow="1" w:lastRow="0" w:firstColumn="1" w:lastColumn="0" w:noHBand="0" w:noVBand="1"/>
      </w:tblPr>
      <w:tblGrid>
        <w:gridCol w:w="2265"/>
        <w:gridCol w:w="2265"/>
        <w:gridCol w:w="2266"/>
        <w:gridCol w:w="2266"/>
      </w:tblGrid>
      <w:tr w:rsidR="00753974" w:rsidTr="00753974">
        <w:tc>
          <w:tcPr>
            <w:tcW w:w="2265" w:type="dxa"/>
          </w:tcPr>
          <w:p w:rsidR="00753974" w:rsidRDefault="00753974" w:rsidP="00753974">
            <w:pPr>
              <w:jc w:val="center"/>
            </w:pPr>
            <w:r>
              <w:t>Moyenne</w:t>
            </w:r>
          </w:p>
        </w:tc>
        <w:tc>
          <w:tcPr>
            <w:tcW w:w="2265" w:type="dxa"/>
          </w:tcPr>
          <w:p w:rsidR="00753974" w:rsidRDefault="00753974" w:rsidP="00753974">
            <w:pPr>
              <w:jc w:val="center"/>
            </w:pPr>
            <w:r>
              <w:t>Q1</w:t>
            </w:r>
          </w:p>
        </w:tc>
        <w:tc>
          <w:tcPr>
            <w:tcW w:w="2266" w:type="dxa"/>
          </w:tcPr>
          <w:p w:rsidR="00753974" w:rsidRDefault="00753974" w:rsidP="00753974">
            <w:pPr>
              <w:jc w:val="center"/>
            </w:pPr>
            <w:r>
              <w:t>Médiane</w:t>
            </w:r>
          </w:p>
        </w:tc>
        <w:tc>
          <w:tcPr>
            <w:tcW w:w="2266" w:type="dxa"/>
          </w:tcPr>
          <w:p w:rsidR="00753974" w:rsidRDefault="00753974" w:rsidP="00753974">
            <w:pPr>
              <w:jc w:val="center"/>
            </w:pPr>
            <w:r>
              <w:t>Q3</w:t>
            </w:r>
          </w:p>
        </w:tc>
      </w:tr>
      <w:tr w:rsidR="00753974" w:rsidTr="00753974">
        <w:tc>
          <w:tcPr>
            <w:tcW w:w="2265" w:type="dxa"/>
          </w:tcPr>
          <w:p w:rsidR="00753974" w:rsidRDefault="00753974" w:rsidP="00753974">
            <w:pPr>
              <w:jc w:val="center"/>
            </w:pPr>
            <w:r w:rsidRPr="00753974">
              <w:t>3399.</w:t>
            </w:r>
            <w:r>
              <w:t>2</w:t>
            </w:r>
          </w:p>
        </w:tc>
        <w:tc>
          <w:tcPr>
            <w:tcW w:w="2265" w:type="dxa"/>
          </w:tcPr>
          <w:p w:rsidR="00753974" w:rsidRDefault="00753974" w:rsidP="00753974">
            <w:pPr>
              <w:jc w:val="center"/>
            </w:pPr>
            <w:r>
              <w:t>1186</w:t>
            </w:r>
          </w:p>
        </w:tc>
        <w:tc>
          <w:tcPr>
            <w:tcW w:w="2266" w:type="dxa"/>
          </w:tcPr>
          <w:p w:rsidR="00753974" w:rsidRDefault="00753974" w:rsidP="00753974">
            <w:pPr>
              <w:jc w:val="center"/>
            </w:pPr>
            <w:r>
              <w:t>2456</w:t>
            </w:r>
          </w:p>
        </w:tc>
        <w:tc>
          <w:tcPr>
            <w:tcW w:w="2266" w:type="dxa"/>
          </w:tcPr>
          <w:p w:rsidR="00753974" w:rsidRDefault="00753974" w:rsidP="00753974">
            <w:pPr>
              <w:jc w:val="center"/>
            </w:pPr>
            <w:r>
              <w:t>4420</w:t>
            </w:r>
          </w:p>
        </w:tc>
      </w:tr>
    </w:tbl>
    <w:p w:rsidR="00753974" w:rsidRDefault="00753974"/>
    <w:p w:rsidR="00B261FE" w:rsidRDefault="00B261FE" w:rsidP="00B261FE">
      <w:r>
        <w:t>Ce fichier Excel contient plusieurs variables qui permettent d'analyser des données relatives à différents quartiers ou zones. Les principales colonnes sont les suivantes :</w:t>
      </w:r>
    </w:p>
    <w:p w:rsidR="00B261FE" w:rsidRDefault="00B261FE" w:rsidP="00B261FE"/>
    <w:p w:rsidR="00B261FE" w:rsidRDefault="00B261FE" w:rsidP="00B261FE">
      <w:r>
        <w:t xml:space="preserve">- </w:t>
      </w:r>
      <w:proofErr w:type="spellStart"/>
      <w:r>
        <w:t>Neighborhood</w:t>
      </w:r>
      <w:proofErr w:type="spellEnd"/>
      <w:r>
        <w:t xml:space="preserve"> : Cette variable correspond au nom du quartier ou de la zone étudiée.</w:t>
      </w:r>
    </w:p>
    <w:p w:rsidR="00B261FE" w:rsidRDefault="00B261FE" w:rsidP="00B261FE">
      <w:r>
        <w:t>- Id : Il s'agit d'un identifiant unique pour chaque entrée, permettant de distinguer les différentes observations.</w:t>
      </w:r>
    </w:p>
    <w:p w:rsidR="00B261FE" w:rsidRDefault="00B261FE" w:rsidP="00B261FE">
      <w:r>
        <w:t xml:space="preserve">- </w:t>
      </w:r>
      <w:proofErr w:type="gramStart"/>
      <w:r>
        <w:t>E</w:t>
      </w:r>
      <w:proofErr w:type="spellStart"/>
      <w:r>
        <w:t>stimate;</w:t>
      </w:r>
      <w:proofErr w:type="spellEnd"/>
      <w:proofErr w:type="gramEnd"/>
      <w:r>
        <w:t xml:space="preserve"> Total : Il s'agit d'une estimation totale, probablement relative à une caractéristique comme la population ou un autre indicateur quantifiable.</w:t>
      </w:r>
    </w:p>
    <w:p w:rsidR="00B261FE" w:rsidRDefault="00B261FE" w:rsidP="00B261FE">
      <w:r>
        <w:t xml:space="preserve">- </w:t>
      </w:r>
      <w:proofErr w:type="spellStart"/>
      <w:r>
        <w:t>Margin</w:t>
      </w:r>
      <w:proofErr w:type="spellEnd"/>
      <w:r>
        <w:t xml:space="preserve"> of </w:t>
      </w:r>
      <w:proofErr w:type="spellStart"/>
      <w:proofErr w:type="gramStart"/>
      <w:r>
        <w:t>Error</w:t>
      </w:r>
      <w:proofErr w:type="spellEnd"/>
      <w:r>
        <w:t>;</w:t>
      </w:r>
      <w:proofErr w:type="gramEnd"/>
      <w:r>
        <w:t xml:space="preserve"> Total : Cette colonne indique la marge d'erreur associée à l'estimation totale, permettant de comprendre la précision de la donnée.</w:t>
      </w:r>
    </w:p>
    <w:p w:rsidR="00B261FE" w:rsidRDefault="00B261FE" w:rsidP="00B261FE">
      <w:r>
        <w:t>Parmi ces variables, "</w:t>
      </w:r>
      <w:proofErr w:type="spellStart"/>
      <w:proofErr w:type="gramStart"/>
      <w:r>
        <w:t>Estimate</w:t>
      </w:r>
      <w:proofErr w:type="spellEnd"/>
      <w:r>
        <w:t>;</w:t>
      </w:r>
      <w:proofErr w:type="gramEnd"/>
      <w:r>
        <w:t xml:space="preserve"> Total" est la plus pertinente pour expliquer la base de données car elle fournit la donnée principale (estimation totale) sur laquelle les analyses seront basées. C’est cette estimation qui permet de faire des comparaisons ou de tirer des conclusions concernant les différents quartiers ou zones, tandis que la marge d'erreur sert simplement à évaluer la fiabilité de cette estimation. Le </w:t>
      </w:r>
      <w:proofErr w:type="spellStart"/>
      <w:r>
        <w:t>Neighborhood</w:t>
      </w:r>
      <w:proofErr w:type="spellEnd"/>
      <w:r>
        <w:t xml:space="preserve"> permet de localiser les données mais n'est pas directement utilisé pour l'analyse statistique des valeurs, tandis que </w:t>
      </w:r>
      <w:proofErr w:type="spellStart"/>
      <w:r>
        <w:t>l'Id</w:t>
      </w:r>
      <w:proofErr w:type="spellEnd"/>
      <w:r>
        <w:t xml:space="preserve"> est un identifiant unique sans influence sur les tendances des données.</w:t>
      </w:r>
    </w:p>
    <w:p w:rsidR="00B261FE" w:rsidRDefault="00B261FE" w:rsidP="00B261FE"/>
    <w:p w:rsidR="00B261FE" w:rsidRDefault="00B261FE" w:rsidP="00B261FE"/>
    <w:p w:rsidR="00B261FE" w:rsidRDefault="00B261FE" w:rsidP="00B261FE">
      <w:pPr>
        <w:rPr>
          <w:b/>
        </w:rPr>
      </w:pPr>
      <w:r>
        <w:rPr>
          <w:b/>
        </w:rPr>
        <w:t>A</w:t>
      </w:r>
      <w:r w:rsidRPr="00B261FE">
        <w:rPr>
          <w:b/>
        </w:rPr>
        <w:t xml:space="preserve">ggregate-household-income-in-the-past-12-months-in-2015-inflation-adjusted-dollars : </w:t>
      </w:r>
    </w:p>
    <w:p w:rsidR="00B261FE" w:rsidRDefault="00B261FE" w:rsidP="00B261FE">
      <w:pPr>
        <w:rPr>
          <w:b/>
        </w:rPr>
      </w:pPr>
    </w:p>
    <w:p w:rsidR="00B261FE" w:rsidRPr="00753974" w:rsidRDefault="00B261FE" w:rsidP="00B261FE">
      <w:pPr>
        <w:rPr>
          <w:b/>
          <w:i/>
          <w:color w:val="FF0000"/>
          <w:u w:val="single"/>
        </w:rPr>
      </w:pPr>
      <w:r w:rsidRPr="00753974">
        <w:rPr>
          <w:b/>
          <w:i/>
          <w:color w:val="FF0000"/>
          <w:u w:val="single"/>
        </w:rPr>
        <w:t xml:space="preserve">Figure </w:t>
      </w:r>
      <w:r>
        <w:rPr>
          <w:b/>
          <w:i/>
          <w:color w:val="FF0000"/>
          <w:u w:val="single"/>
        </w:rPr>
        <w:t>2</w:t>
      </w:r>
      <w:r w:rsidRPr="00753974">
        <w:rPr>
          <w:b/>
          <w:i/>
          <w:color w:val="FF0000"/>
          <w:u w:val="single"/>
        </w:rPr>
        <w:t> : Statistiques descriptives de la variable</w:t>
      </w:r>
      <w:proofErr w:type="gramStart"/>
      <w:r w:rsidRPr="00753974">
        <w:rPr>
          <w:b/>
          <w:i/>
          <w:color w:val="FF0000"/>
          <w:u w:val="single"/>
        </w:rPr>
        <w:t xml:space="preserve"> «</w:t>
      </w:r>
      <w:proofErr w:type="spellStart"/>
      <w:r w:rsidR="00CE7BEC" w:rsidRPr="00CE7BEC">
        <w:rPr>
          <w:b/>
          <w:i/>
          <w:color w:val="FF0000"/>
          <w:u w:val="single"/>
        </w:rPr>
        <w:t>Estimate</w:t>
      </w:r>
      <w:proofErr w:type="spellEnd"/>
      <w:proofErr w:type="gramEnd"/>
      <w:r w:rsidR="00CE7BEC" w:rsidRPr="00CE7BEC">
        <w:rPr>
          <w:b/>
          <w:i/>
          <w:color w:val="FF0000"/>
          <w:u w:val="single"/>
        </w:rPr>
        <w:t xml:space="preserve">; </w:t>
      </w:r>
      <w:proofErr w:type="spellStart"/>
      <w:r w:rsidR="00CE7BEC" w:rsidRPr="00CE7BEC">
        <w:rPr>
          <w:b/>
          <w:i/>
          <w:color w:val="FF0000"/>
          <w:u w:val="single"/>
        </w:rPr>
        <w:t>Aggregate</w:t>
      </w:r>
      <w:proofErr w:type="spellEnd"/>
      <w:r w:rsidR="00CE7BEC" w:rsidRPr="00CE7BEC">
        <w:rPr>
          <w:b/>
          <w:i/>
          <w:color w:val="FF0000"/>
          <w:u w:val="single"/>
        </w:rPr>
        <w:t xml:space="preserve"> </w:t>
      </w:r>
      <w:proofErr w:type="spellStart"/>
      <w:r w:rsidR="00CE7BEC" w:rsidRPr="00CE7BEC">
        <w:rPr>
          <w:b/>
          <w:i/>
          <w:color w:val="FF0000"/>
          <w:u w:val="single"/>
        </w:rPr>
        <w:t>household</w:t>
      </w:r>
      <w:proofErr w:type="spellEnd"/>
      <w:r w:rsidR="00CE7BEC" w:rsidRPr="00CE7BEC">
        <w:rPr>
          <w:b/>
          <w:i/>
          <w:color w:val="FF0000"/>
          <w:u w:val="single"/>
        </w:rPr>
        <w:t xml:space="preserve"> </w:t>
      </w:r>
      <w:proofErr w:type="spellStart"/>
      <w:r w:rsidR="00CE7BEC" w:rsidRPr="00CE7BEC">
        <w:rPr>
          <w:b/>
          <w:i/>
          <w:color w:val="FF0000"/>
          <w:u w:val="single"/>
        </w:rPr>
        <w:t>income</w:t>
      </w:r>
      <w:proofErr w:type="spellEnd"/>
      <w:r w:rsidR="00CE7BEC" w:rsidRPr="00CE7BEC">
        <w:rPr>
          <w:b/>
          <w:i/>
          <w:color w:val="FF0000"/>
          <w:u w:val="single"/>
        </w:rPr>
        <w:t xml:space="preserve"> in the </w:t>
      </w:r>
      <w:proofErr w:type="spellStart"/>
      <w:r w:rsidR="00CE7BEC" w:rsidRPr="00CE7BEC">
        <w:rPr>
          <w:b/>
          <w:i/>
          <w:color w:val="FF0000"/>
          <w:u w:val="single"/>
        </w:rPr>
        <w:t>past</w:t>
      </w:r>
      <w:proofErr w:type="spellEnd"/>
      <w:r w:rsidR="00CE7BEC" w:rsidRPr="00CE7BEC">
        <w:rPr>
          <w:b/>
          <w:i/>
          <w:color w:val="FF0000"/>
          <w:u w:val="single"/>
        </w:rPr>
        <w:t xml:space="preserve"> 12 </w:t>
      </w:r>
      <w:proofErr w:type="spellStart"/>
      <w:r w:rsidR="00CE7BEC" w:rsidRPr="00CE7BEC">
        <w:rPr>
          <w:b/>
          <w:i/>
          <w:color w:val="FF0000"/>
          <w:u w:val="single"/>
        </w:rPr>
        <w:t>months</w:t>
      </w:r>
      <w:proofErr w:type="spellEnd"/>
      <w:r w:rsidR="00CE7BEC" w:rsidRPr="00CE7BEC">
        <w:rPr>
          <w:b/>
          <w:i/>
          <w:color w:val="FF0000"/>
          <w:u w:val="single"/>
        </w:rPr>
        <w:t xml:space="preserve"> (</w:t>
      </w:r>
      <w:proofErr w:type="spellStart"/>
      <w:r w:rsidR="00CE7BEC" w:rsidRPr="00CE7BEC">
        <w:rPr>
          <w:b/>
          <w:i/>
          <w:color w:val="FF0000"/>
          <w:u w:val="single"/>
        </w:rPr>
        <w:t>in</w:t>
      </w:r>
      <w:proofErr w:type="spellEnd"/>
      <w:r w:rsidR="00CE7BEC" w:rsidRPr="00CE7BEC">
        <w:rPr>
          <w:b/>
          <w:i/>
          <w:color w:val="FF0000"/>
          <w:u w:val="single"/>
        </w:rPr>
        <w:t xml:space="preserve"> 2015 Inflation-</w:t>
      </w:r>
      <w:proofErr w:type="spellStart"/>
      <w:r w:rsidR="00CE7BEC" w:rsidRPr="00CE7BEC">
        <w:rPr>
          <w:b/>
          <w:i/>
          <w:color w:val="FF0000"/>
          <w:u w:val="single"/>
        </w:rPr>
        <w:t>adjusted</w:t>
      </w:r>
      <w:proofErr w:type="spellEnd"/>
      <w:r w:rsidR="00CE7BEC" w:rsidRPr="00CE7BEC">
        <w:rPr>
          <w:b/>
          <w:i/>
          <w:color w:val="FF0000"/>
          <w:u w:val="single"/>
        </w:rPr>
        <w:t xml:space="preserve"> dollars</w:t>
      </w:r>
      <w:r w:rsidRPr="00753974">
        <w:rPr>
          <w:b/>
          <w:i/>
          <w:color w:val="FF0000"/>
          <w:u w:val="single"/>
        </w:rPr>
        <w:t>»</w:t>
      </w:r>
    </w:p>
    <w:tbl>
      <w:tblPr>
        <w:tblStyle w:val="Grilledutableau"/>
        <w:tblW w:w="0" w:type="auto"/>
        <w:tblLook w:val="04A0" w:firstRow="1" w:lastRow="0" w:firstColumn="1" w:lastColumn="0" w:noHBand="0" w:noVBand="1"/>
      </w:tblPr>
      <w:tblGrid>
        <w:gridCol w:w="2265"/>
        <w:gridCol w:w="2265"/>
        <w:gridCol w:w="2266"/>
        <w:gridCol w:w="2266"/>
      </w:tblGrid>
      <w:tr w:rsidR="00822500" w:rsidTr="00822500">
        <w:tc>
          <w:tcPr>
            <w:tcW w:w="2265" w:type="dxa"/>
          </w:tcPr>
          <w:p w:rsidR="00822500" w:rsidRDefault="00822500" w:rsidP="00822500">
            <w:pPr>
              <w:jc w:val="center"/>
              <w:rPr>
                <w:b/>
              </w:rPr>
            </w:pPr>
            <w:r>
              <w:t>Moyenne</w:t>
            </w:r>
          </w:p>
        </w:tc>
        <w:tc>
          <w:tcPr>
            <w:tcW w:w="2265" w:type="dxa"/>
          </w:tcPr>
          <w:p w:rsidR="00822500" w:rsidRDefault="00822500" w:rsidP="00822500">
            <w:pPr>
              <w:jc w:val="center"/>
              <w:rPr>
                <w:b/>
              </w:rPr>
            </w:pPr>
            <w:r>
              <w:t>Q1</w:t>
            </w:r>
          </w:p>
        </w:tc>
        <w:tc>
          <w:tcPr>
            <w:tcW w:w="2266" w:type="dxa"/>
          </w:tcPr>
          <w:p w:rsidR="00822500" w:rsidRDefault="00822500" w:rsidP="00822500">
            <w:pPr>
              <w:jc w:val="center"/>
              <w:rPr>
                <w:b/>
              </w:rPr>
            </w:pPr>
            <w:r>
              <w:t>Médiane</w:t>
            </w:r>
          </w:p>
        </w:tc>
        <w:tc>
          <w:tcPr>
            <w:tcW w:w="2266" w:type="dxa"/>
          </w:tcPr>
          <w:p w:rsidR="00822500" w:rsidRDefault="00822500" w:rsidP="00822500">
            <w:pPr>
              <w:jc w:val="center"/>
              <w:rPr>
                <w:b/>
              </w:rPr>
            </w:pPr>
            <w:r>
              <w:t>Q3</w:t>
            </w:r>
          </w:p>
        </w:tc>
      </w:tr>
      <w:tr w:rsidR="00822500" w:rsidTr="00822500">
        <w:tc>
          <w:tcPr>
            <w:tcW w:w="2265" w:type="dxa"/>
          </w:tcPr>
          <w:p w:rsidR="00822500" w:rsidRPr="00822500" w:rsidRDefault="00822500" w:rsidP="00822500">
            <w:pPr>
              <w:jc w:val="center"/>
            </w:pPr>
            <w:r w:rsidRPr="00822500">
              <w:t>93474506,7</w:t>
            </w:r>
          </w:p>
        </w:tc>
        <w:tc>
          <w:tcPr>
            <w:tcW w:w="2265" w:type="dxa"/>
          </w:tcPr>
          <w:p w:rsidR="00822500" w:rsidRPr="00822500" w:rsidRDefault="00822500" w:rsidP="00822500">
            <w:pPr>
              <w:jc w:val="center"/>
            </w:pPr>
            <w:r w:rsidRPr="00822500">
              <w:t>25014900</w:t>
            </w:r>
          </w:p>
        </w:tc>
        <w:tc>
          <w:tcPr>
            <w:tcW w:w="2266" w:type="dxa"/>
          </w:tcPr>
          <w:p w:rsidR="00822500" w:rsidRPr="00822500" w:rsidRDefault="00822500" w:rsidP="00822500">
            <w:pPr>
              <w:jc w:val="center"/>
            </w:pPr>
            <w:r w:rsidRPr="00822500">
              <w:t>52288700</w:t>
            </w:r>
          </w:p>
        </w:tc>
        <w:tc>
          <w:tcPr>
            <w:tcW w:w="2266" w:type="dxa"/>
          </w:tcPr>
          <w:p w:rsidR="00822500" w:rsidRPr="00822500" w:rsidRDefault="00822500" w:rsidP="00822500">
            <w:pPr>
              <w:jc w:val="center"/>
            </w:pPr>
            <w:r w:rsidRPr="00822500">
              <w:t>96353500</w:t>
            </w:r>
          </w:p>
        </w:tc>
      </w:tr>
    </w:tbl>
    <w:p w:rsidR="00B261FE" w:rsidRDefault="00B261FE" w:rsidP="00B261FE">
      <w:pPr>
        <w:rPr>
          <w:b/>
        </w:rPr>
      </w:pPr>
    </w:p>
    <w:p w:rsidR="00822500" w:rsidRDefault="00822500" w:rsidP="00B261FE">
      <w:r w:rsidRPr="00822500">
        <w:t>Cette base de données fournit une analyse des revenus des ménages dans différents quartiers, permettant d'étudier les disparités économiques locales. Elle inclut des informations sur les noms des quartiers (</w:t>
      </w:r>
      <w:proofErr w:type="spellStart"/>
      <w:r w:rsidRPr="00822500">
        <w:t>Neighborhood</w:t>
      </w:r>
      <w:proofErr w:type="spellEnd"/>
      <w:r w:rsidRPr="00822500">
        <w:t>), des identifiants uniques (Id), ainsi que des données financières clés. Parmi ces données, la variable "</w:t>
      </w:r>
      <w:proofErr w:type="spellStart"/>
      <w:proofErr w:type="gramStart"/>
      <w:r w:rsidRPr="00822500">
        <w:t>Estimate</w:t>
      </w:r>
      <w:proofErr w:type="spellEnd"/>
      <w:r w:rsidRPr="00822500">
        <w:t>;</w:t>
      </w:r>
      <w:proofErr w:type="gramEnd"/>
      <w:r w:rsidRPr="00822500">
        <w:t xml:space="preserve"> </w:t>
      </w:r>
      <w:proofErr w:type="spellStart"/>
      <w:r w:rsidRPr="00822500">
        <w:t>Aggregate</w:t>
      </w:r>
      <w:proofErr w:type="spellEnd"/>
      <w:r w:rsidRPr="00822500">
        <w:t xml:space="preserve"> </w:t>
      </w:r>
      <w:proofErr w:type="spellStart"/>
      <w:r w:rsidRPr="00822500">
        <w:t>household</w:t>
      </w:r>
      <w:proofErr w:type="spellEnd"/>
      <w:r w:rsidRPr="00822500">
        <w:t xml:space="preserve"> </w:t>
      </w:r>
      <w:proofErr w:type="spellStart"/>
      <w:r w:rsidRPr="00822500">
        <w:t>income</w:t>
      </w:r>
      <w:proofErr w:type="spellEnd"/>
      <w:r w:rsidRPr="00822500">
        <w:t xml:space="preserve">" est la plus importante : elle représente le revenu total estimé des ménages pour les 12 derniers mois, ajusté à l'inflation de 2015. Cette variable est essentielle car elle donne une mesure centrale de la richesse économique des quartiers, servant de base à de nombreuses analyses comparatives ou décisionnelles. La précision de </w:t>
      </w:r>
      <w:r w:rsidRPr="00822500">
        <w:lastRenderedPageBreak/>
        <w:t>cette estimation est soutenue par une autre variable, la "</w:t>
      </w:r>
      <w:proofErr w:type="spellStart"/>
      <w:r w:rsidRPr="00822500">
        <w:t>Margin</w:t>
      </w:r>
      <w:proofErr w:type="spellEnd"/>
      <w:r w:rsidRPr="00822500">
        <w:t xml:space="preserve"> of </w:t>
      </w:r>
      <w:proofErr w:type="spellStart"/>
      <w:r w:rsidRPr="00822500">
        <w:t>Error</w:t>
      </w:r>
      <w:proofErr w:type="spellEnd"/>
      <w:r w:rsidRPr="00822500">
        <w:t>", qui indique le degré de fiabilité de l'estimation.</w:t>
      </w:r>
    </w:p>
    <w:p w:rsidR="00822500" w:rsidRDefault="00822500" w:rsidP="00B261FE"/>
    <w:p w:rsidR="00822500" w:rsidRDefault="007E60F5" w:rsidP="00B261FE">
      <w:pPr>
        <w:rPr>
          <w:b/>
        </w:rPr>
      </w:pPr>
      <w:proofErr w:type="gramStart"/>
      <w:r w:rsidRPr="007E60F5">
        <w:rPr>
          <w:b/>
        </w:rPr>
        <w:t>types</w:t>
      </w:r>
      <w:proofErr w:type="gramEnd"/>
      <w:r w:rsidRPr="007E60F5">
        <w:rPr>
          <w:b/>
        </w:rPr>
        <w:t>-of-</w:t>
      </w:r>
      <w:proofErr w:type="spellStart"/>
      <w:r w:rsidRPr="007E60F5">
        <w:rPr>
          <w:b/>
        </w:rPr>
        <w:t>health</w:t>
      </w:r>
      <w:proofErr w:type="spellEnd"/>
      <w:r w:rsidRPr="007E60F5">
        <w:rPr>
          <w:b/>
        </w:rPr>
        <w:t>-</w:t>
      </w:r>
      <w:proofErr w:type="spellStart"/>
      <w:r w:rsidRPr="007E60F5">
        <w:rPr>
          <w:b/>
        </w:rPr>
        <w:t>insurance</w:t>
      </w:r>
      <w:proofErr w:type="spellEnd"/>
      <w:r w:rsidRPr="007E60F5">
        <w:rPr>
          <w:b/>
        </w:rPr>
        <w:t>-</w:t>
      </w:r>
      <w:proofErr w:type="spellStart"/>
      <w:r w:rsidRPr="007E60F5">
        <w:rPr>
          <w:b/>
        </w:rPr>
        <w:t>coverage</w:t>
      </w:r>
      <w:proofErr w:type="spellEnd"/>
      <w:r w:rsidRPr="007E60F5">
        <w:rPr>
          <w:b/>
        </w:rPr>
        <w:t>-by-</w:t>
      </w:r>
      <w:proofErr w:type="spellStart"/>
      <w:r w:rsidRPr="007E60F5">
        <w:rPr>
          <w:b/>
        </w:rPr>
        <w:t>age</w:t>
      </w:r>
      <w:proofErr w:type="spellEnd"/>
      <w:r>
        <w:rPr>
          <w:b/>
        </w:rPr>
        <w:t> :</w:t>
      </w:r>
    </w:p>
    <w:p w:rsidR="00CE7BEC" w:rsidRDefault="00CE7BEC" w:rsidP="00CE7BEC">
      <w:pPr>
        <w:rPr>
          <w:b/>
          <w:i/>
          <w:color w:val="FF0000"/>
          <w:u w:val="single"/>
        </w:rPr>
      </w:pPr>
      <w:r w:rsidRPr="00753974">
        <w:rPr>
          <w:b/>
          <w:i/>
          <w:color w:val="FF0000"/>
          <w:u w:val="single"/>
        </w:rPr>
        <w:t xml:space="preserve">Figure </w:t>
      </w:r>
      <w:r>
        <w:rPr>
          <w:b/>
          <w:i/>
          <w:color w:val="FF0000"/>
          <w:u w:val="single"/>
        </w:rPr>
        <w:t>3</w:t>
      </w:r>
      <w:r w:rsidRPr="00753974">
        <w:rPr>
          <w:b/>
          <w:i/>
          <w:color w:val="FF0000"/>
          <w:u w:val="single"/>
        </w:rPr>
        <w:t> : Statistiques descriptives de la variable</w:t>
      </w:r>
      <w:proofErr w:type="gramStart"/>
      <w:r w:rsidRPr="00753974">
        <w:rPr>
          <w:b/>
          <w:i/>
          <w:color w:val="FF0000"/>
          <w:u w:val="single"/>
        </w:rPr>
        <w:t xml:space="preserve"> «</w:t>
      </w:r>
      <w:proofErr w:type="spellStart"/>
      <w:r w:rsidRPr="00CE7BEC">
        <w:rPr>
          <w:b/>
          <w:bCs/>
          <w:i/>
          <w:color w:val="FF0000"/>
          <w:u w:val="single"/>
        </w:rPr>
        <w:t>Estimate</w:t>
      </w:r>
      <w:proofErr w:type="spellEnd"/>
      <w:proofErr w:type="gramEnd"/>
      <w:r w:rsidRPr="00CE7BEC">
        <w:rPr>
          <w:b/>
          <w:bCs/>
          <w:i/>
          <w:color w:val="FF0000"/>
          <w:u w:val="single"/>
        </w:rPr>
        <w:t>; Total</w:t>
      </w:r>
      <w:r w:rsidRPr="00CE7BEC">
        <w:rPr>
          <w:b/>
          <w:i/>
          <w:color w:val="FF0000"/>
          <w:u w:val="single"/>
        </w:rPr>
        <w:t>»</w:t>
      </w:r>
    </w:p>
    <w:p w:rsidR="00CE7BEC" w:rsidRDefault="00CE7BEC" w:rsidP="00CE7BEC">
      <w:pPr>
        <w:rPr>
          <w:b/>
          <w:i/>
          <w:color w:val="FF0000"/>
          <w:u w:val="single"/>
        </w:rPr>
      </w:pPr>
    </w:p>
    <w:tbl>
      <w:tblPr>
        <w:tblStyle w:val="Grilledutableau"/>
        <w:tblW w:w="0" w:type="auto"/>
        <w:tblLook w:val="04A0" w:firstRow="1" w:lastRow="0" w:firstColumn="1" w:lastColumn="0" w:noHBand="0" w:noVBand="1"/>
      </w:tblPr>
      <w:tblGrid>
        <w:gridCol w:w="2265"/>
        <w:gridCol w:w="2265"/>
        <w:gridCol w:w="2266"/>
        <w:gridCol w:w="2266"/>
      </w:tblGrid>
      <w:tr w:rsidR="00CE7BEC" w:rsidTr="00CE7BEC">
        <w:tc>
          <w:tcPr>
            <w:tcW w:w="2265" w:type="dxa"/>
          </w:tcPr>
          <w:p w:rsidR="00CE7BEC" w:rsidRPr="00CE7BEC" w:rsidRDefault="00CE7BEC" w:rsidP="00CE7BEC">
            <w:pPr>
              <w:jc w:val="center"/>
              <w:rPr>
                <w:color w:val="000000" w:themeColor="text1"/>
              </w:rPr>
            </w:pPr>
            <w:r>
              <w:rPr>
                <w:color w:val="000000" w:themeColor="text1"/>
              </w:rPr>
              <w:t>Moyenne</w:t>
            </w:r>
          </w:p>
        </w:tc>
        <w:tc>
          <w:tcPr>
            <w:tcW w:w="2265" w:type="dxa"/>
          </w:tcPr>
          <w:p w:rsidR="00CE7BEC" w:rsidRPr="00CE7BEC" w:rsidRDefault="00CE7BEC" w:rsidP="00CE7BEC">
            <w:pPr>
              <w:jc w:val="center"/>
              <w:rPr>
                <w:color w:val="000000" w:themeColor="text1"/>
              </w:rPr>
            </w:pPr>
            <w:r>
              <w:rPr>
                <w:color w:val="000000" w:themeColor="text1"/>
              </w:rPr>
              <w:t>Q1</w:t>
            </w:r>
          </w:p>
        </w:tc>
        <w:tc>
          <w:tcPr>
            <w:tcW w:w="2266" w:type="dxa"/>
          </w:tcPr>
          <w:p w:rsidR="00CE7BEC" w:rsidRPr="00CE7BEC" w:rsidRDefault="00CE7BEC" w:rsidP="00CE7BEC">
            <w:pPr>
              <w:jc w:val="center"/>
              <w:rPr>
                <w:color w:val="000000" w:themeColor="text1"/>
              </w:rPr>
            </w:pPr>
            <w:r>
              <w:rPr>
                <w:color w:val="000000" w:themeColor="text1"/>
              </w:rPr>
              <w:t>Médiane</w:t>
            </w:r>
          </w:p>
        </w:tc>
        <w:tc>
          <w:tcPr>
            <w:tcW w:w="2266" w:type="dxa"/>
          </w:tcPr>
          <w:p w:rsidR="00CE7BEC" w:rsidRPr="00CE7BEC" w:rsidRDefault="00CE7BEC" w:rsidP="00CE7BEC">
            <w:pPr>
              <w:jc w:val="center"/>
              <w:rPr>
                <w:color w:val="000000" w:themeColor="text1"/>
              </w:rPr>
            </w:pPr>
            <w:r>
              <w:rPr>
                <w:color w:val="000000" w:themeColor="text1"/>
              </w:rPr>
              <w:t>Q3</w:t>
            </w:r>
          </w:p>
        </w:tc>
      </w:tr>
      <w:tr w:rsidR="00CE7BEC" w:rsidTr="00CE7BEC">
        <w:tc>
          <w:tcPr>
            <w:tcW w:w="2265" w:type="dxa"/>
          </w:tcPr>
          <w:p w:rsidR="00CE7BEC" w:rsidRPr="00CE7BEC" w:rsidRDefault="00CE7BEC" w:rsidP="00CE7BEC">
            <w:pPr>
              <w:jc w:val="center"/>
              <w:rPr>
                <w:color w:val="FF0000"/>
              </w:rPr>
            </w:pPr>
            <w:r w:rsidRPr="00CE7BEC">
              <w:rPr>
                <w:color w:val="000000" w:themeColor="text1"/>
              </w:rPr>
              <w:t>3318.3</w:t>
            </w:r>
          </w:p>
        </w:tc>
        <w:tc>
          <w:tcPr>
            <w:tcW w:w="2265" w:type="dxa"/>
          </w:tcPr>
          <w:p w:rsidR="00CE7BEC" w:rsidRPr="00CE7BEC" w:rsidRDefault="00CE7BEC" w:rsidP="00CE7BEC">
            <w:pPr>
              <w:jc w:val="center"/>
              <w:rPr>
                <w:color w:val="000000" w:themeColor="text1"/>
              </w:rPr>
            </w:pPr>
            <w:r>
              <w:rPr>
                <w:color w:val="000000" w:themeColor="text1"/>
              </w:rPr>
              <w:t>1186</w:t>
            </w:r>
          </w:p>
        </w:tc>
        <w:tc>
          <w:tcPr>
            <w:tcW w:w="2266" w:type="dxa"/>
          </w:tcPr>
          <w:p w:rsidR="00CE7BEC" w:rsidRPr="00CE7BEC" w:rsidRDefault="00CE7BEC" w:rsidP="00CE7BEC">
            <w:pPr>
              <w:jc w:val="center"/>
              <w:rPr>
                <w:color w:val="000000" w:themeColor="text1"/>
              </w:rPr>
            </w:pPr>
            <w:r>
              <w:rPr>
                <w:color w:val="000000" w:themeColor="text1"/>
              </w:rPr>
              <w:t>2363</w:t>
            </w:r>
          </w:p>
        </w:tc>
        <w:tc>
          <w:tcPr>
            <w:tcW w:w="2266" w:type="dxa"/>
          </w:tcPr>
          <w:p w:rsidR="00CE7BEC" w:rsidRPr="00CE7BEC" w:rsidRDefault="00CE7BEC" w:rsidP="00CE7BEC">
            <w:pPr>
              <w:jc w:val="center"/>
              <w:rPr>
                <w:color w:val="000000" w:themeColor="text1"/>
              </w:rPr>
            </w:pPr>
            <w:r>
              <w:rPr>
                <w:color w:val="000000" w:themeColor="text1"/>
              </w:rPr>
              <w:t>4157.5</w:t>
            </w:r>
          </w:p>
        </w:tc>
      </w:tr>
    </w:tbl>
    <w:p w:rsidR="00CE7BEC" w:rsidRPr="00753974" w:rsidRDefault="00CE7BEC" w:rsidP="00CE7BEC">
      <w:pPr>
        <w:rPr>
          <w:b/>
          <w:i/>
          <w:color w:val="FF0000"/>
          <w:u w:val="single"/>
        </w:rPr>
      </w:pPr>
    </w:p>
    <w:p w:rsidR="00CE7BEC" w:rsidRDefault="00CE7BEC" w:rsidP="00CE7BEC">
      <w:r>
        <w:t>Le fichier contient des données sur les types de couverture d'assurance santé par âge pour différents quartiers (nommés dans la colonne "</w:t>
      </w:r>
      <w:proofErr w:type="spellStart"/>
      <w:r>
        <w:t>Neighborhood</w:t>
      </w:r>
      <w:proofErr w:type="spellEnd"/>
      <w:r>
        <w:t>"). Les colonnes représentent diverses statistiques sur les estimations et les marges d'erreur pour les types de couverture (par exemple, assurance avec un employeur, Medicare, Medicaid, etc.), réparties par groupes d'âge (moins de 18 ans, entre 18 et 64 ans, et 65 ans et plus).</w:t>
      </w:r>
      <w:r>
        <w:t xml:space="preserve"> </w:t>
      </w:r>
    </w:p>
    <w:p w:rsidR="00CE7BEC" w:rsidRDefault="00CE7BEC" w:rsidP="00CE7BEC">
      <w:r w:rsidRPr="00CE7BEC">
        <w:t xml:space="preserve">La variable </w:t>
      </w:r>
      <w:proofErr w:type="spellStart"/>
      <w:proofErr w:type="gramStart"/>
      <w:r w:rsidRPr="00CE7BEC">
        <w:rPr>
          <w:bCs/>
        </w:rPr>
        <w:t>Estimate</w:t>
      </w:r>
      <w:proofErr w:type="spellEnd"/>
      <w:r w:rsidRPr="00CE7BEC">
        <w:rPr>
          <w:bCs/>
        </w:rPr>
        <w:t>;</w:t>
      </w:r>
      <w:proofErr w:type="gramEnd"/>
      <w:r w:rsidRPr="00CE7BEC">
        <w:rPr>
          <w:bCs/>
        </w:rPr>
        <w:t xml:space="preserve"> Total:</w:t>
      </w:r>
      <w:r w:rsidRPr="00CE7BEC">
        <w:t xml:space="preserve"> représente le nombre total estimé de personnes dans chaque quartier pour lesquelles les données sur la couverture d'assurance santé sont rapportées. Cela inclut toutes les catégories d'âge et tous les types de couverture combinés. Elle sert de base pour analyser la répartition ou les tendances générales des données démographiques par quartier.</w:t>
      </w:r>
    </w:p>
    <w:p w:rsidR="00CE7BEC" w:rsidRDefault="00CE7BEC" w:rsidP="00CE7BEC"/>
    <w:p w:rsidR="00CE7BEC" w:rsidRDefault="00CE7BEC" w:rsidP="00CE7BEC">
      <w:pPr>
        <w:rPr>
          <w:b/>
        </w:rPr>
      </w:pPr>
      <w:proofErr w:type="gramStart"/>
      <w:r w:rsidRPr="00CE7BEC">
        <w:rPr>
          <w:b/>
        </w:rPr>
        <w:t>wage</w:t>
      </w:r>
      <w:proofErr w:type="gramEnd"/>
      <w:r w:rsidRPr="00CE7BEC">
        <w:rPr>
          <w:b/>
        </w:rPr>
        <w:t>-or-salary-income-in-the-past-12-months-for-households :</w:t>
      </w:r>
    </w:p>
    <w:p w:rsidR="00CE7BEC" w:rsidRPr="00CD4F68" w:rsidRDefault="00CD4F68" w:rsidP="00CE7BEC">
      <w:pPr>
        <w:rPr>
          <w:b/>
          <w:i/>
          <w:color w:val="FF0000"/>
          <w:u w:val="single"/>
        </w:rPr>
      </w:pPr>
      <w:r w:rsidRPr="00753974">
        <w:rPr>
          <w:b/>
          <w:i/>
          <w:color w:val="FF0000"/>
          <w:u w:val="single"/>
        </w:rPr>
        <w:t xml:space="preserve">Figure </w:t>
      </w:r>
      <w:r>
        <w:rPr>
          <w:b/>
          <w:i/>
          <w:color w:val="FF0000"/>
          <w:u w:val="single"/>
        </w:rPr>
        <w:t>4</w:t>
      </w:r>
      <w:r w:rsidRPr="00753974">
        <w:rPr>
          <w:b/>
          <w:i/>
          <w:color w:val="FF0000"/>
          <w:u w:val="single"/>
        </w:rPr>
        <w:t> : Statistiques descriptives de la variable</w:t>
      </w:r>
      <w:proofErr w:type="gramStart"/>
      <w:r w:rsidRPr="00753974">
        <w:rPr>
          <w:b/>
          <w:i/>
          <w:color w:val="FF0000"/>
          <w:u w:val="single"/>
        </w:rPr>
        <w:t xml:space="preserve"> «</w:t>
      </w:r>
      <w:proofErr w:type="spellStart"/>
      <w:r w:rsidRPr="00CD4F68">
        <w:rPr>
          <w:b/>
          <w:i/>
          <w:color w:val="FF0000"/>
          <w:u w:val="single"/>
        </w:rPr>
        <w:t>Estimate</w:t>
      </w:r>
      <w:proofErr w:type="spellEnd"/>
      <w:proofErr w:type="gramEnd"/>
      <w:r w:rsidRPr="00CD4F68">
        <w:rPr>
          <w:b/>
          <w:i/>
          <w:color w:val="FF0000"/>
          <w:u w:val="single"/>
        </w:rPr>
        <w:t xml:space="preserve">; Total: - </w:t>
      </w:r>
      <w:proofErr w:type="spellStart"/>
      <w:r w:rsidRPr="00CD4F68">
        <w:rPr>
          <w:b/>
          <w:i/>
          <w:color w:val="FF0000"/>
          <w:u w:val="single"/>
        </w:rPr>
        <w:t>With</w:t>
      </w:r>
      <w:proofErr w:type="spellEnd"/>
      <w:r w:rsidRPr="00CD4F68">
        <w:rPr>
          <w:b/>
          <w:i/>
          <w:color w:val="FF0000"/>
          <w:u w:val="single"/>
        </w:rPr>
        <w:t xml:space="preserve"> </w:t>
      </w:r>
      <w:proofErr w:type="spellStart"/>
      <w:r w:rsidRPr="00CD4F68">
        <w:rPr>
          <w:b/>
          <w:i/>
          <w:color w:val="FF0000"/>
          <w:u w:val="single"/>
        </w:rPr>
        <w:t>wage</w:t>
      </w:r>
      <w:proofErr w:type="spellEnd"/>
      <w:r w:rsidRPr="00CD4F68">
        <w:rPr>
          <w:b/>
          <w:i/>
          <w:color w:val="FF0000"/>
          <w:u w:val="single"/>
        </w:rPr>
        <w:t xml:space="preserve"> or </w:t>
      </w:r>
      <w:proofErr w:type="spellStart"/>
      <w:r w:rsidRPr="00CD4F68">
        <w:rPr>
          <w:b/>
          <w:i/>
          <w:color w:val="FF0000"/>
          <w:u w:val="single"/>
        </w:rPr>
        <w:t>salary</w:t>
      </w:r>
      <w:proofErr w:type="spellEnd"/>
      <w:r w:rsidRPr="00CD4F68">
        <w:rPr>
          <w:b/>
          <w:i/>
          <w:color w:val="FF0000"/>
          <w:u w:val="single"/>
        </w:rPr>
        <w:t xml:space="preserve"> </w:t>
      </w:r>
      <w:proofErr w:type="spellStart"/>
      <w:r w:rsidRPr="00CD4F68">
        <w:rPr>
          <w:b/>
          <w:i/>
          <w:color w:val="FF0000"/>
          <w:u w:val="single"/>
        </w:rPr>
        <w:t>income</w:t>
      </w:r>
      <w:proofErr w:type="spellEnd"/>
      <w:r w:rsidRPr="00CD4F68">
        <w:rPr>
          <w:b/>
          <w:i/>
          <w:color w:val="FF0000"/>
          <w:u w:val="single"/>
        </w:rPr>
        <w:t>"»</w:t>
      </w:r>
    </w:p>
    <w:tbl>
      <w:tblPr>
        <w:tblStyle w:val="Grilledutableau"/>
        <w:tblW w:w="0" w:type="auto"/>
        <w:tblLook w:val="04A0" w:firstRow="1" w:lastRow="0" w:firstColumn="1" w:lastColumn="0" w:noHBand="0" w:noVBand="1"/>
      </w:tblPr>
      <w:tblGrid>
        <w:gridCol w:w="2265"/>
        <w:gridCol w:w="2265"/>
        <w:gridCol w:w="2266"/>
        <w:gridCol w:w="2266"/>
      </w:tblGrid>
      <w:tr w:rsidR="00CE7BEC" w:rsidTr="00CE7BEC">
        <w:tc>
          <w:tcPr>
            <w:tcW w:w="2265" w:type="dxa"/>
          </w:tcPr>
          <w:p w:rsidR="00CE7BEC" w:rsidRDefault="00CE7BEC" w:rsidP="00CE7BEC">
            <w:pPr>
              <w:jc w:val="center"/>
              <w:rPr>
                <w:color w:val="000000" w:themeColor="text1"/>
              </w:rPr>
            </w:pPr>
            <w:r>
              <w:rPr>
                <w:color w:val="000000" w:themeColor="text1"/>
              </w:rPr>
              <w:t>Moyenne</w:t>
            </w:r>
          </w:p>
        </w:tc>
        <w:tc>
          <w:tcPr>
            <w:tcW w:w="2265" w:type="dxa"/>
          </w:tcPr>
          <w:p w:rsidR="00CE7BEC" w:rsidRDefault="00CE7BEC" w:rsidP="00CE7BEC">
            <w:pPr>
              <w:jc w:val="center"/>
              <w:rPr>
                <w:color w:val="000000" w:themeColor="text1"/>
              </w:rPr>
            </w:pPr>
            <w:r>
              <w:rPr>
                <w:color w:val="000000" w:themeColor="text1"/>
              </w:rPr>
              <w:t>Q1</w:t>
            </w:r>
          </w:p>
        </w:tc>
        <w:tc>
          <w:tcPr>
            <w:tcW w:w="2266" w:type="dxa"/>
          </w:tcPr>
          <w:p w:rsidR="00CE7BEC" w:rsidRDefault="00CE7BEC" w:rsidP="00CE7BEC">
            <w:pPr>
              <w:jc w:val="center"/>
              <w:rPr>
                <w:color w:val="000000" w:themeColor="text1"/>
              </w:rPr>
            </w:pPr>
            <w:r>
              <w:rPr>
                <w:color w:val="000000" w:themeColor="text1"/>
              </w:rPr>
              <w:t>Médiane</w:t>
            </w:r>
          </w:p>
        </w:tc>
        <w:tc>
          <w:tcPr>
            <w:tcW w:w="2266" w:type="dxa"/>
          </w:tcPr>
          <w:p w:rsidR="00CE7BEC" w:rsidRDefault="00CE7BEC" w:rsidP="00CE7BEC">
            <w:pPr>
              <w:jc w:val="center"/>
              <w:rPr>
                <w:color w:val="000000" w:themeColor="text1"/>
              </w:rPr>
            </w:pPr>
            <w:r>
              <w:rPr>
                <w:color w:val="000000" w:themeColor="text1"/>
              </w:rPr>
              <w:t>Q3</w:t>
            </w:r>
          </w:p>
        </w:tc>
      </w:tr>
      <w:tr w:rsidR="00CE7BEC" w:rsidTr="00CE7BEC">
        <w:tc>
          <w:tcPr>
            <w:tcW w:w="2265" w:type="dxa"/>
          </w:tcPr>
          <w:p w:rsidR="00CE7BEC" w:rsidRDefault="00CD4F68" w:rsidP="00CD4F68">
            <w:pPr>
              <w:jc w:val="center"/>
              <w:rPr>
                <w:color w:val="000000" w:themeColor="text1"/>
              </w:rPr>
            </w:pPr>
            <w:r>
              <w:rPr>
                <w:color w:val="000000" w:themeColor="text1"/>
              </w:rPr>
              <w:t>1069.4</w:t>
            </w:r>
          </w:p>
        </w:tc>
        <w:tc>
          <w:tcPr>
            <w:tcW w:w="2265" w:type="dxa"/>
          </w:tcPr>
          <w:p w:rsidR="00CE7BEC" w:rsidRDefault="00CD4F68" w:rsidP="00CD4F68">
            <w:pPr>
              <w:jc w:val="center"/>
              <w:rPr>
                <w:color w:val="000000" w:themeColor="text1"/>
              </w:rPr>
            </w:pPr>
            <w:r>
              <w:rPr>
                <w:color w:val="000000" w:themeColor="text1"/>
              </w:rPr>
              <w:t>343</w:t>
            </w:r>
          </w:p>
        </w:tc>
        <w:tc>
          <w:tcPr>
            <w:tcW w:w="2266" w:type="dxa"/>
          </w:tcPr>
          <w:p w:rsidR="00CE7BEC" w:rsidRDefault="00CD4F68" w:rsidP="00CD4F68">
            <w:pPr>
              <w:jc w:val="center"/>
              <w:rPr>
                <w:color w:val="000000" w:themeColor="text1"/>
              </w:rPr>
            </w:pPr>
            <w:r>
              <w:rPr>
                <w:color w:val="000000" w:themeColor="text1"/>
              </w:rPr>
              <w:t>729</w:t>
            </w:r>
          </w:p>
        </w:tc>
        <w:tc>
          <w:tcPr>
            <w:tcW w:w="2266" w:type="dxa"/>
          </w:tcPr>
          <w:p w:rsidR="00CE7BEC" w:rsidRDefault="00CD4F68" w:rsidP="00CD4F68">
            <w:pPr>
              <w:jc w:val="center"/>
              <w:rPr>
                <w:color w:val="000000" w:themeColor="text1"/>
              </w:rPr>
            </w:pPr>
            <w:r>
              <w:rPr>
                <w:color w:val="000000" w:themeColor="text1"/>
              </w:rPr>
              <w:t>1276</w:t>
            </w:r>
            <w:bookmarkStart w:id="0" w:name="_GoBack"/>
            <w:bookmarkEnd w:id="0"/>
          </w:p>
        </w:tc>
      </w:tr>
    </w:tbl>
    <w:p w:rsidR="00CE7BEC" w:rsidRDefault="00CE7BEC" w:rsidP="00CE7BEC">
      <w:pPr>
        <w:rPr>
          <w:color w:val="000000" w:themeColor="text1"/>
        </w:rPr>
      </w:pPr>
    </w:p>
    <w:p w:rsidR="00CD4F68" w:rsidRPr="00CE7BEC" w:rsidRDefault="00CD4F68" w:rsidP="00CE7BEC">
      <w:pPr>
        <w:rPr>
          <w:color w:val="000000" w:themeColor="text1"/>
        </w:rPr>
      </w:pPr>
      <w:r w:rsidRPr="00CD4F68">
        <w:rPr>
          <w:color w:val="000000" w:themeColor="text1"/>
        </w:rPr>
        <w:t>Cette base de données recense les estimations liées aux revenus des ménages dans différents quartiers, en distinguant ceux ayant un revenu salarial de ceux n'en ayant pas. Chaque ligne représente un quartier avec des estimations totales, des répartitions selon la source de revenus (avec ou sans salaire), et les marges d'erreur associées. La variable quantitative la plus importante est "</w:t>
      </w:r>
      <w:proofErr w:type="spellStart"/>
      <w:proofErr w:type="gramStart"/>
      <w:r w:rsidRPr="00CD4F68">
        <w:rPr>
          <w:color w:val="000000" w:themeColor="text1"/>
        </w:rPr>
        <w:t>Estimate</w:t>
      </w:r>
      <w:proofErr w:type="spellEnd"/>
      <w:r w:rsidRPr="00CD4F68">
        <w:rPr>
          <w:color w:val="000000" w:themeColor="text1"/>
        </w:rPr>
        <w:t>;</w:t>
      </w:r>
      <w:proofErr w:type="gramEnd"/>
      <w:r w:rsidRPr="00CD4F68">
        <w:rPr>
          <w:color w:val="000000" w:themeColor="text1"/>
        </w:rPr>
        <w:t xml:space="preserve"> Total: - </w:t>
      </w:r>
      <w:proofErr w:type="spellStart"/>
      <w:r w:rsidRPr="00CD4F68">
        <w:rPr>
          <w:color w:val="000000" w:themeColor="text1"/>
        </w:rPr>
        <w:t>With</w:t>
      </w:r>
      <w:proofErr w:type="spellEnd"/>
      <w:r w:rsidRPr="00CD4F68">
        <w:rPr>
          <w:color w:val="000000" w:themeColor="text1"/>
        </w:rPr>
        <w:t xml:space="preserve"> </w:t>
      </w:r>
      <w:proofErr w:type="spellStart"/>
      <w:r w:rsidRPr="00CD4F68">
        <w:rPr>
          <w:color w:val="000000" w:themeColor="text1"/>
        </w:rPr>
        <w:t>wage</w:t>
      </w:r>
      <w:proofErr w:type="spellEnd"/>
      <w:r w:rsidRPr="00CD4F68">
        <w:rPr>
          <w:color w:val="000000" w:themeColor="text1"/>
        </w:rPr>
        <w:t xml:space="preserve"> or </w:t>
      </w:r>
      <w:proofErr w:type="spellStart"/>
      <w:r w:rsidRPr="00CD4F68">
        <w:rPr>
          <w:color w:val="000000" w:themeColor="text1"/>
        </w:rPr>
        <w:t>salary</w:t>
      </w:r>
      <w:proofErr w:type="spellEnd"/>
      <w:r w:rsidRPr="00CD4F68">
        <w:rPr>
          <w:color w:val="000000" w:themeColor="text1"/>
        </w:rPr>
        <w:t xml:space="preserve"> </w:t>
      </w:r>
      <w:proofErr w:type="spellStart"/>
      <w:r w:rsidRPr="00CD4F68">
        <w:rPr>
          <w:color w:val="000000" w:themeColor="text1"/>
        </w:rPr>
        <w:t>income</w:t>
      </w:r>
      <w:proofErr w:type="spellEnd"/>
      <w:r w:rsidRPr="00CD4F68">
        <w:rPr>
          <w:color w:val="000000" w:themeColor="text1"/>
        </w:rPr>
        <w:t>", qui indique le nombre estimé de ménages ayant un revenu salarial. Elle est centrale car elle permet d'évaluer la part active économiquement dans chaque quartier, une donnée clé pour l'analyse socio-économique locale.</w:t>
      </w:r>
    </w:p>
    <w:p w:rsidR="00CE7BEC" w:rsidRPr="00CE7BEC" w:rsidRDefault="00CE7BEC" w:rsidP="00CE7BEC"/>
    <w:p w:rsidR="00CE7BEC" w:rsidRDefault="00CE7BEC" w:rsidP="00B261FE"/>
    <w:p w:rsidR="00CE7BEC" w:rsidRDefault="00CE7BEC" w:rsidP="00B261FE">
      <w:pPr>
        <w:rPr>
          <w:b/>
        </w:rPr>
      </w:pPr>
    </w:p>
    <w:p w:rsidR="00CE7BEC" w:rsidRPr="007E60F5" w:rsidRDefault="00CE7BEC" w:rsidP="00B261FE">
      <w:pPr>
        <w:rPr>
          <w:b/>
        </w:rPr>
      </w:pPr>
    </w:p>
    <w:sectPr w:rsidR="00CE7BEC" w:rsidRPr="007E6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74"/>
    <w:rsid w:val="001352C6"/>
    <w:rsid w:val="00753974"/>
    <w:rsid w:val="007E60F5"/>
    <w:rsid w:val="00822500"/>
    <w:rsid w:val="00B261FE"/>
    <w:rsid w:val="00CD4F68"/>
    <w:rsid w:val="00CE7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0EF1"/>
  <w15:chartTrackingRefBased/>
  <w15:docId w15:val="{6DD20CDD-C03F-4FF5-B780-C6DCF888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5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7B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06455">
      <w:bodyDiv w:val="1"/>
      <w:marLeft w:val="0"/>
      <w:marRight w:val="0"/>
      <w:marTop w:val="0"/>
      <w:marBottom w:val="0"/>
      <w:divBdr>
        <w:top w:val="none" w:sz="0" w:space="0" w:color="auto"/>
        <w:left w:val="none" w:sz="0" w:space="0" w:color="auto"/>
        <w:bottom w:val="none" w:sz="0" w:space="0" w:color="auto"/>
        <w:right w:val="none" w:sz="0" w:space="0" w:color="auto"/>
      </w:divBdr>
      <w:divsChild>
        <w:div w:id="413405543">
          <w:marLeft w:val="0"/>
          <w:marRight w:val="0"/>
          <w:marTop w:val="0"/>
          <w:marBottom w:val="0"/>
          <w:divBdr>
            <w:top w:val="none" w:sz="0" w:space="0" w:color="auto"/>
            <w:left w:val="none" w:sz="0" w:space="0" w:color="auto"/>
            <w:bottom w:val="none" w:sz="0" w:space="0" w:color="auto"/>
            <w:right w:val="none" w:sz="0" w:space="0" w:color="auto"/>
          </w:divBdr>
          <w:divsChild>
            <w:div w:id="1088771112">
              <w:marLeft w:val="0"/>
              <w:marRight w:val="0"/>
              <w:marTop w:val="0"/>
              <w:marBottom w:val="0"/>
              <w:divBdr>
                <w:top w:val="none" w:sz="0" w:space="0" w:color="auto"/>
                <w:left w:val="none" w:sz="0" w:space="0" w:color="auto"/>
                <w:bottom w:val="none" w:sz="0" w:space="0" w:color="auto"/>
                <w:right w:val="none" w:sz="0" w:space="0" w:color="auto"/>
              </w:divBdr>
              <w:divsChild>
                <w:div w:id="385840605">
                  <w:marLeft w:val="0"/>
                  <w:marRight w:val="0"/>
                  <w:marTop w:val="0"/>
                  <w:marBottom w:val="0"/>
                  <w:divBdr>
                    <w:top w:val="none" w:sz="0" w:space="0" w:color="auto"/>
                    <w:left w:val="none" w:sz="0" w:space="0" w:color="auto"/>
                    <w:bottom w:val="none" w:sz="0" w:space="0" w:color="auto"/>
                    <w:right w:val="none" w:sz="0" w:space="0" w:color="auto"/>
                  </w:divBdr>
                  <w:divsChild>
                    <w:div w:id="1891577783">
                      <w:marLeft w:val="0"/>
                      <w:marRight w:val="0"/>
                      <w:marTop w:val="0"/>
                      <w:marBottom w:val="0"/>
                      <w:divBdr>
                        <w:top w:val="none" w:sz="0" w:space="0" w:color="auto"/>
                        <w:left w:val="none" w:sz="0" w:space="0" w:color="auto"/>
                        <w:bottom w:val="none" w:sz="0" w:space="0" w:color="auto"/>
                        <w:right w:val="none" w:sz="0" w:space="0" w:color="auto"/>
                      </w:divBdr>
                      <w:divsChild>
                        <w:div w:id="872499688">
                          <w:marLeft w:val="0"/>
                          <w:marRight w:val="0"/>
                          <w:marTop w:val="0"/>
                          <w:marBottom w:val="0"/>
                          <w:divBdr>
                            <w:top w:val="none" w:sz="0" w:space="0" w:color="auto"/>
                            <w:left w:val="none" w:sz="0" w:space="0" w:color="auto"/>
                            <w:bottom w:val="none" w:sz="0" w:space="0" w:color="auto"/>
                            <w:right w:val="none" w:sz="0" w:space="0" w:color="auto"/>
                          </w:divBdr>
                          <w:divsChild>
                            <w:div w:id="14977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82716">
      <w:bodyDiv w:val="1"/>
      <w:marLeft w:val="0"/>
      <w:marRight w:val="0"/>
      <w:marTop w:val="0"/>
      <w:marBottom w:val="0"/>
      <w:divBdr>
        <w:top w:val="none" w:sz="0" w:space="0" w:color="auto"/>
        <w:left w:val="none" w:sz="0" w:space="0" w:color="auto"/>
        <w:bottom w:val="none" w:sz="0" w:space="0" w:color="auto"/>
        <w:right w:val="none" w:sz="0" w:space="0" w:color="auto"/>
      </w:divBdr>
      <w:divsChild>
        <w:div w:id="621615607">
          <w:marLeft w:val="0"/>
          <w:marRight w:val="0"/>
          <w:marTop w:val="0"/>
          <w:marBottom w:val="0"/>
          <w:divBdr>
            <w:top w:val="none" w:sz="0" w:space="0" w:color="auto"/>
            <w:left w:val="none" w:sz="0" w:space="0" w:color="auto"/>
            <w:bottom w:val="none" w:sz="0" w:space="0" w:color="auto"/>
            <w:right w:val="none" w:sz="0" w:space="0" w:color="auto"/>
          </w:divBdr>
          <w:divsChild>
            <w:div w:id="262299445">
              <w:marLeft w:val="0"/>
              <w:marRight w:val="0"/>
              <w:marTop w:val="0"/>
              <w:marBottom w:val="0"/>
              <w:divBdr>
                <w:top w:val="none" w:sz="0" w:space="0" w:color="auto"/>
                <w:left w:val="none" w:sz="0" w:space="0" w:color="auto"/>
                <w:bottom w:val="none" w:sz="0" w:space="0" w:color="auto"/>
                <w:right w:val="none" w:sz="0" w:space="0" w:color="auto"/>
              </w:divBdr>
              <w:divsChild>
                <w:div w:id="1221864258">
                  <w:marLeft w:val="0"/>
                  <w:marRight w:val="0"/>
                  <w:marTop w:val="0"/>
                  <w:marBottom w:val="0"/>
                  <w:divBdr>
                    <w:top w:val="none" w:sz="0" w:space="0" w:color="auto"/>
                    <w:left w:val="none" w:sz="0" w:space="0" w:color="auto"/>
                    <w:bottom w:val="none" w:sz="0" w:space="0" w:color="auto"/>
                    <w:right w:val="none" w:sz="0" w:space="0" w:color="auto"/>
                  </w:divBdr>
                  <w:divsChild>
                    <w:div w:id="137187172">
                      <w:marLeft w:val="0"/>
                      <w:marRight w:val="0"/>
                      <w:marTop w:val="0"/>
                      <w:marBottom w:val="0"/>
                      <w:divBdr>
                        <w:top w:val="none" w:sz="0" w:space="0" w:color="auto"/>
                        <w:left w:val="none" w:sz="0" w:space="0" w:color="auto"/>
                        <w:bottom w:val="none" w:sz="0" w:space="0" w:color="auto"/>
                        <w:right w:val="none" w:sz="0" w:space="0" w:color="auto"/>
                      </w:divBdr>
                      <w:divsChild>
                        <w:div w:id="568031414">
                          <w:marLeft w:val="0"/>
                          <w:marRight w:val="0"/>
                          <w:marTop w:val="0"/>
                          <w:marBottom w:val="0"/>
                          <w:divBdr>
                            <w:top w:val="none" w:sz="0" w:space="0" w:color="auto"/>
                            <w:left w:val="none" w:sz="0" w:space="0" w:color="auto"/>
                            <w:bottom w:val="none" w:sz="0" w:space="0" w:color="auto"/>
                            <w:right w:val="none" w:sz="0" w:space="0" w:color="auto"/>
                          </w:divBdr>
                          <w:divsChild>
                            <w:div w:id="8078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09517">
      <w:bodyDiv w:val="1"/>
      <w:marLeft w:val="0"/>
      <w:marRight w:val="0"/>
      <w:marTop w:val="0"/>
      <w:marBottom w:val="0"/>
      <w:divBdr>
        <w:top w:val="none" w:sz="0" w:space="0" w:color="auto"/>
        <w:left w:val="none" w:sz="0" w:space="0" w:color="auto"/>
        <w:bottom w:val="none" w:sz="0" w:space="0" w:color="auto"/>
        <w:right w:val="none" w:sz="0" w:space="0" w:color="auto"/>
      </w:divBdr>
    </w:div>
    <w:div w:id="672150978">
      <w:bodyDiv w:val="1"/>
      <w:marLeft w:val="0"/>
      <w:marRight w:val="0"/>
      <w:marTop w:val="0"/>
      <w:marBottom w:val="0"/>
      <w:divBdr>
        <w:top w:val="none" w:sz="0" w:space="0" w:color="auto"/>
        <w:left w:val="none" w:sz="0" w:space="0" w:color="auto"/>
        <w:bottom w:val="none" w:sz="0" w:space="0" w:color="auto"/>
        <w:right w:val="none" w:sz="0" w:space="0" w:color="auto"/>
      </w:divBdr>
    </w:div>
    <w:div w:id="1380862658">
      <w:bodyDiv w:val="1"/>
      <w:marLeft w:val="0"/>
      <w:marRight w:val="0"/>
      <w:marTop w:val="0"/>
      <w:marBottom w:val="0"/>
      <w:divBdr>
        <w:top w:val="none" w:sz="0" w:space="0" w:color="auto"/>
        <w:left w:val="none" w:sz="0" w:space="0" w:color="auto"/>
        <w:bottom w:val="none" w:sz="0" w:space="0" w:color="auto"/>
        <w:right w:val="none" w:sz="0" w:space="0" w:color="auto"/>
      </w:divBdr>
    </w:div>
    <w:div w:id="20257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678</Words>
  <Characters>3730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Educatif Péri</dc:creator>
  <cp:keywords/>
  <dc:description/>
  <cp:lastModifiedBy>Educatif Péri</cp:lastModifiedBy>
  <cp:revision>1</cp:revision>
  <dcterms:created xsi:type="dcterms:W3CDTF">2024-11-20T01:47:00Z</dcterms:created>
  <dcterms:modified xsi:type="dcterms:W3CDTF">2024-11-20T03:19:00Z</dcterms:modified>
</cp:coreProperties>
</file>