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AWS -EC2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Elastic Compute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60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25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Key-Pair 👍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18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color w:val="eef0ff"/>
          <w:sz w:val="27"/>
          <w:szCs w:val="27"/>
          <w:shd w:fill="1f1f1f" w:val="clear"/>
          <w:rtl w:val="0"/>
        </w:rPr>
        <w:t xml:space="preserve">An IPv4 address is </w:t>
      </w:r>
      <w:r w:rsidDel="00000000" w:rsidR="00000000" w:rsidRPr="00000000">
        <w:rPr>
          <w:b w:val="1"/>
          <w:sz w:val="27"/>
          <w:szCs w:val="27"/>
          <w:rtl w:val="0"/>
        </w:rPr>
        <w:t xml:space="preserve">a 32-bit number that uniquely identifies a network interface on a machine.</w:t>
      </w:r>
    </w:p>
    <w:p w:rsidR="00000000" w:rsidDel="00000000" w:rsidP="00000000" w:rsidRDefault="00000000" w:rsidRPr="00000000" w14:paraId="00000011">
      <w:pPr>
        <w:rPr>
          <w:b w:val="1"/>
          <w:color w:val="eef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IPv4 addresses are made up of two parts: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prefix: Specifies the unique number assigned to a network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number: Uniquely identifies a host within a network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b w:val="1"/>
          <w:color w:val="eef0ff"/>
          <w:sz w:val="27"/>
          <w:szCs w:val="27"/>
          <w:shd w:fill="1f1f1f" w:val="clear"/>
          <w:rtl w:val="0"/>
        </w:rPr>
        <w:t xml:space="preserve">An IPv6 address is a 128-bit alphanumeric value that identifies a device in an Internet Protocol Version 6 (IPv6) network. IPv6 is an advanced networking standard that allows for a much larger number of unique IP addresses than the older IPv4 standard.</w:t>
      </w:r>
    </w:p>
    <w:p w:rsidR="00000000" w:rsidDel="00000000" w:rsidP="00000000" w:rsidRDefault="00000000" w:rsidRPr="00000000" w14:paraId="0000001A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b w:val="1"/>
          <w:color w:val="eef0ff"/>
          <w:sz w:val="27"/>
          <w:szCs w:val="27"/>
          <w:shd w:fill="1f1f1f" w:val="clear"/>
        </w:rPr>
        <w:drawing>
          <wp:inline distB="114300" distT="114300" distL="114300" distR="114300">
            <wp:extent cx="5731200" cy="1689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Difference between Public and Private IPv4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IPv4 addresses are routable on the internet and assigned by IANA, allowing direct access from any device online.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Private IPv4 addresses are used within local networks and are not routable on the internet, falling within specific ranges (e.g., 192.168.x.x).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020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Public Hostname: Accessible from the internet (e.g., </w:t>
      </w:r>
      <w:r w:rsidDel="00000000" w:rsidR="00000000" w:rsidRPr="00000000">
        <w:rPr>
          <w:rFonts w:ascii="Courier New" w:cs="Courier New" w:eastAsia="Courier New" w:hAnsi="Courier New"/>
          <w:color w:val="f3f3f3"/>
          <w:sz w:val="19"/>
          <w:szCs w:val="19"/>
          <w:rtl w:val="0"/>
        </w:rPr>
        <w:t xml:space="preserve">ec2-203-0-113-25.compute-1.amazonaws.com</w:t>
      </w: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02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Private Hostname: Accessible only within the VPC (e.g., </w:t>
      </w:r>
      <w:r w:rsidDel="00000000" w:rsidR="00000000" w:rsidRPr="00000000">
        <w:rPr>
          <w:rFonts w:ascii="Courier New" w:cs="Courier New" w:eastAsia="Courier New" w:hAnsi="Courier New"/>
          <w:color w:val="f3f3f3"/>
          <w:sz w:val="19"/>
          <w:szCs w:val="19"/>
          <w:rtl w:val="0"/>
        </w:rPr>
        <w:t xml:space="preserve">ip-10-0-1-23.ec2.internal</w:t>
      </w: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020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Private IP DNS Name: Resolves to the private IP (e.g., </w:t>
      </w:r>
      <w:r w:rsidDel="00000000" w:rsidR="00000000" w:rsidRPr="00000000">
        <w:rPr>
          <w:rFonts w:ascii="Courier New" w:cs="Courier New" w:eastAsia="Courier New" w:hAnsi="Courier New"/>
          <w:color w:val="f3f3f3"/>
          <w:sz w:val="19"/>
          <w:szCs w:val="19"/>
          <w:rtl w:val="0"/>
        </w:rPr>
        <w:t xml:space="preserve">ip-10-0-1-23.ec2.internal</w:t>
      </w:r>
      <w:r w:rsidDel="00000000" w:rsidR="00000000" w:rsidRPr="00000000">
        <w:rPr>
          <w:rFonts w:ascii="Microsoft Yahei" w:cs="Microsoft Yahei" w:eastAsia="Microsoft Yahei" w:hAnsi="Microsoft Yahei"/>
          <w:color w:val="f3f3f3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What’s VPC?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VPC (Virtual Private Cloud) is a virtual network dedicated to your AWS account. It allows you to launch AWS resources in a logically isolated environment.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can define your own network configuration, including IP address ranges, subnets, route tables, and network gateways.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AMI: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0288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 AMI (Amazon Machine Image) is a pre-configured template used to create virtual machines (EC2 instances) on AWS. It contains the operating system, application server, and applications required to launch an instance.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Connection: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ssh -i /path/to/your-key.pem ec2-user@your-ec2-public-dns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-   @your-ec2-public-dns: The public DNS or IP address of your EC2 instance.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Changing Permissions: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chmod 400 /path/to/ec2-learning.pem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Windows: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395538" cy="290173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90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Some Commands: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/etc/os-release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Know CPU Details: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882534" cy="15228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534" cy="152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command df -h is used in Unix/Linux systems to display information about disk space usage in a human-readable format.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471738" cy="146621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46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INSTALLING NGINX </w:t>
      </w:r>
      <w:r w:rsidDel="00000000" w:rsidR="00000000" w:rsidRPr="00000000">
        <w:rPr>
          <w:rtl w:val="0"/>
        </w:rPr>
        <w:t xml:space="preserve">⚒️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-i : it opens a new shell with root user privileges, providing a login environment as the root user.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 : refreshes the package list for upgrades on Debian-based systems.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nginx : installs the Nginx web server on Debian-based systems.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nginx status : checks the current status of the Nginx service, indicating whether it is running, stopped, or inactive. </w:t>
      </w: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localhost :  sends an HTTP request to the local server (localhost) and displays the response, typically the content served by a web server running on the same machine.  </w:t>
      </w:r>
      <w:r w:rsidDel="00000000" w:rsidR="00000000" w:rsidRPr="00000000">
        <w:rPr/>
        <w:drawing>
          <wp:inline distB="114300" distT="114300" distL="114300" distR="114300">
            <wp:extent cx="3361081" cy="202200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081" cy="202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AWS Security Groups act as virtual firewalls for your EC2 instances to control inbound and outbound traffic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Here’s a brief overview: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Stateful: If you allow an incoming request from an IP, the response is automatically allowed, regardless of outbound rules.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Rules: You define rules based 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Protocol: TCP, UDP, ICMP, etc.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Port Range: Specific ports or ranges (e.g., 22 for SSH, 80 for HTTP).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Source/Destination: IP addresses or CIDR blocks (e.g., 0.0.0.0/0 for all IPs).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Default Security Group: Each VPC has a default security group that allows all outbound traffic and no inbound traffic.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Multiple Security Groups: You can assign multiple security groups to an instance, and the rules are aggregated.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Allowing SSH access from specific IPs.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Restricting web traffic to certain ports.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Managing access for different application tiers (web, app, database).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Management: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Security groups can be modified at any time, and changes take effect immediately.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main difference between the HTTP and HTTPS port numbers is that HTTP uses port 80, while HTTPS uses port 443: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Port 22 is used for Secure Shell (SSH) communication,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PLANS: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bw31gkqcyc6j" w:id="0"/>
      <w:bookmarkEnd w:id="0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 Instance Metadata With UserData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curl 169.254.169.254 is used to make an HTTP request to the IP address 169.254.169.254, which is commonly associated with the AWS Instance Metadata Service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Here are the five most important curl commands to retrieve metadata from the AWS EC2 Instance Metadata Service: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Get Instance ID: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curl http://169.254.169.254/latest/meta-data/instance-id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Get Instance Type: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curl http://169.254.169.254/latest/meta-data/instance-type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Get Public IP Address: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curl http://169.254.169.254/latest/meta-data/public-ipv4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Get Private IP Address: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curl http://169.254.169.254/latest/meta-data/local-ipv4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Get AMI ID: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curl http://169.254.169.254/latest/meta-data/ami-id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These commands will give you essential information about your EC2 instance.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cnfussctepza" w:id="1"/>
      <w:bookmarkEnd w:id="1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Attach Elastic/Static IP to an EC2 Instance: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Click the Elastic IPs link in the EC2 Dashboard.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Click Allocate New Address and choose VPC or EC2 from the drop-down list, depending whether you're going to associate this IP with an instance in Amazon EC2-Virtual Private Cloud (VPC) or Amazon EC2-Classic, respectively.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Click Yes, Allocate to confirm your choice.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f3f3f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