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Nirmala UI" w:eastAsia="Calibri" w:hAnsi="Calibri"/>
          <w:b/>
          <w:bCs/>
          <w:color w:val="0F766E"/>
          <w:sz w:val="40"/>
          <w:szCs w:val="40"/>
        </w:rPr>
        <w:t xml:space="preserve">Sathi (সাথী): Delegated Trust for Assisted Mobile Money Users</w:t>
      </w:r>
    </w:p>
    <w:p>
      <w:pPr>
        <w:spacing w:after="60"/>
      </w:pPr>
      <w:r>
        <w:rPr>
          <w:rFonts w:ascii="Calibri" w:cs="Nirmala UI" w:eastAsia="Calibri" w:hAnsi="Calibri"/>
          <w:b/>
          <w:bCs/>
          <w:sz w:val="22"/>
          <w:szCs w:val="22"/>
        </w:rPr>
        <w:t xml:space="preserve">Team Runtime Terrors  |  Daffodil International University  |  AI DEV FEST 2026, AI Hackathon (DIU CPC × upay)</w:t>
      </w:r>
    </w:p>
    <w:p>
      <w:pPr>
        <w:spacing w:after="200"/>
      </w:pPr>
      <w:r>
        <w:rPr>
          <w:rFonts w:ascii="Calibri" w:cs="Nirmala UI" w:eastAsia="Calibri" w:hAnsi="Calibri"/>
          <w:color w:val="475569"/>
          <w:sz w:val="19"/>
          <w:szCs w:val="19"/>
        </w:rPr>
        <w:t xml:space="preserve">Primary: Track 07 Open Innovation  ·  Extended: Track 01 Trust &amp; Risk, Track 05 Merchant &amp; Agent, Track 04 Growth &amp; Campaign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7529"/>
      </w:tblGrid>
      <w:tr>
        <w:trPr>
          <w:tblHeader/>
        </w:trPr>
        <w:tc>
          <w:tcPr>
            <w:tcW w:type="dxa" w:w="2377"/>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Link</w:t>
            </w:r>
          </w:p>
        </w:tc>
        <w:tc>
          <w:tcPr>
            <w:tcW w:type="dxa" w:w="7529"/>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p>
        </w:tc>
      </w:tr>
      <w:tr>
        <w:trPr>
          <w:cantSplit/>
        </w:trPr>
        <w:tc>
          <w:tcPr>
            <w:tcW w:type="dxa" w:w="2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Repository</w:t>
            </w:r>
          </w:p>
        </w:tc>
        <w:tc>
          <w:tcPr>
            <w:tcW w:type="dxa" w:w="752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hyperlink w:history="1" r:id="rIdmgbiy6ltglo4zgzwq1alr">
              <w:r>
                <w:rPr>
                  <w:rFonts w:ascii="Calibri" w:cs="Nirmala UI" w:eastAsia="Calibri" w:hAnsi="Calibri"/>
                  <w:color w:val="0563C1"/>
                  <w:sz w:val="18"/>
                  <w:szCs w:val="18"/>
                  <w:u w:val="single"/>
                </w:rPr>
                <w:t xml:space="preserve">github.com/irfan0072/sathi-ai-dev-fest-2026</w:t>
              </w:r>
            </w:hyperlink>
          </w:p>
        </w:tc>
      </w:tr>
      <w:tr>
        <w:trPr>
          <w:cantSplit/>
        </w:trPr>
        <w:tc>
          <w:tcPr>
            <w:tcW w:type="dxa" w:w="2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Live demo (console)</w:t>
            </w:r>
          </w:p>
        </w:tc>
        <w:tc>
          <w:tcPr>
            <w:tcW w:type="dxa" w:w="752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hyperlink w:history="1" r:id="rId-jshjm6_ah-bk01pkhlim">
              <w:r>
                <w:rPr>
                  <w:rFonts w:ascii="Calibri" w:cs="Nirmala UI" w:eastAsia="Calibri" w:hAnsi="Calibri"/>
                  <w:color w:val="0563C1"/>
                  <w:sz w:val="18"/>
                  <w:szCs w:val="18"/>
                  <w:u w:val="single"/>
                </w:rPr>
                <w:t xml:space="preserve">sathi-console.onrender.com</w:t>
              </w:r>
            </w:hyperlink>
          </w:p>
        </w:tc>
      </w:tr>
      <w:tr>
        <w:trPr>
          <w:cantSplit/>
        </w:trPr>
        <w:tc>
          <w:tcPr>
            <w:tcW w:type="dxa" w:w="2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Live API (health)</w:t>
            </w:r>
          </w:p>
        </w:tc>
        <w:tc>
          <w:tcPr>
            <w:tcW w:type="dxa" w:w="752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hyperlink w:history="1" r:id="rId5-udv_hf7kz_51su6ekne">
              <w:r>
                <w:rPr>
                  <w:rFonts w:ascii="Calibri" w:cs="Nirmala UI" w:eastAsia="Calibri" w:hAnsi="Calibri"/>
                  <w:color w:val="0563C1"/>
                  <w:sz w:val="18"/>
                  <w:szCs w:val="18"/>
                  <w:u w:val="single"/>
                </w:rPr>
                <w:t xml:space="preserve">sathi-api-mqk2.onrender.com/health</w:t>
              </w:r>
            </w:hyperlink>
          </w:p>
        </w:tc>
      </w:tr>
      <w:tr>
        <w:trPr>
          <w:cantSplit/>
        </w:trPr>
        <w:tc>
          <w:tcPr>
            <w:tcW w:type="dxa" w:w="2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Demo video</w:t>
            </w:r>
          </w:p>
        </w:tc>
        <w:tc>
          <w:tcPr>
            <w:tcW w:type="dxa" w:w="752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Link to be added at submission</w:t>
            </w:r>
          </w:p>
        </w:tc>
      </w:tr>
      <w:tr>
        <w:trPr>
          <w:cantSplit/>
        </w:trPr>
        <w:tc>
          <w:tcPr>
            <w:tcW w:type="dxa" w:w="2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Demo sign-in</w:t>
            </w:r>
          </w:p>
        </w:tc>
        <w:tc>
          <w:tcPr>
            <w:tcW w:type="dxa" w:w="752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Pick a role on the sign-in screen; the public synthetic PIN is filled in (agent 1234, customer 5678, supervisor 3456, super admin 7890, analyst 9012)</w:t>
            </w:r>
          </w:p>
        </w:tc>
      </w:tr>
    </w:tbl>
    <w:p>
      <w:pPr>
        <w:pBdr>
          <w:left w:val="single" w:color="B45309" w:sz="18" w:space="8"/>
        </w:pBdr>
        <w:spacing w:after="200" w:before="160"/>
      </w:pPr>
      <w:r>
        <w:rPr>
          <w:rFonts w:ascii="Calibri" w:cs="Nirmala UI" w:eastAsia="Calibri" w:hAnsi="Calibri"/>
          <w:i/>
          <w:iCs/>
          <w:sz w:val="18"/>
          <w:szCs w:val="18"/>
        </w:rPr>
        <w:t xml:space="preserve">All customers, agents and transactions are synthetic. Financial figures are ASSUMPTIONS, not upay figures. The AI only recommends; a person makes every decision.</w:t>
      </w:r>
    </w:p>
    <w:p>
      <w:r>
        <w:rPr>
          <w:rFonts w:ascii="Calibri" w:cs="Nirmala UI" w:eastAsia="Calibri" w:hAnsi="Calibri"/>
          <w:b/>
          <w:bCs/>
          <w:color w:val="0F766E"/>
          <w:sz w:val="24"/>
          <w:szCs w:val="24"/>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rPr>
          <w:rFonts w:ascii="Calibri" w:cs="Nirmala UI" w:eastAsia="Calibri" w:hAnsi="Calibri"/>
        </w:rPr>
        <w:t xml:space="preserve">1. Summary</w:t>
      </w:r>
    </w:p>
    <w:p>
      <w:pPr>
        <w:spacing w:after="120"/>
      </w:pPr>
      <w:r>
        <w:rPr>
          <w:rFonts w:ascii="Calibri" w:cs="Nirmala UI" w:eastAsia="Calibri" w:hAnsi="Calibri"/>
          <w:b/>
          <w:bCs/>
        </w:rPr>
        <w:t xml:space="preserve">Problem.</w:t>
      </w:r>
      <w:r>
        <w:rPr>
          <w:rFonts w:ascii="Calibri" w:cs="Nirmala UI" w:eastAsia="Calibri" w:hAnsi="Calibri"/>
        </w:rPr>
        <w:t xml:space="preserve"> Millions of Bangladeshi mobile-money customers (older people, allowance recipients, first-time rural users) cannot cash out alone. They hand their phone and PIN to an agent, who can quietly give less cash, overcharge the fee or reuse the PIN, and the customer rarely notices or reports it.</w:t>
      </w:r>
    </w:p>
    <w:p>
      <w:pPr>
        <w:spacing w:after="120"/>
      </w:pPr>
      <w:r>
        <w:rPr>
          <w:rFonts w:ascii="Calibri" w:cs="Nirmala UI" w:eastAsia="Calibri" w:hAnsi="Calibri"/>
          <w:b/>
          <w:bCs/>
        </w:rPr>
        <w:t xml:space="preserve">Solution.</w:t>
      </w:r>
      <w:r>
        <w:rPr>
          <w:rFonts w:ascii="Calibri" w:cs="Nirmala UI" w:eastAsia="Calibri" w:hAnsi="Calibri"/>
        </w:rPr>
        <w:t xml:space="preserve"> Sathi calls the customer on their own phone right after every assisted cash-out and asks them to type the cash they actually received; a mismatch, a silent help code or a missed call goes to a human supervisor with AI-ranked reasons. Around this confirmation loop, trained models find customers who need protection, rank risky agents, plan agent cash and outreach, and warn customers before they pay a number named in community scam alerts.</w:t>
      </w:r>
    </w:p>
    <w:p>
      <w:pPr>
        <w:spacing w:after="120"/>
      </w:pPr>
      <w:r>
        <w:rPr>
          <w:rFonts w:ascii="Calibri" w:cs="Nirmala UI" w:eastAsia="Calibri" w:hAnsi="Calibri"/>
          <w:b/>
          <w:bCs/>
        </w:rPr>
        <w:t xml:space="preserve">Headline results (synthetic, reproducible, held-out test):</w:t>
      </w:r>
    </w:p>
    <w:p>
      <w:pPr>
        <w:pStyle w:val="ListParagraph"/>
        <w:numPr>
          <w:ilvl w:val="0"/>
          <w:numId w:val="2"/>
        </w:numPr>
        <w:spacing w:after="60"/>
      </w:pPr>
      <w:r>
        <w:rPr>
          <w:rFonts w:ascii="Calibri" w:cs="Nirmala UI" w:eastAsia="Calibri" w:hAnsi="Calibri"/>
          <w:b/>
          <w:bCs/>
        </w:rPr>
        <w:t xml:space="preserve">Assisted-customer model: PR-AUC 0.809 vs 0.697</w:t>
      </w:r>
      <w:r>
        <w:rPr>
          <w:rFonts w:ascii="Calibri" w:cs="Nirmala UI" w:eastAsia="Calibri" w:hAnsi="Calibri"/>
        </w:rPr>
        <w:t xml:space="preserve"> for the rule baseline; precision </w:t>
      </w:r>
      <w:r>
        <w:rPr>
          <w:rFonts w:ascii="Calibri" w:cs="Nirmala UI" w:eastAsia="Calibri" w:hAnsi="Calibri"/>
          <w:b/>
          <w:bCs/>
        </w:rPr>
        <w:t xml:space="preserve">0.83</w:t>
      </w:r>
      <w:r>
        <w:rPr>
          <w:rFonts w:ascii="Calibri" w:cs="Nirmala UI" w:eastAsia="Calibri" w:hAnsi="Calibri"/>
        </w:rPr>
        <w:t xml:space="preserve"> and recall </w:t>
      </w:r>
      <w:r>
        <w:rPr>
          <w:rFonts w:ascii="Calibri" w:cs="Nirmala UI" w:eastAsia="Calibri" w:hAnsi="Calibri"/>
          <w:b/>
          <w:bCs/>
        </w:rPr>
        <w:t xml:space="preserve">0.89</w:t>
      </w:r>
      <w:r>
        <w:rPr>
          <w:rFonts w:ascii="Calibri" w:cs="Nirmala UI" w:eastAsia="Calibri" w:hAnsi="Calibri"/>
        </w:rPr>
        <w:t xml:space="preserve"> (rules: 0.55 / 0.75).</w:t>
      </w:r>
    </w:p>
    <w:p>
      <w:pPr>
        <w:pStyle w:val="ListParagraph"/>
        <w:numPr>
          <w:ilvl w:val="0"/>
          <w:numId w:val="2"/>
        </w:numPr>
        <w:spacing w:after="60"/>
      </w:pPr>
      <w:r>
        <w:rPr>
          <w:rFonts w:ascii="Calibri" w:cs="Nirmala UI" w:eastAsia="Calibri" w:hAnsi="Calibri"/>
          <w:b/>
          <w:bCs/>
        </w:rPr>
        <w:t xml:space="preserve">Agent skimming detector: 2 of 2 injected skimmers found, 0 of 4 honest high-volume agents wrongly flagged</w:t>
      </w:r>
      <w:r>
        <w:rPr>
          <w:rFonts w:ascii="Calibri" w:cs="Nirmala UI" w:eastAsia="Calibri" w:hAnsi="Calibri"/>
        </w:rPr>
        <w:t xml:space="preserve"> (fee rule: 0 of 2). Small denominators.</w:t>
      </w:r>
    </w:p>
    <w:p>
      <w:pPr>
        <w:pStyle w:val="ListParagraph"/>
        <w:numPr>
          <w:ilvl w:val="0"/>
          <w:numId w:val="2"/>
        </w:numPr>
        <w:spacing w:after="60"/>
      </w:pPr>
      <w:r>
        <w:rPr>
          <w:rFonts w:ascii="Calibri" w:cs="Nirmala UI" w:eastAsia="Calibri" w:hAnsi="Calibri"/>
          <w:b/>
          <w:bCs/>
        </w:rPr>
        <w:t xml:space="preserve">Working live system:</w:t>
      </w:r>
      <w:r>
        <w:rPr>
          <w:rFonts w:ascii="Calibri" w:cs="Nirmala UI" w:eastAsia="Calibri" w:hAnsi="Calibri"/>
        </w:rPr>
        <w:t xml:space="preserve"> confirmation call reaches the customer handset in about 3 seconds; tested at national scale with </w:t>
      </w:r>
      <w:r>
        <w:rPr>
          <w:rFonts w:ascii="Calibri" w:cs="Nirmala UI" w:eastAsia="Calibri" w:hAnsi="Calibri"/>
          <w:b/>
          <w:bCs/>
        </w:rPr>
        <w:t xml:space="preserve">5.02 million customers and 20,301 agents</w:t>
      </w:r>
      <w:r>
        <w:rPr>
          <w:rFonts w:ascii="Calibri" w:cs="Nirmala UI" w:eastAsia="Calibri" w:hAnsi="Calibri"/>
        </w:rPr>
        <w:t xml:space="preserve">; </w:t>
      </w:r>
      <w:r>
        <w:rPr>
          <w:rFonts w:ascii="Calibri" w:cs="Nirmala UI" w:eastAsia="Calibri" w:hAnsi="Calibri"/>
          <w:b/>
          <w:bCs/>
        </w:rPr>
        <w:t xml:space="preserve">560 backend + 60 frontend automated tests pass</w:t>
      </w:r>
      <w:r>
        <w:rPr>
          <w:rFonts w:ascii="Calibri" w:cs="Nirmala UI" w:eastAsia="Calibri" w:hAnsi="Calibri"/>
        </w:rPr>
        <w:t xml:space="preserve">.</w:t>
      </w:r>
    </w:p>
    <w:p>
      <w:pPr>
        <w:pStyle w:val="Heading1"/>
      </w:pPr>
      <w:r>
        <w:rPr>
          <w:rFonts w:ascii="Calibri" w:cs="Nirmala UI" w:eastAsia="Calibri" w:hAnsi="Calibri"/>
        </w:rPr>
        <w:t xml:space="preserve">2. Problem</w:t>
      </w:r>
    </w:p>
    <w:p>
      <w:pPr>
        <w:pStyle w:val="Heading2"/>
      </w:pPr>
      <w:r>
        <w:rPr>
          <w:rFonts w:ascii="Calibri" w:cs="Nirmala UI" w:eastAsia="Calibri" w:hAnsi="Calibri"/>
        </w:rPr>
        <w:t xml:space="preserve">Who is affected, and the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2"/>
        <w:gridCol w:w="4953"/>
        <w:gridCol w:w="1981"/>
      </w:tblGrid>
      <w:tr>
        <w:trPr>
          <w:tblHeader/>
        </w:trPr>
        <w:tc>
          <w:tcPr>
            <w:tcW w:type="dxa" w:w="2972"/>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Evidence</w:t>
            </w:r>
          </w:p>
        </w:tc>
        <w:tc>
          <w:tcPr>
            <w:tcW w:type="dxa" w:w="4953"/>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Finding</w:t>
            </w:r>
          </w:p>
        </w:tc>
        <w:tc>
          <w:tcPr>
            <w:tcW w:type="dxa" w:w="1981"/>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Source and date</w:t>
            </w:r>
          </w:p>
        </w:tc>
      </w:tr>
      <w:tr>
        <w:trPr>
          <w:cantSplit/>
        </w:trPr>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Scale of MFS in Bangladesh</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239.3 million</w:t>
            </w:r>
            <w:r>
              <w:rPr>
                <w:rFonts w:ascii="Calibri" w:cs="Nirmala UI" w:eastAsia="Calibri" w:hAnsi="Calibri"/>
                <w:sz w:val="18"/>
                <w:szCs w:val="18"/>
              </w:rPr>
              <w:t xml:space="preserve"> registered MFS accounts, </w:t>
            </w:r>
            <w:r>
              <w:rPr>
                <w:rFonts w:ascii="Calibri" w:cs="Nirmala UI" w:eastAsia="Calibri" w:hAnsi="Calibri"/>
                <w:b/>
                <w:bCs/>
                <w:sz w:val="18"/>
                <w:szCs w:val="18"/>
              </w:rPr>
              <w:t xml:space="preserve">89.4 million</w:t>
            </w:r>
            <w:r>
              <w:rPr>
                <w:rFonts w:ascii="Calibri" w:cs="Nirmala UI" w:eastAsia="Calibri" w:hAnsi="Calibri"/>
                <w:sz w:val="18"/>
                <w:szCs w:val="18"/>
              </w:rPr>
              <w:t xml:space="preserve"> active, </w:t>
            </w:r>
            <w:r>
              <w:rPr>
                <w:rFonts w:ascii="Calibri" w:cs="Nirmala UI" w:eastAsia="Calibri" w:hAnsi="Calibri"/>
                <w:b/>
                <w:bCs/>
                <w:sz w:val="18"/>
                <w:szCs w:val="18"/>
              </w:rPr>
              <w:t xml:space="preserve">18.41 lakh (1.84 million) agents</w:t>
            </w:r>
            <w:r>
              <w:rPr>
                <w:rFonts w:ascii="Calibri" w:cs="Nirmala UI" w:eastAsia="Calibri" w:hAnsi="Calibri"/>
                <w:sz w:val="18"/>
                <w:szCs w:val="18"/>
              </w:rPr>
              <w:t xml:space="preserve">; monthly transactions about </w:t>
            </w:r>
            <w:r>
              <w:rPr>
                <w:rFonts w:ascii="Calibri" w:cs="Nirmala UI" w:eastAsia="Calibri" w:hAnsi="Calibri"/>
                <w:b/>
                <w:bCs/>
                <w:sz w:val="18"/>
                <w:szCs w:val="18"/>
              </w:rPr>
              <w:t xml:space="preserve">Tk 1.72 lakh crore</w:t>
            </w:r>
            <w:r>
              <w:rPr>
                <w:rFonts w:ascii="Calibri" w:cs="Nirmala UI" w:eastAsia="Calibri" w:hAnsi="Calibri"/>
                <w:sz w:val="18"/>
                <w:szCs w:val="18"/>
              </w:rPr>
              <w:t xml:space="preserve"> (January 2025).</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Bangladesh Bank data reported by </w:t>
            </w:r>
            <w:hyperlink w:history="1" r:id="rIdzakfuopwpj-tel_wo2h3w">
              <w:r>
                <w:rPr>
                  <w:rFonts w:ascii="Calibri" w:cs="Nirmala UI" w:eastAsia="Calibri" w:hAnsi="Calibri"/>
                  <w:color w:val="0563C1"/>
                  <w:sz w:val="18"/>
                  <w:szCs w:val="18"/>
                  <w:u w:val="single"/>
                </w:rPr>
                <w:t xml:space="preserve">The Financial Express</w:t>
              </w:r>
            </w:hyperlink>
            <w:r>
              <w:rPr>
                <w:rFonts w:ascii="Calibri" w:cs="Nirmala UI" w:eastAsia="Calibri" w:hAnsi="Calibri"/>
                <w:sz w:val="18"/>
                <w:szCs w:val="18"/>
              </w:rPr>
              <w:t xml:space="preserve">, 2025</w:t>
            </w:r>
          </w:p>
        </w:tc>
      </w:tr>
      <w:tr>
        <w:trPr>
          <w:cantSplit/>
        </w:trPr>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Customers depend on agents and helpers</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65.7%</w:t>
            </w:r>
            <w:r>
              <w:rPr>
                <w:rFonts w:ascii="Calibri" w:cs="Nirmala UI" w:eastAsia="Calibri" w:hAnsi="Calibri"/>
                <w:sz w:val="18"/>
                <w:szCs w:val="18"/>
              </w:rPr>
              <w:t xml:space="preserve"> of rural personal account holders relied on others to open their MFS account; </w:t>
            </w:r>
            <w:r>
              <w:rPr>
                <w:rFonts w:ascii="Calibri" w:cs="Nirmala UI" w:eastAsia="Calibri" w:hAnsi="Calibri"/>
                <w:b/>
                <w:bCs/>
                <w:sz w:val="18"/>
                <w:szCs w:val="18"/>
              </w:rPr>
              <w:t xml:space="preserve">59.0%</w:t>
            </w:r>
            <w:r>
              <w:rPr>
                <w:rFonts w:ascii="Calibri" w:cs="Nirmala UI" w:eastAsia="Calibri" w:hAnsi="Calibri"/>
                <w:sz w:val="18"/>
                <w:szCs w:val="18"/>
              </w:rPr>
              <w:t xml:space="preserve"> completed e-KYC through agents and </w:t>
            </w:r>
            <w:r>
              <w:rPr>
                <w:rFonts w:ascii="Calibri" w:cs="Nirmala UI" w:eastAsia="Calibri" w:hAnsi="Calibri"/>
                <w:b/>
                <w:bCs/>
                <w:sz w:val="18"/>
                <w:szCs w:val="18"/>
              </w:rPr>
              <w:t xml:space="preserve">10.1%</w:t>
            </w:r>
            <w:r>
              <w:rPr>
                <w:rFonts w:ascii="Calibri" w:cs="Nirmala UI" w:eastAsia="Calibri" w:hAnsi="Calibri"/>
                <w:sz w:val="18"/>
                <w:szCs w:val="18"/>
              </w:rPr>
              <w:t xml:space="preserve"> through other people. Menus are mostly English and hard for low-literacy users.</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TIB, Governance Challenges in MFS Sector, </w:t>
            </w:r>
            <w:hyperlink w:history="1" r:id="rIdrvdrvkayw7eunxohlugi4">
              <w:r>
                <w:rPr>
                  <w:rFonts w:ascii="Calibri" w:cs="Nirmala UI" w:eastAsia="Calibri" w:hAnsi="Calibri"/>
                  <w:color w:val="0563C1"/>
                  <w:sz w:val="18"/>
                  <w:szCs w:val="18"/>
                  <w:u w:val="single"/>
                </w:rPr>
                <w:t xml:space="preserve">27 May 2025</w:t>
              </w:r>
            </w:hyperlink>
            <w:r>
              <w:rPr>
                <w:rFonts w:ascii="Calibri" w:cs="Nirmala UI" w:eastAsia="Calibri" w:hAnsi="Calibri"/>
                <w:sz w:val="18"/>
                <w:szCs w:val="18"/>
              </w:rPr>
              <w:t xml:space="preserve"> (survey of 1,784 personal, 664 agent, 429 merchant account holders in 32 districts)</w:t>
            </w:r>
          </w:p>
        </w:tc>
      </w:tr>
      <w:tr>
        <w:trPr>
          <w:cantSplit/>
        </w:trPr>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Fraud is common and rarely reported</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6.3%</w:t>
            </w:r>
            <w:r>
              <w:rPr>
                <w:rFonts w:ascii="Calibri" w:cs="Nirmala UI" w:eastAsia="Calibri" w:hAnsi="Calibri"/>
                <w:sz w:val="18"/>
                <w:szCs w:val="18"/>
              </w:rPr>
              <w:t xml:space="preserve"> of individual account holders were victims of fraud or deception and </w:t>
            </w:r>
            <w:r>
              <w:rPr>
                <w:rFonts w:ascii="Calibri" w:cs="Nirmala UI" w:eastAsia="Calibri" w:hAnsi="Calibri"/>
                <w:b/>
                <w:bCs/>
                <w:sz w:val="18"/>
                <w:szCs w:val="18"/>
              </w:rPr>
              <w:t xml:space="preserve">3.6%</w:t>
            </w:r>
            <w:r>
              <w:rPr>
                <w:rFonts w:ascii="Calibri" w:cs="Nirmala UI" w:eastAsia="Calibri" w:hAnsi="Calibri"/>
                <w:sz w:val="18"/>
                <w:szCs w:val="18"/>
              </w:rPr>
              <w:t xml:space="preserve"> lost money (Tk 300 to Tk 83,000). Only </w:t>
            </w:r>
            <w:r>
              <w:rPr>
                <w:rFonts w:ascii="Calibri" w:cs="Nirmala UI" w:eastAsia="Calibri" w:hAnsi="Calibri"/>
                <w:b/>
                <w:bCs/>
                <w:sz w:val="18"/>
                <w:szCs w:val="18"/>
              </w:rPr>
              <w:t xml:space="preserve">7.6%</w:t>
            </w:r>
            <w:r>
              <w:rPr>
                <w:rFonts w:ascii="Calibri" w:cs="Nirmala UI" w:eastAsia="Calibri" w:hAnsi="Calibri"/>
                <w:sz w:val="18"/>
                <w:szCs w:val="18"/>
              </w:rPr>
              <w:t xml:space="preserve"> filed a case; </w:t>
            </w:r>
            <w:r>
              <w:rPr>
                <w:rFonts w:ascii="Calibri" w:cs="Nirmala UI" w:eastAsia="Calibri" w:hAnsi="Calibri"/>
                <w:b/>
                <w:bCs/>
                <w:sz w:val="18"/>
                <w:szCs w:val="18"/>
              </w:rPr>
              <w:t xml:space="preserve">61.9%</w:t>
            </w:r>
            <w:r>
              <w:rPr>
                <w:rFonts w:ascii="Calibri" w:cs="Nirmala UI" w:eastAsia="Calibri" w:hAnsi="Calibri"/>
                <w:sz w:val="18"/>
                <w:szCs w:val="18"/>
              </w:rPr>
              <w:t xml:space="preserve"> of complainants got no solution from the provider.</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TIB, </w:t>
            </w:r>
            <w:hyperlink w:history="1" r:id="rId3zlymmrwh72tprojyaipx">
              <w:r>
                <w:rPr>
                  <w:rFonts w:ascii="Calibri" w:cs="Nirmala UI" w:eastAsia="Calibri" w:hAnsi="Calibri"/>
                  <w:color w:val="0563C1"/>
                  <w:sz w:val="18"/>
                  <w:szCs w:val="18"/>
                  <w:u w:val="single"/>
                </w:rPr>
                <w:t xml:space="preserve">27 May 2025</w:t>
              </w:r>
            </w:hyperlink>
          </w:p>
        </w:tc>
      </w:tr>
      <w:tr>
        <w:trPr>
          <w:cantSplit/>
        </w:trPr>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PIN sharing among allowance recipients</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In 68 interviews with older adults and widows in Kurigram, many could not use their accounts alone and shared their PIN to get help; scammers exploited this (for example a Tk 1,500 cash-out after a fake lottery call). Government allowances have been paid through MFS since 2021.</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Shitol et al., International Journal of Social Welfare, </w:t>
            </w:r>
            <w:hyperlink w:history="1" r:id="rIdzu0iqgz6bpylml9qmxmzn">
              <w:r>
                <w:rPr>
                  <w:rFonts w:ascii="Calibri" w:cs="Nirmala UI" w:eastAsia="Calibri" w:hAnsi="Calibri"/>
                  <w:color w:val="0563C1"/>
                  <w:sz w:val="18"/>
                  <w:szCs w:val="18"/>
                  <w:u w:val="single"/>
                </w:rPr>
                <w:t xml:space="preserve">21 Aug 2025</w:t>
              </w:r>
            </w:hyperlink>
          </w:p>
        </w:tc>
      </w:tr>
    </w:tbl>
    <w:p>
      <w:pPr>
        <w:spacing w:after="80"/>
      </w:pPr>
    </w:p>
    <w:p>
      <w:pPr>
        <w:spacing w:after="120"/>
      </w:pPr>
      <w:r>
        <w:rPr>
          <w:rFonts w:ascii="Calibri" w:cs="Nirmala UI" w:eastAsia="Calibri" w:hAnsi="Calibri"/>
        </w:rPr>
        <w:t xml:space="preserve">These sources show the scale of agent dependence and fraud. They do not give a national skimming rate; Sathi does not claim one.</w:t>
      </w:r>
    </w:p>
    <w:p>
      <w:pPr>
        <w:pStyle w:val="Heading2"/>
      </w:pPr>
      <w:r>
        <w:rPr>
          <w:rFonts w:ascii="Calibri" w:cs="Nirmala UI" w:eastAsia="Calibri" w:hAnsi="Calibri"/>
        </w:rPr>
        <w:t xml:space="preserve">Problem statement (guideline template)</w:t>
      </w:r>
    </w:p>
    <w:p>
      <w:pPr>
        <w:pBdr>
          <w:left w:val="single" w:color="0F766E" w:sz="18" w:space="8"/>
        </w:pBdr>
        <w:shd w:fill="F0FDFA" w:color="auto" w:val="clear"/>
        <w:spacing w:after="160" w:before="80"/>
      </w:pPr>
      <w:r>
        <w:rPr>
          <w:rFonts w:ascii="Calibri" w:cs="Nirmala UI" w:eastAsia="Calibri" w:hAnsi="Calibri"/>
        </w:rPr>
        <w:t xml:space="preserve">For </w:t>
      </w:r>
      <w:r>
        <w:rPr>
          <w:rFonts w:ascii="Calibri" w:cs="Nirmala UI" w:eastAsia="Calibri" w:hAnsi="Calibri"/>
          <w:b/>
          <w:bCs/>
        </w:rPr>
        <w:t xml:space="preserve">older adults, allowance recipients and first-time rural users who need an agent to cash out</w:t>
      </w:r>
      <w:r>
        <w:rPr>
          <w:rFonts w:ascii="Calibri" w:cs="Nirmala UI" w:eastAsia="Calibri" w:hAnsi="Calibri"/>
        </w:rPr>
        <w:t xml:space="preserve">, </w:t>
      </w:r>
      <w:r>
        <w:rPr>
          <w:rFonts w:ascii="Calibri" w:cs="Nirmala UI" w:eastAsia="Calibri" w:hAnsi="Calibri"/>
          <w:b/>
          <w:bCs/>
        </w:rPr>
        <w:t xml:space="preserve">handing over their phone and PIN</w:t>
      </w:r>
      <w:r>
        <w:rPr>
          <w:rFonts w:ascii="Calibri" w:cs="Nirmala UI" w:eastAsia="Calibri" w:hAnsi="Calibri"/>
        </w:rPr>
        <w:t xml:space="preserve"> causes </w:t>
      </w:r>
      <w:r>
        <w:rPr>
          <w:rFonts w:ascii="Calibri" w:cs="Nirmala UI" w:eastAsia="Calibri" w:hAnsi="Calibri"/>
          <w:b/>
          <w:bCs/>
        </w:rPr>
        <w:t xml:space="preserve">hidden skimming, fee overcharging and later misuse that they rarely notice or report</w:t>
      </w:r>
      <w:r>
        <w:rPr>
          <w:rFonts w:ascii="Calibri" w:cs="Nirmala UI" w:eastAsia="Calibri" w:hAnsi="Calibri"/>
        </w:rPr>
        <w:t xml:space="preserve">. We will build </w:t>
      </w:r>
      <w:r>
        <w:rPr>
          <w:rFonts w:ascii="Calibri" w:cs="Nirmala UI" w:eastAsia="Calibri" w:hAnsi="Calibri"/>
          <w:b/>
          <w:bCs/>
        </w:rPr>
        <w:t xml:space="preserve">Sathi, a confirmation and risk layer</w:t>
      </w:r>
      <w:r>
        <w:rPr>
          <w:rFonts w:ascii="Calibri" w:cs="Nirmala UI" w:eastAsia="Calibri" w:hAnsi="Calibri"/>
        </w:rPr>
        <w:t xml:space="preserve"> that uses </w:t>
      </w:r>
      <w:r>
        <w:rPr>
          <w:rFonts w:ascii="Calibri" w:cs="Nirmala UI" w:eastAsia="Calibri" w:hAnsi="Calibri"/>
          <w:b/>
          <w:bCs/>
        </w:rPr>
        <w:t xml:space="preserve">cash-out ledger, app-session and agent activity data (synthetic in this prototype)</w:t>
      </w:r>
      <w:r>
        <w:rPr>
          <w:rFonts w:ascii="Calibri" w:cs="Nirmala UI" w:eastAsia="Calibri" w:hAnsi="Calibri"/>
        </w:rPr>
        <w:t xml:space="preserve"> to </w:t>
      </w:r>
      <w:r>
        <w:rPr>
          <w:rFonts w:ascii="Calibri" w:cs="Nirmala UI" w:eastAsia="Calibri" w:hAnsi="Calibri"/>
          <w:b/>
          <w:bCs/>
        </w:rPr>
        <w:t xml:space="preserve">call the customer after every assisted cash-out, route mismatches and risky agents to human review, and warn before risky payments</w:t>
      </w:r>
      <w:r>
        <w:rPr>
          <w:rFonts w:ascii="Calibri" w:cs="Nirmala UI" w:eastAsia="Calibri" w:hAnsi="Calibri"/>
        </w:rPr>
        <w:t xml:space="preserve">, with success measured by </w:t>
      </w:r>
      <w:r>
        <w:rPr>
          <w:rFonts w:ascii="Calibri" w:cs="Nirmala UI" w:eastAsia="Calibri" w:hAnsi="Calibri"/>
          <w:b/>
          <w:bCs/>
        </w:rPr>
        <w:t xml:space="preserve">the share of assisted cash-outs confirmed by the customer, the confirmed skimming events caught, and the false-flag rate on honest agents</w:t>
      </w:r>
      <w:r>
        <w:rPr>
          <w:rFonts w:ascii="Calibri" w:cs="Nirmala UI" w:eastAsia="Calibri" w:hAnsi="Calibri"/>
        </w:rPr>
        <w:t xml:space="preserve">.</w:t>
      </w:r>
    </w:p>
    <w:p>
      <w:pPr>
        <w:pStyle w:val="Heading1"/>
      </w:pPr>
      <w:r>
        <w:rPr>
          <w:rFonts w:ascii="Calibri" w:cs="Nirmala UI" w:eastAsia="Calibri" w:hAnsi="Calibri"/>
        </w:rPr>
        <w:t xml:space="preserve">3. Proposed Idea</w:t>
      </w:r>
    </w:p>
    <w:p>
      <w:pPr>
        <w:pStyle w:val="Heading2"/>
      </w:pPr>
      <w:r>
        <w:rPr>
          <w:rFonts w:ascii="Calibri" w:cs="Nirmala UI" w:eastAsia="Calibri" w:hAnsi="Calibri"/>
        </w:rPr>
        <w:t xml:space="preserve">How Sathi works, in plain language</w:t>
      </w:r>
    </w:p>
    <w:p>
      <w:pPr>
        <w:pStyle w:val="ListParagraph"/>
        <w:numPr>
          <w:ilvl w:val="0"/>
          <w:numId w:val="3"/>
        </w:numPr>
        <w:spacing w:after="60"/>
      </w:pPr>
      <w:r>
        <w:rPr>
          <w:rFonts w:ascii="Calibri" w:cs="Nirmala UI" w:eastAsia="Calibri" w:hAnsi="Calibri"/>
          <w:b/>
          <w:bCs/>
        </w:rPr>
        <w:t xml:space="preserve">The agent gives the cash and records it</w:t>
      </w:r>
      <w:r>
        <w:rPr>
          <w:rFonts w:ascii="Calibri" w:cs="Nirmala UI" w:eastAsia="Calibri" w:hAnsi="Calibri"/>
        </w:rPr>
        <w:t xml:space="preserve"> in Sathi, as they do today.</w:t>
      </w:r>
    </w:p>
    <w:p>
      <w:pPr>
        <w:pStyle w:val="ListParagraph"/>
        <w:numPr>
          <w:ilvl w:val="0"/>
          <w:numId w:val="3"/>
        </w:numPr>
        <w:spacing w:after="60"/>
      </w:pPr>
      <w:r>
        <w:rPr>
          <w:rFonts w:ascii="Calibri" w:cs="Nirmala UI" w:eastAsia="Calibri" w:hAnsi="Calibri"/>
          <w:b/>
          <w:bCs/>
        </w:rPr>
        <w:t xml:space="preserve">Sathi phones the customer</w:t>
      </w:r>
      <w:r>
        <w:rPr>
          <w:rFonts w:ascii="Calibri" w:cs="Nirmala UI" w:eastAsia="Calibri" w:hAnsi="Calibri"/>
        </w:rPr>
        <w:t xml:space="preserve"> on their own number within seconds, in Bangla or English: “How much cash did you get? Type it and press #.” The prompt never says the amount.</w:t>
      </w:r>
    </w:p>
    <w:p>
      <w:pPr>
        <w:pStyle w:val="ListParagraph"/>
        <w:numPr>
          <w:ilvl w:val="0"/>
          <w:numId w:val="3"/>
        </w:numPr>
        <w:spacing w:after="60"/>
      </w:pPr>
      <w:r>
        <w:rPr>
          <w:rFonts w:ascii="Calibri" w:cs="Nirmala UI" w:eastAsia="Calibri" w:hAnsi="Calibri"/>
          <w:b/>
          <w:bCs/>
        </w:rPr>
        <w:t xml:space="preserve">Same amount → verified.</w:t>
      </w:r>
      <w:r>
        <w:rPr>
          <w:rFonts w:ascii="Calibri" w:cs="Nirmala UI" w:eastAsia="Calibri" w:hAnsi="Calibri"/>
        </w:rPr>
        <w:t xml:space="preserve"> Nothing else happens. A different amount is asked once more (typing mistakes happen); if it is still different, the cash-out is marked </w:t>
      </w:r>
      <w:r>
        <w:rPr>
          <w:rFonts w:ascii="Calibri" w:cs="Nirmala UI" w:eastAsia="Calibri" w:hAnsi="Calibri"/>
          <w:b/>
          <w:bCs/>
        </w:rPr>
        <w:t xml:space="preserve">suspicious</w:t>
      </w:r>
      <w:r>
        <w:rPr>
          <w:rFonts w:ascii="Calibri" w:cs="Nirmala UI" w:eastAsia="Calibri" w:hAnsi="Calibri"/>
        </w:rPr>
        <w:t xml:space="preserve"> and a case opens with clear reasons.</w:t>
      </w:r>
    </w:p>
    <w:p>
      <w:pPr>
        <w:pStyle w:val="ListParagraph"/>
        <w:numPr>
          <w:ilvl w:val="0"/>
          <w:numId w:val="3"/>
        </w:numPr>
        <w:spacing w:after="60"/>
      </w:pPr>
      <w:r>
        <w:rPr>
          <w:rFonts w:ascii="Calibri" w:cs="Nirmala UI" w:eastAsia="Calibri" w:hAnsi="Calibri"/>
          <w:b/>
          <w:bCs/>
        </w:rPr>
        <w:t xml:space="preserve">Silent help code.</w:t>
      </w:r>
      <w:r>
        <w:rPr>
          <w:rFonts w:ascii="Calibri" w:cs="Nirmala UI" w:eastAsia="Calibri" w:hAnsi="Calibri"/>
        </w:rPr>
        <w:t xml:space="preserve"> A customer who is being pressured types </w:t>
      </w:r>
      <w:r>
        <w:rPr>
          <w:rFonts w:ascii="Calibri" w:cs="Nirmala UI" w:eastAsia="Calibri" w:hAnsi="Calibri"/>
          <w:b/>
          <w:bCs/>
        </w:rPr>
        <w:t xml:space="preserve">0 before the amount</w:t>
      </w:r>
      <w:r>
        <w:rPr>
          <w:rFonts w:ascii="Calibri" w:cs="Nirmala UI" w:eastAsia="Calibri" w:hAnsi="Calibri"/>
        </w:rPr>
        <w:t xml:space="preserve"> (03000). The call sounds exactly the same, but a supervisor is alerted.</w:t>
      </w:r>
    </w:p>
    <w:p>
      <w:pPr>
        <w:pStyle w:val="ListParagraph"/>
        <w:numPr>
          <w:ilvl w:val="0"/>
          <w:numId w:val="3"/>
        </w:numPr>
        <w:spacing w:after="60"/>
      </w:pPr>
      <w:r>
        <w:rPr>
          <w:rFonts w:ascii="Calibri" w:cs="Nirmala UI" w:eastAsia="Calibri" w:hAnsi="Calibri"/>
          <w:b/>
          <w:bCs/>
        </w:rPr>
        <w:t xml:space="preserve">No answer or unclear answer</w:t>
      </w:r>
      <w:r>
        <w:rPr>
          <w:rFonts w:ascii="Calibri" w:cs="Nirmala UI" w:eastAsia="Calibri" w:hAnsi="Calibri"/>
        </w:rPr>
        <w:t xml:space="preserve"> is never treated as “I did not do it”. Sathi calls back, and after a few tries a person calls by hand. Pressing </w:t>
      </w:r>
      <w:r>
        <w:rPr>
          <w:rFonts w:ascii="Calibri" w:cs="Nirmala UI" w:eastAsia="Calibri" w:hAnsi="Calibri"/>
          <w:b/>
          <w:bCs/>
        </w:rPr>
        <w:t xml:space="preserve">9</w:t>
      </w:r>
      <w:r>
        <w:rPr>
          <w:rFonts w:ascii="Calibri" w:cs="Nirmala UI" w:eastAsia="Calibri" w:hAnsi="Calibri"/>
        </w:rPr>
        <w:t xml:space="preserve"> reaches a person at any time.</w:t>
      </w:r>
    </w:p>
    <w:p>
      <w:pPr>
        <w:pStyle w:val="ListParagraph"/>
        <w:numPr>
          <w:ilvl w:val="0"/>
          <w:numId w:val="3"/>
        </w:numPr>
        <w:spacing w:after="60"/>
      </w:pPr>
      <w:r>
        <w:rPr>
          <w:rFonts w:ascii="Calibri" w:cs="Nirmala UI" w:eastAsia="Calibri" w:hAnsi="Calibri"/>
          <w:b/>
          <w:bCs/>
        </w:rPr>
        <w:t xml:space="preserve">A supervisor decides.</w:t>
      </w:r>
      <w:r>
        <w:rPr>
          <w:rFonts w:ascii="Calibri" w:cs="Nirmala UI" w:eastAsia="Calibri" w:hAnsi="Calibri"/>
        </w:rPr>
        <w:t xml:space="preserve"> AI ranks the cases and explains why; the supervisor calls the customer, writes notes and closes the case. Every step is audited.</w:t>
      </w:r>
    </w:p>
    <w:p>
      <w:pPr>
        <w:spacing w:after="120"/>
      </w:pPr>
      <w:r>
        <w:rPr>
          <w:rFonts w:ascii="Calibri" w:cs="Nirmala UI" w:eastAsia="Calibri" w:hAnsi="Calibri"/>
        </w:rPr>
        <w:t xml:space="preserve">For stronger protection, the same channel supports a </w:t>
      </w:r>
      <w:r>
        <w:rPr>
          <w:rFonts w:ascii="Calibri" w:cs="Nirmala UI" w:eastAsia="Calibri" w:hAnsi="Calibri"/>
          <w:b/>
          <w:bCs/>
        </w:rPr>
        <w:t xml:space="preserve">voice mandate</w:t>
      </w:r>
      <w:r>
        <w:rPr>
          <w:rFonts w:ascii="Calibri" w:cs="Nirmala UI" w:eastAsia="Calibri" w:hAnsi="Calibri"/>
        </w:rPr>
        <w:t xml:space="preserve">: before the cash-out, the customer approves a specific amount for a specific agent by phone, and the agent receives a one-time code that works once, for that amount, for 15 minutes.</w:t>
      </w:r>
    </w:p>
    <w:p>
      <w:pPr>
        <w:pStyle w:val="Heading2"/>
      </w:pPr>
      <w:r>
        <w:rPr>
          <w:rFonts w:ascii="Calibri" w:cs="Nirmala UI" w:eastAsia="Calibri" w:hAnsi="Calibri"/>
        </w:rPr>
        <w:t xml:space="preserve">Why a mandate and a confirmation call beat PIN sharing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3764"/>
        <w:gridCol w:w="3765"/>
      </w:tblGrid>
      <w:tr>
        <w:trPr>
          <w:tblHeader/>
        </w:trPr>
        <w:tc>
          <w:tcPr>
            <w:tcW w:type="dxa" w:w="2377"/>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Question</w:t>
            </w:r>
          </w:p>
        </w:tc>
        <w:tc>
          <w:tcPr>
            <w:tcW w:type="dxa" w:w="3764"/>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Sharing the PIN today</w:t>
            </w:r>
          </w:p>
        </w:tc>
        <w:tc>
          <w:tcPr>
            <w:tcW w:type="dxa" w:w="3765"/>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Sathi</w:t>
            </w:r>
          </w:p>
        </w:tc>
      </w:tr>
      <w:tr>
        <w:trPr>
          <w:cantSplit/>
        </w:trPr>
        <w:tc>
          <w:tcPr>
            <w:tcW w:type="dxa" w:w="2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What does the helper get?</w:t>
            </w:r>
          </w:p>
        </w:tc>
        <w:tc>
          <w:tcPr>
            <w:tcW w:type="dxa" w:w="37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Full, reusable control of the account</w:t>
            </w:r>
          </w:p>
        </w:tc>
        <w:tc>
          <w:tcPr>
            <w:tcW w:type="dxa" w:w="37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One cash-out: one amount, one agent, 15 minutes, one use</w:t>
            </w:r>
          </w:p>
        </w:tc>
      </w:tr>
      <w:tr>
        <w:trPr>
          <w:cantSplit/>
        </w:trPr>
        <w:tc>
          <w:tcPr>
            <w:tcW w:type="dxa" w:w="2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Does the customer learn the real amount?</w:t>
            </w:r>
          </w:p>
        </w:tc>
        <w:tc>
          <w:tcPr>
            <w:tcW w:type="dxa" w:w="37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Only if they check later (most do not)</w:t>
            </w:r>
          </w:p>
        </w:tc>
        <w:tc>
          <w:tcPr>
            <w:tcW w:type="dxa" w:w="37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Yes: they are asked within seconds, on their own phone</w:t>
            </w:r>
          </w:p>
        </w:tc>
      </w:tr>
      <w:tr>
        <w:trPr>
          <w:cantSplit/>
        </w:trPr>
        <w:tc>
          <w:tcPr>
            <w:tcW w:type="dxa" w:w="2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Can the helper reuse it tomorrow?</w:t>
            </w:r>
          </w:p>
        </w:tc>
        <w:tc>
          <w:tcPr>
            <w:tcW w:type="dxa" w:w="37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Yes, until the PIN is changed</w:t>
            </w:r>
          </w:p>
        </w:tc>
        <w:tc>
          <w:tcPr>
            <w:tcW w:type="dxa" w:w="37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No: codes expire and are rejected on replay</w:t>
            </w:r>
          </w:p>
        </w:tc>
      </w:tr>
      <w:tr>
        <w:trPr>
          <w:cantSplit/>
        </w:trPr>
        <w:tc>
          <w:tcPr>
            <w:tcW w:type="dxa" w:w="2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Is there evidence if something goes wrong?</w:t>
            </w:r>
          </w:p>
        </w:tc>
        <w:tc>
          <w:tcPr>
            <w:tcW w:type="dxa" w:w="37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Rarely; only 7.6% of victims file a case</w:t>
            </w:r>
          </w:p>
        </w:tc>
        <w:tc>
          <w:tcPr>
            <w:tcW w:type="dxa" w:w="37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Ledger entry, call result, case and audit trail</w:t>
            </w:r>
          </w:p>
        </w:tc>
      </w:tr>
      <w:tr>
        <w:trPr>
          <w:cantSplit/>
        </w:trPr>
        <w:tc>
          <w:tcPr>
            <w:tcW w:type="dxa" w:w="2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Can a pressured customer ask for help?</w:t>
            </w:r>
          </w:p>
        </w:tc>
        <w:tc>
          <w:tcPr>
            <w:tcW w:type="dxa" w:w="37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Not safely in front of the agent</w:t>
            </w:r>
          </w:p>
        </w:tc>
        <w:tc>
          <w:tcPr>
            <w:tcW w:type="dxa" w:w="37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Silent 0 code; the call sounds normal</w:t>
            </w:r>
          </w:p>
        </w:tc>
      </w:tr>
      <w:tr>
        <w:trPr>
          <w:cantSplit/>
        </w:trPr>
        <w:tc>
          <w:tcPr>
            <w:tcW w:type="dxa" w:w="23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Who decides?</w:t>
            </w:r>
          </w:p>
        </w:tc>
        <w:tc>
          <w:tcPr>
            <w:tcW w:type="dxa" w:w="37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Nobody reviews it</w:t>
            </w:r>
          </w:p>
        </w:tc>
        <w:tc>
          <w:tcPr>
            <w:tcW w:type="dxa" w:w="37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 supervisor, helped by AI reasons</w:t>
            </w:r>
          </w:p>
        </w:tc>
      </w:tr>
    </w:tbl>
    <w:p>
      <w:pPr>
        <w:spacing w:after="80"/>
      </w:pPr>
    </w:p>
    <w:p>
      <w:pPr>
        <w:pStyle w:val="Heading1"/>
      </w:pPr>
      <w:r>
        <w:rPr>
          <w:rFonts w:ascii="Calibri" w:cs="Nirmala UI" w:eastAsia="Calibri" w:hAnsi="Calibri"/>
        </w:rPr>
        <w:t xml:space="preserve">4. Implemented Solution</w:t>
      </w:r>
    </w:p>
    <w:p>
      <w:pPr>
        <w:pStyle w:val="Heading2"/>
      </w:pPr>
      <w:r>
        <w:rPr>
          <w:rFonts w:ascii="Calibri" w:cs="Nirmala UI" w:eastAsia="Calibri" w:hAnsi="Calibri"/>
        </w:rPr>
        <w:t xml:space="preserve">Architecture</w:t>
      </w:r>
    </w:p>
    <w:p>
      <w:pPr>
        <w:keepNext/>
        <w:jc w:val="center"/>
      </w:pPr>
      <w:r>
        <w:drawing>
          <wp:inline distT="0" distB="0" distL="0" distR="0">
            <wp:extent cx="612457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2638425"/>
                    </a:xfrm>
                    <a:prstGeom prst="rect">
                      <a:avLst/>
                    </a:prstGeom>
                  </pic:spPr>
                </pic:pic>
              </a:graphicData>
            </a:graphic>
          </wp:inline>
        </w:drawing>
      </w:r>
    </w:p>
    <w:p>
      <w:pPr>
        <w:spacing w:after="200"/>
        <w:jc w:val="center"/>
      </w:pPr>
      <w:r>
        <w:rPr>
          <w:rFonts w:ascii="Calibri" w:cs="Nirmala UI" w:eastAsia="Calibri" w:hAnsi="Calibri"/>
          <w:i/>
          <w:iCs/>
          <w:color w:val="475569"/>
          <w:sz w:val="18"/>
          <w:szCs w:val="18"/>
        </w:rPr>
        <w:t xml:space="preserve">Figure 1. Sathi architecture and the main confirmation flow.</w:t>
      </w:r>
    </w:p>
    <w:p>
      <w:pPr>
        <w:spacing w:after="120"/>
      </w:pPr>
      <w:r>
        <w:rPr>
          <w:rFonts w:ascii="Calibri" w:cs="Nirmala UI" w:eastAsia="Calibri" w:hAnsi="Calibri"/>
        </w:rPr>
        <w:t xml:space="preserve">Stack: FastAPI (Python 3.13), PostgreSQL 16, LightGBM, scikit-learn, SHAP, React 18 with Vite, Docker. Deployed on Render (managed PostgreSQL, API service, static console). Voice through Twilio or a Bangladesh JSON IVR adapter, SMS through Alpha SMS, both with simulated fallbacks. LLM wording through Gemini 2.5 Flash with GPT-4o fallback and a deterministic template.</w:t>
      </w:r>
    </w:p>
    <w:p>
      <w:pPr>
        <w:pStyle w:val="Heading2"/>
      </w:pPr>
      <w:r>
        <w:rPr>
          <w:rFonts w:ascii="Calibri" w:cs="Nirmala UI" w:eastAsia="Calibri" w:hAnsi="Calibri"/>
        </w:rPr>
        <w:t xml:space="preserve">End-to-end user flow</w:t>
      </w:r>
    </w:p>
    <w:p>
      <w:pPr>
        <w:keepNext/>
        <w:jc w:val="center"/>
      </w:pPr>
      <w:r>
        <w:drawing>
          <wp:inline distT="0" distB="0" distL="0" distR="0">
            <wp:extent cx="5762625" cy="37052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705225"/>
                    </a:xfrm>
                    <a:prstGeom prst="rect">
                      <a:avLst/>
                    </a:prstGeom>
                  </pic:spPr>
                </pic:pic>
              </a:graphicData>
            </a:graphic>
          </wp:inline>
        </w:drawing>
      </w:r>
    </w:p>
    <w:p>
      <w:pPr>
        <w:spacing w:after="200"/>
        <w:jc w:val="center"/>
      </w:pPr>
      <w:r>
        <w:rPr>
          <w:rFonts w:ascii="Calibri" w:cs="Nirmala UI" w:eastAsia="Calibri" w:hAnsi="Calibri"/>
          <w:i/>
          <w:iCs/>
          <w:color w:val="475569"/>
          <w:sz w:val="18"/>
          <w:szCs w:val="18"/>
        </w:rPr>
        <w:t xml:space="preserve">Figure 2. Agent records a ৳120 cash-out; the three steps turn green when the customer has answered. The agent sees only “Confirmation done”, never the result.</w:t>
      </w:r>
    </w:p>
    <w:p>
      <w:pPr>
        <w:keepNext/>
        <w:jc w:val="center"/>
      </w:pPr>
      <w:r>
        <w:drawing>
          <wp:inline distT="0" distB="0" distL="0" distR="0">
            <wp:extent cx="2876550" cy="2352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76550" cy="2352675"/>
                    </a:xfrm>
                    <a:prstGeom prst="rect">
                      <a:avLst/>
                    </a:prstGeom>
                  </pic:spPr>
                </pic:pic>
              </a:graphicData>
            </a:graphic>
          </wp:inline>
        </w:drawing>
      </w:r>
      <w:r>
        <w:t xml:space="preserve">  </w:t>
      </w:r>
      <w:r>
        <w:drawing>
          <wp:inline distT="0" distB="0" distL="0" distR="0">
            <wp:extent cx="2876550" cy="2352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76550" cy="2352675"/>
                    </a:xfrm>
                    <a:prstGeom prst="rect">
                      <a:avLst/>
                    </a:prstGeom>
                  </pic:spPr>
                </pic:pic>
              </a:graphicData>
            </a:graphic>
          </wp:inline>
        </w:drawing>
      </w:r>
    </w:p>
    <w:p>
      <w:pPr>
        <w:spacing w:after="200"/>
        <w:jc w:val="center"/>
      </w:pPr>
      <w:r>
        <w:rPr>
          <w:rFonts w:ascii="Calibri" w:cs="Nirmala UI" w:eastAsia="Calibri" w:hAnsi="Calibri"/>
          <w:i/>
          <w:iCs/>
          <w:color w:val="475569"/>
          <w:sz w:val="18"/>
          <w:szCs w:val="18"/>
        </w:rPr>
        <w:t xml:space="preserve">Figure 3. Customer view: Sathi’s call arrives on the handset; the customer answers in Bangla and types the amount. Sathi Sahayak (right of the balance) never asks for a PIN or OTP.</w:t>
      </w:r>
    </w:p>
    <w:p>
      <w:pPr>
        <w:keepNext/>
        <w:jc w:val="center"/>
      </w:pPr>
      <w:r>
        <w:drawing>
          <wp:inline distT="0" distB="0" distL="0" distR="0">
            <wp:extent cx="5762625" cy="3705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705225"/>
                    </a:xfrm>
                    <a:prstGeom prst="rect">
                      <a:avLst/>
                    </a:prstGeom>
                  </pic:spPr>
                </pic:pic>
              </a:graphicData>
            </a:graphic>
          </wp:inline>
        </w:drawing>
      </w:r>
    </w:p>
    <w:p>
      <w:pPr>
        <w:spacing w:after="200"/>
        <w:jc w:val="center"/>
      </w:pPr>
      <w:r>
        <w:rPr>
          <w:rFonts w:ascii="Calibri" w:cs="Nirmala UI" w:eastAsia="Calibri" w:hAnsi="Calibri"/>
          <w:i/>
          <w:iCs/>
          <w:color w:val="475569"/>
          <w:sz w:val="18"/>
          <w:szCs w:val="18"/>
        </w:rPr>
        <w:t xml:space="preserve">Figure 4. Supervisor case queue: silent help signals and cash gaps are urgent, with response targets. Customers and agents appear by phone number.</w:t>
      </w:r>
    </w:p>
    <w:p>
      <w:pPr>
        <w:keepNext/>
        <w:jc w:val="center"/>
      </w:pPr>
      <w:r>
        <w:drawing>
          <wp:inline distT="0" distB="0" distL="0" distR="0">
            <wp:extent cx="5762625" cy="37052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705225"/>
                    </a:xfrm>
                    <a:prstGeom prst="rect">
                      <a:avLst/>
                    </a:prstGeom>
                  </pic:spPr>
                </pic:pic>
              </a:graphicData>
            </a:graphic>
          </wp:inline>
        </w:drawing>
      </w:r>
    </w:p>
    <w:p>
      <w:pPr>
        <w:spacing w:after="200"/>
        <w:jc w:val="center"/>
      </w:pPr>
      <w:r>
        <w:rPr>
          <w:rFonts w:ascii="Calibri" w:cs="Nirmala UI" w:eastAsia="Calibri" w:hAnsi="Calibri"/>
          <w:i/>
          <w:iCs/>
          <w:color w:val="475569"/>
          <w:sz w:val="18"/>
          <w:szCs w:val="18"/>
        </w:rPr>
        <w:t xml:space="preserve">Figure 5. Call management: shared queue, retries, manual calls and assignment to named supervisors.</w:t>
      </w:r>
    </w:p>
    <w:p>
      <w:pPr>
        <w:keepNext/>
        <w:jc w:val="center"/>
      </w:pPr>
      <w:r>
        <w:drawing>
          <wp:inline distT="0" distB="0" distL="0" distR="0">
            <wp:extent cx="4752975" cy="3886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3886200"/>
                    </a:xfrm>
                    <a:prstGeom prst="rect">
                      <a:avLst/>
                    </a:prstGeom>
                  </pic:spPr>
                </pic:pic>
              </a:graphicData>
            </a:graphic>
          </wp:inline>
        </w:drawing>
      </w:r>
    </w:p>
    <w:p>
      <w:pPr>
        <w:spacing w:after="200"/>
        <w:jc w:val="center"/>
      </w:pPr>
      <w:r>
        <w:rPr>
          <w:rFonts w:ascii="Calibri" w:cs="Nirmala UI" w:eastAsia="Calibri" w:hAnsi="Calibri"/>
          <w:i/>
          <w:iCs/>
          <w:color w:val="475569"/>
          <w:sz w:val="18"/>
          <w:szCs w:val="18"/>
        </w:rPr>
        <w:t xml:space="preserve">Figure 6. Send money: the receiver appears in community alerts, so Sathi shows a calm English and Bangla warning. It never calls anyone a scammer, and the customer decides.</w:t>
      </w:r>
    </w:p>
    <w:p>
      <w:pPr>
        <w:pStyle w:val="Heading2"/>
      </w:pPr>
      <w:r>
        <w:rPr>
          <w:rFonts w:ascii="Calibri" w:cs="Nirmala UI" w:eastAsia="Calibri" w:hAnsi="Calibri"/>
        </w:rPr>
        <w:t xml:space="preserve">What actually works, and what is simulated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783"/>
        <w:gridCol w:w="4161"/>
      </w:tblGrid>
      <w:tr>
        <w:trPr>
          <w:tblHeader/>
        </w:trPr>
        <w:tc>
          <w:tcPr>
            <w:tcW w:type="dxa" w:w="3962"/>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Capability</w:t>
            </w:r>
          </w:p>
        </w:tc>
        <w:tc>
          <w:tcPr>
            <w:tcW w:type="dxa" w:w="1783"/>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Status</w:t>
            </w:r>
          </w:p>
        </w:tc>
        <w:tc>
          <w:tcPr>
            <w:tcW w:type="dxa" w:w="4161"/>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Notes</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Cash-out recording, ledger, fees, receipts, cases, audit log</w:t>
            </w:r>
          </w:p>
        </w:tc>
        <w:tc>
          <w:tcPr>
            <w:tcW w:type="dxa" w:w="17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Working</w:t>
            </w:r>
          </w:p>
        </w:tc>
        <w:tc>
          <w:tcPr>
            <w:tcW w:type="dxa" w:w="416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PostgreSQL with row locks and unique live-call constraints</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Confirmation call: prompt, retry, duress, 9 and 8 keys, spoken answers, retries, timeouts</w:t>
            </w:r>
          </w:p>
        </w:tc>
        <w:tc>
          <w:tcPr>
            <w:tcW w:type="dxa" w:w="17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Working</w:t>
            </w:r>
          </w:p>
        </w:tc>
        <w:tc>
          <w:tcPr>
            <w:tcW w:type="dxa" w:w="416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Same code path for simulated handset, Twilio and BD IVR</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Real phone calls (Twilio)</w:t>
            </w:r>
          </w:p>
        </w:tc>
        <w:tc>
          <w:tcPr>
            <w:tcW w:type="dxa" w:w="17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Working, provider-dependent</w:t>
            </w:r>
          </w:p>
        </w:tc>
        <w:tc>
          <w:tcPr>
            <w:tcW w:type="dxa" w:w="416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Signed webhooks tested; needs a public HTTPS API and Twilio setup (trial accounts call verified numbers only)</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Real SMS (Alpha SMS)</w:t>
            </w:r>
          </w:p>
        </w:tc>
        <w:tc>
          <w:tcPr>
            <w:tcW w:type="dxa" w:w="17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Working, key-dependent</w:t>
            </w:r>
          </w:p>
        </w:tc>
        <w:tc>
          <w:tcPr>
            <w:tcW w:type="dxa" w:w="416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Simulated outbox when no key is set</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Operations center: roles, queues, assignment, notes, audit reports, watchlist</w:t>
            </w:r>
          </w:p>
        </w:tc>
        <w:tc>
          <w:tcPr>
            <w:tcW w:type="dxa" w:w="17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Working</w:t>
            </w:r>
          </w:p>
        </w:tc>
        <w:tc>
          <w:tcPr>
            <w:tcW w:type="dxa" w:w="416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Five roles; supervisor accounts stored in the database</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Test accounts with real phone numbers</w:t>
            </w:r>
          </w:p>
        </w:tc>
        <w:tc>
          <w:tcPr>
            <w:tcW w:type="dxa" w:w="17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Working</w:t>
            </w:r>
          </w:p>
        </w:tc>
        <w:tc>
          <w:tcPr>
            <w:tcW w:type="dxa" w:w="416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Super admin creates customers and agents; they sign in by phone and PIN</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AI models on live data (agent risk, outreach, liquidity, uplift)</w:t>
            </w:r>
          </w:p>
        </w:tc>
        <w:tc>
          <w:tcPr>
            <w:tcW w:type="dxa" w:w="17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Working</w:t>
            </w:r>
          </w:p>
        </w:tc>
        <w:tc>
          <w:tcPr>
            <w:tcW w:type="dxa" w:w="416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Re-scored every 15 minutes; last result saved, so pages load instantly after a restart</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LLM briefs and warnings</w:t>
            </w:r>
          </w:p>
        </w:tc>
        <w:tc>
          <w:tcPr>
            <w:tcW w:type="dxa" w:w="17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Working, key-dependent</w:t>
            </w:r>
          </w:p>
        </w:tc>
        <w:tc>
          <w:tcPr>
            <w:tcW w:type="dxa" w:w="416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Deterministic template when no key is set; every output validated</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Customers, agents and transactions</w:t>
            </w:r>
          </w:p>
        </w:tc>
        <w:tc>
          <w:tcPr>
            <w:tcW w:type="dxa" w:w="17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Simulated</w:t>
            </w:r>
          </w:p>
        </w:tc>
        <w:tc>
          <w:tcPr>
            <w:tcW w:type="dxa" w:w="416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Synthetic generator plus a live traffic simulator; no real upay accounts</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Campaign outcomes for uplift</w:t>
            </w:r>
          </w:p>
        </w:tc>
        <w:tc>
          <w:tcPr>
            <w:tcW w:type="dxa" w:w="17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Simulated</w:t>
            </w:r>
          </w:p>
        </w:tc>
        <w:tc>
          <w:tcPr>
            <w:tcW w:type="dxa" w:w="416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Documented randomised experiment with known true effect</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Integration with upay core systems</w:t>
            </w:r>
          </w:p>
        </w:tc>
        <w:tc>
          <w:tcPr>
            <w:tcW w:type="dxa" w:w="17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Not built</w:t>
            </w:r>
          </w:p>
        </w:tc>
        <w:tc>
          <w:tcPr>
            <w:tcW w:type="dxa" w:w="416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Channel-agnostic API ready for a governed pilot</w:t>
            </w:r>
          </w:p>
        </w:tc>
      </w:tr>
    </w:tbl>
    <w:p>
      <w:pPr>
        <w:spacing w:after="80"/>
      </w:pPr>
    </w:p>
    <w:p>
      <w:pPr>
        <w:pStyle w:val="Heading1"/>
      </w:pPr>
      <w:r>
        <w:rPr>
          <w:rFonts w:ascii="Calibri" w:cs="Nirmala UI" w:eastAsia="Calibri" w:hAnsi="Calibri"/>
        </w:rPr>
        <w:t xml:space="preserve">5. Key Features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4"/>
        <w:gridCol w:w="4953"/>
        <w:gridCol w:w="2179"/>
      </w:tblGrid>
      <w:tr>
        <w:trPr>
          <w:tblHeader/>
        </w:trPr>
        <w:tc>
          <w:tcPr>
            <w:tcW w:type="dxa" w:w="2774"/>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Feature</w:t>
            </w:r>
          </w:p>
        </w:tc>
        <w:tc>
          <w:tcPr>
            <w:tcW w:type="dxa" w:w="4953"/>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What it does</w:t>
            </w:r>
          </w:p>
        </w:tc>
        <w:tc>
          <w:tcPr>
            <w:tcW w:type="dxa" w:w="2179"/>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AI used?</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Post-cash-out confirmation call</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Calls the customer after every cash-out; match = verified, otherwise suspicious with reasons</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No (deterministic rule); speech answer read by a parser</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Silent duress code</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 before the amount alerts a supervisor; screens stay neutral</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No</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Voice mandate</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Customer approves one amount, one agent, 15 minutes, one use, by phone</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Risk score sets the step-up level; never authorises</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Case recommendations</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Ranked reasons and next step for each suspicious check</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Yes</w:t>
            </w:r>
            <w:r>
              <w:rPr>
                <w:rFonts w:ascii="Calibri" w:cs="Nirmala UI" w:eastAsia="Calibri" w:hAnsi="Calibri"/>
                <w:sz w:val="18"/>
                <w:szCs w:val="18"/>
              </w:rPr>
              <w:t xml:space="preserve">: agent risk model + rules</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AI investigation brief</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Plain-language case summary that must cite evidence facts</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Yes</w:t>
            </w:r>
            <w:r>
              <w:rPr>
                <w:rFonts w:ascii="Calibri" w:cs="Nirmala UI" w:eastAsia="Calibri" w:hAnsi="Calibri"/>
                <w:sz w:val="18"/>
                <w:szCs w:val="18"/>
              </w:rPr>
              <w:t xml:space="preserve">: LLM (optional), template fallback</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Agent risk (AI)</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Ranks agents by skimming risk with signal-level reasons</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Yes</w:t>
            </w:r>
            <w:r>
              <w:rPr>
                <w:rFonts w:ascii="Calibri" w:cs="Nirmala UI" w:eastAsia="Calibri" w:hAnsi="Calibri"/>
                <w:sz w:val="18"/>
                <w:szCs w:val="18"/>
              </w:rPr>
              <w:t xml:space="preserve">: peer robust z-score + Isolation Forest</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Customers who need help</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Finds customers likely to depend on agents, with SHAP reasons</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Yes</w:t>
            </w:r>
            <w:r>
              <w:rPr>
                <w:rFonts w:ascii="Calibri" w:cs="Nirmala UI" w:eastAsia="Calibri" w:hAnsi="Calibri"/>
                <w:sz w:val="18"/>
                <w:szCs w:val="18"/>
              </w:rPr>
              <w:t xml:space="preserve">: calibrated LightGBM classifier</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Cash planning (Track 05)</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7-day cash need per agent (likely and busy-day P90) with advice</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Yes</w:t>
            </w:r>
            <w:r>
              <w:rPr>
                <w:rFonts w:ascii="Calibri" w:cs="Nirmala UI" w:eastAsia="Calibri" w:hAnsi="Calibri"/>
                <w:sz w:val="18"/>
                <w:szCs w:val="18"/>
              </w:rPr>
              <w:t xml:space="preserve">: LightGBM multi-horizon + quantile</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Invite planner (Track 04)</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Finds customers an invite actually changes; budget optimiser chooses SMS, call or visit</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Yes</w:t>
            </w:r>
            <w:r>
              <w:rPr>
                <w:rFonts w:ascii="Calibri" w:cs="Nirmala UI" w:eastAsia="Calibri" w:hAnsi="Calibri"/>
                <w:sz w:val="18"/>
                <w:szCs w:val="18"/>
              </w:rPr>
              <w:t xml:space="preserve">: T-learner uplift + knapsack</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Send-money warning</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Checks receiver against community alerts and payment patterns; calm bilingual warning</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Yes</w:t>
            </w:r>
            <w:r>
              <w:rPr>
                <w:rFonts w:ascii="Calibri" w:cs="Nirmala UI" w:eastAsia="Calibri" w:hAnsi="Calibri"/>
                <w:sz w:val="18"/>
                <w:szCs w:val="18"/>
              </w:rPr>
              <w:t xml:space="preserve">: receiver risk score + LLM wording with accusation guard</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Community scam alerts</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Anonymous reports (keyed hash), moderation, search</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No (moderated by people)</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Sathi Sahayak</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Trilingual help chat; never asks for PIN or OTP, hides other people’s data</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Rules + optional LLM polish, guarded</w:t>
            </w:r>
          </w:p>
        </w:tc>
      </w:tr>
      <w:tr>
        <w:trPr>
          <w:cantSplit/>
        </w:trPr>
        <w:tc>
          <w:tcPr>
            <w:tcW w:type="dxa" w:w="277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Operations center</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Call queue, cases, directories, staff, test accounts, settings, audit log</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No</w:t>
            </w:r>
          </w:p>
        </w:tc>
      </w:tr>
    </w:tbl>
    <w:p>
      <w:pPr>
        <w:spacing w:after="80"/>
      </w:pPr>
    </w:p>
    <w:p>
      <w:pPr>
        <w:pStyle w:val="Heading1"/>
      </w:pPr>
      <w:r>
        <w:rPr>
          <w:rFonts w:ascii="Calibri" w:cs="Nirmala UI" w:eastAsia="Calibri" w:hAnsi="Calibri"/>
        </w:rPr>
        <w:t xml:space="preserve">6. AI Approach</w:t>
      </w:r>
    </w:p>
    <w:p>
      <w:pPr>
        <w:pStyle w:val="Heading2"/>
      </w:pPr>
      <w:r>
        <w:rPr>
          <w:rFonts w:ascii="Calibri" w:cs="Nirmala UI" w:eastAsia="Calibri" w:hAnsi="Calibri"/>
        </w:rPr>
        <w:t xml:space="preserve">Synthetic data design and assumptions</w:t>
      </w:r>
    </w:p>
    <w:p>
      <w:pPr>
        <w:pStyle w:val="ListParagraph"/>
        <w:numPr>
          <w:ilvl w:val="0"/>
          <w:numId w:val="2"/>
        </w:numPr>
        <w:spacing w:after="60"/>
      </w:pPr>
      <w:r>
        <w:rPr>
          <w:rFonts w:ascii="Calibri" w:cs="Nirmala UI" w:eastAsia="Calibri" w:hAnsi="Calibri"/>
          <w:b/>
          <w:bCs/>
        </w:rPr>
        <w:t xml:space="preserve">Population:</w:t>
      </w:r>
      <w:r>
        <w:rPr>
          <w:rFonts w:ascii="Calibri" w:cs="Nirmala UI" w:eastAsia="Calibri" w:hAnsi="Calibri"/>
        </w:rPr>
        <w:t xml:space="preserve"> 20,000 customers and 300 agents over 90 days. Customer groups: independent urban 40%, independent rural 25%, assisted allowance recipients 20%, assisted family-helped 15%.</w:t>
      </w:r>
    </w:p>
    <w:p>
      <w:pPr>
        <w:pStyle w:val="ListParagraph"/>
        <w:numPr>
          <w:ilvl w:val="0"/>
          <w:numId w:val="2"/>
        </w:numPr>
        <w:spacing w:after="60"/>
      </w:pPr>
      <w:r>
        <w:rPr>
          <w:rFonts w:ascii="Calibri" w:cs="Nirmala UI" w:eastAsia="Calibri" w:hAnsi="Calibri"/>
          <w:b/>
          <w:bCs/>
        </w:rPr>
        <w:t xml:space="preserve">Behaviour signals with deliberate overlap:</w:t>
      </w:r>
      <w:r>
        <w:rPr>
          <w:rFonts w:ascii="Calibri" w:cs="Nirmala UI" w:eastAsia="Calibri" w:hAnsi="Calibri"/>
        </w:rPr>
        <w:t xml:space="preserve"> share of cash-outs at the top agent (assisted Beta(6,2) vs independent Beta(2,5)/Beta(3,4)), hours from credit to cash-out (8 h vs 72 h means), share of balance withdrawn, PIN retries, PIN entry time (14 s vs 6 s medians), services used, session steps. </w:t>
      </w:r>
      <w:r>
        <w:rPr>
          <w:rFonts w:ascii="Calibri" w:cs="Nirmala UI" w:eastAsia="Calibri" w:hAnsi="Calibri"/>
          <w:b/>
          <w:bCs/>
        </w:rPr>
        <w:t xml:space="preserve">15%</w:t>
      </w:r>
      <w:r>
        <w:rPr>
          <w:rFonts w:ascii="Calibri" w:cs="Nirmala UI" w:eastAsia="Calibri" w:hAnsi="Calibri"/>
        </w:rPr>
        <w:t xml:space="preserve"> of independent users behave like assisted users, and </w:t>
      </w:r>
      <w:r>
        <w:rPr>
          <w:rFonts w:ascii="Calibri" w:cs="Nirmala UI" w:eastAsia="Calibri" w:hAnsi="Calibri"/>
          <w:b/>
          <w:bCs/>
        </w:rPr>
        <w:t xml:space="preserve">10% label noise</w:t>
      </w:r>
      <w:r>
        <w:rPr>
          <w:rFonts w:ascii="Calibri" w:cs="Nirmala UI" w:eastAsia="Calibri" w:hAnsi="Calibri"/>
        </w:rPr>
        <w:t xml:space="preserve"> is added, so the task is not trivially separable.</w:t>
      </w:r>
    </w:p>
    <w:p>
      <w:pPr>
        <w:pStyle w:val="ListParagraph"/>
        <w:numPr>
          <w:ilvl w:val="0"/>
          <w:numId w:val="2"/>
        </w:numPr>
        <w:spacing w:after="60"/>
      </w:pPr>
      <w:r>
        <w:rPr>
          <w:rFonts w:ascii="Calibri" w:cs="Nirmala UI" w:eastAsia="Calibri" w:hAnsi="Calibri"/>
          <w:b/>
          <w:bCs/>
        </w:rPr>
        <w:t xml:space="preserve">Agents:</w:t>
      </w:r>
      <w:r>
        <w:rPr>
          <w:rFonts w:ascii="Calibri" w:cs="Nirmala UI" w:eastAsia="Calibri" w:hAnsi="Calibri"/>
        </w:rPr>
        <w:t xml:space="preserve"> about 270 normal, 20 honest high-volume (to measure false flags) and 10 skimmers with subtle, moderate and obvious profiles (fee multipliers 1.1 to 1.5, payout reductions 1% to 10%).</w:t>
      </w:r>
    </w:p>
    <w:p>
      <w:pPr>
        <w:pStyle w:val="ListParagraph"/>
        <w:numPr>
          <w:ilvl w:val="0"/>
          <w:numId w:val="2"/>
        </w:numPr>
        <w:spacing w:after="60"/>
      </w:pPr>
      <w:r>
        <w:rPr>
          <w:rFonts w:ascii="Calibri" w:cs="Nirmala UI" w:eastAsia="Calibri" w:hAnsi="Calibri"/>
          <w:b/>
          <w:bCs/>
        </w:rPr>
        <w:t xml:space="preserve">Disjoint splits:</w:t>
      </w:r>
      <w:r>
        <w:rPr>
          <w:rFonts w:ascii="Calibri" w:cs="Nirmala UI" w:eastAsia="Calibri" w:hAnsi="Calibri"/>
        </w:rPr>
        <w:t xml:space="preserve"> seeds 42 / 4242 / 2026 for train / validation / test; agents split 60/20/20 (180/60/60 agents, 12,000/4,000/4,000 customers), plus a separate </w:t>
      </w:r>
      <w:r>
        <w:rPr>
          <w:rFonts w:ascii="Calibri" w:cs="Nirmala UI" w:eastAsia="Calibri" w:hAnsi="Calibri"/>
          <w:b/>
          <w:bCs/>
        </w:rPr>
        <w:t xml:space="preserve">shifted</w:t>
      </w:r>
      <w:r>
        <w:rPr>
          <w:rFonts w:ascii="Calibri" w:cs="Nirmala UI" w:eastAsia="Calibri" w:hAnsi="Calibri"/>
        </w:rPr>
        <w:t xml:space="preserve"> test set.</w:t>
      </w:r>
    </w:p>
    <w:p>
      <w:pPr>
        <w:pStyle w:val="ListParagraph"/>
        <w:numPr>
          <w:ilvl w:val="0"/>
          <w:numId w:val="2"/>
        </w:numPr>
        <w:spacing w:after="60"/>
      </w:pPr>
      <w:r>
        <w:rPr>
          <w:rFonts w:ascii="Calibri" w:cs="Nirmala UI" w:eastAsia="Calibri" w:hAnsi="Calibri"/>
          <w:b/>
          <w:bCs/>
        </w:rPr>
        <w:t xml:space="preserve">Demographics</w:t>
      </w:r>
      <w:r>
        <w:rPr>
          <w:rFonts w:ascii="Calibri" w:cs="Nirmala UI" w:eastAsia="Calibri" w:hAnsi="Calibri"/>
        </w:rPr>
        <w:t xml:space="preserve"> (age, gender, region, urban/rural) and ground-truth labels are used </w:t>
      </w:r>
      <w:r>
        <w:rPr>
          <w:rFonts w:ascii="Calibri" w:cs="Nirmala UI" w:eastAsia="Calibri" w:hAnsi="Calibri"/>
          <w:b/>
          <w:bCs/>
        </w:rPr>
        <w:t xml:space="preserve">only for evaluation</w:t>
      </w:r>
      <w:r>
        <w:rPr>
          <w:rFonts w:ascii="Calibri" w:cs="Nirmala UI" w:eastAsia="Calibri" w:hAnsi="Calibri"/>
        </w:rPr>
        <w:t xml:space="preserve">, never as model inputs.</w:t>
      </w:r>
    </w:p>
    <w:p>
      <w:pPr>
        <w:pStyle w:val="Heading2"/>
      </w:pPr>
      <w:r>
        <w:rPr>
          <w:rFonts w:ascii="Calibri" w:cs="Nirmala UI" w:eastAsia="Calibri" w:hAnsi="Calibri"/>
        </w:rPr>
        <w:t xml:space="preserve">Models, features, baselines and explainability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972"/>
        <w:gridCol w:w="1981"/>
        <w:gridCol w:w="2972"/>
      </w:tblGrid>
      <w:tr>
        <w:trPr>
          <w:tblHeader/>
        </w:trPr>
        <w:tc>
          <w:tcPr>
            <w:tcW w:type="dxa" w:w="1981"/>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Model</w:t>
            </w:r>
          </w:p>
        </w:tc>
        <w:tc>
          <w:tcPr>
            <w:tcW w:type="dxa" w:w="2972"/>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Inputs (examples)</w:t>
            </w:r>
          </w:p>
        </w:tc>
        <w:tc>
          <w:tcPr>
            <w:tcW w:type="dxa" w:w="1981"/>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Baseline</w:t>
            </w:r>
          </w:p>
        </w:tc>
        <w:tc>
          <w:tcPr>
            <w:tcW w:type="dxa" w:w="2972"/>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Explainability</w:t>
            </w:r>
          </w:p>
        </w:tc>
      </w:tr>
      <w:tr>
        <w:trPr>
          <w:cantSplit/>
        </w:trPr>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Assisted-customer classifier: LightGBM, calibrated on separate validation agents</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36 behaviour features: agent concentration, credit-to-cash-out time, withdrawn share, PIN time and retries, session steps</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Hand-written rule</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SHAP reasons in raw log-odds, shown in plain words</w:t>
            </w:r>
          </w:p>
        </w:tc>
      </w:tr>
      <w:tr>
        <w:trPr>
          <w:cantSplit/>
        </w:trPr>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Agent skimming detector: peer robust z-score (0.7) + Isolation Forest (0.3)</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Fee vs official fee, cash-gap reports, allowance-day spikes, assisted share; peers from train agents only</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Fee threshold rule</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Signal-level reasons per agent</w:t>
            </w:r>
          </w:p>
        </w:tc>
      </w:tr>
      <w:tr>
        <w:trPr>
          <w:cantSplit/>
        </w:trPr>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Liquidity forecast: direct multi-horizon LightGBM, point and P90</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Day of month, same day last week, 4-week mean / max / variability, trend, agent size</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7-day average; same day last week</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Feature importance; plain advice per agent</w:t>
            </w:r>
          </w:p>
        </w:tc>
      </w:tr>
      <w:tr>
        <w:trPr>
          <w:cantSplit/>
        </w:trPr>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Uplift: T-learner (two LightGBM models)</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Withdrawn share, PIN time, app share, credit-to-cash-out time, agent dependence</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Response model; dependence rule; random</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Chance if invited vs not; feature importance</w:t>
            </w:r>
          </w:p>
        </w:tc>
      </w:tr>
      <w:tr>
        <w:trPr>
          <w:cantSplit/>
        </w:trPr>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Receiver risk (send money)</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Same-amount payments, many unrelated payers, fast pass-through, community alerts</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Report count only</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Reasons listed to the payer</w:t>
            </w:r>
          </w:p>
        </w:tc>
      </w:tr>
      <w:tr>
        <w:trPr>
          <w:cantSplit/>
        </w:trPr>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LLM (Gemini → GPT-4o → template)</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Structured facts only; never report text or phone numbers</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Deterministic template</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Must cite evidence; accusation and phone-number guard</w:t>
            </w:r>
          </w:p>
        </w:tc>
      </w:tr>
    </w:tbl>
    <w:p>
      <w:pPr>
        <w:spacing w:after="80"/>
      </w:pPr>
    </w:p>
    <w:p>
      <w:pPr>
        <w:spacing w:after="120"/>
      </w:pPr>
      <w:r>
        <w:rPr>
          <w:rFonts w:ascii="Calibri" w:cs="Nirmala UI" w:eastAsia="Calibri" w:hAnsi="Calibri"/>
        </w:rPr>
        <w:t xml:space="preserve">Models are trained offline on train agents only, frozen with a hash-checked artifact bundle, and re-score the live database every 15 minutes (liquidity and uplift are retrained on the live ledger). The AI test results page shows the frozen evaluation so anyone can reproduce it.</w:t>
      </w:r>
    </w:p>
    <w:p>
      <w:pPr>
        <w:pStyle w:val="Heading2"/>
      </w:pPr>
      <w:r>
        <w:rPr>
          <w:rFonts w:ascii="Calibri" w:cs="Nirmala UI" w:eastAsia="Calibri" w:hAnsi="Calibri"/>
        </w:rPr>
        <w:t xml:space="preserve">Where AI is not allowed to decide</w:t>
      </w:r>
    </w:p>
    <w:p>
      <w:pPr>
        <w:pStyle w:val="ListParagraph"/>
        <w:numPr>
          <w:ilvl w:val="0"/>
          <w:numId w:val="2"/>
        </w:numPr>
        <w:spacing w:after="60"/>
      </w:pPr>
      <w:r>
        <w:rPr>
          <w:rFonts w:ascii="Calibri" w:cs="Nirmala UI" w:eastAsia="Calibri" w:hAnsi="Calibri"/>
        </w:rPr>
        <w:t xml:space="preserve">No model approves, denies, blocks or delays a transaction. A verified or suspicious status comes from what the customer typed, compared with the ledger.</w:t>
      </w:r>
    </w:p>
    <w:p>
      <w:pPr>
        <w:pStyle w:val="ListParagraph"/>
        <w:numPr>
          <w:ilvl w:val="0"/>
          <w:numId w:val="2"/>
        </w:numPr>
        <w:spacing w:after="60"/>
      </w:pPr>
      <w:r>
        <w:rPr>
          <w:rFonts w:ascii="Calibri" w:cs="Nirmala UI" w:eastAsia="Calibri" w:hAnsi="Calibri"/>
        </w:rPr>
        <w:t xml:space="preserve">Suspicious is a </w:t>
      </w:r>
      <w:r>
        <w:rPr>
          <w:rFonts w:ascii="Calibri" w:cs="Nirmala UI" w:eastAsia="Calibri" w:hAnsi="Calibri"/>
          <w:b/>
          <w:bCs/>
        </w:rPr>
        <w:t xml:space="preserve">recommendation</w:t>
      </w:r>
      <w:r>
        <w:rPr>
          <w:rFonts w:ascii="Calibri" w:cs="Nirmala UI" w:eastAsia="Calibri" w:hAnsi="Calibri"/>
        </w:rPr>
        <w:t xml:space="preserve">; only a supervisor closes a case or puts an agent on the watchlist (which forces confirmation calls but never blocks).</w:t>
      </w:r>
    </w:p>
    <w:p>
      <w:pPr>
        <w:pStyle w:val="ListParagraph"/>
        <w:numPr>
          <w:ilvl w:val="0"/>
          <w:numId w:val="2"/>
        </w:numPr>
        <w:spacing w:after="60"/>
      </w:pPr>
      <w:r>
        <w:rPr>
          <w:rFonts w:ascii="Calibri" w:cs="Nirmala UI" w:eastAsia="Calibri" w:hAnsi="Calibri"/>
        </w:rPr>
        <w:t xml:space="preserve">Silence or a missed call is never counted as a denial.</w:t>
      </w:r>
    </w:p>
    <w:p>
      <w:pPr>
        <w:pStyle w:val="ListParagraph"/>
        <w:numPr>
          <w:ilvl w:val="0"/>
          <w:numId w:val="2"/>
        </w:numPr>
        <w:spacing w:after="60"/>
      </w:pPr>
      <w:r>
        <w:rPr>
          <w:rFonts w:ascii="Calibri" w:cs="Nirmala UI" w:eastAsia="Calibri" w:hAnsi="Calibri"/>
        </w:rPr>
        <w:t xml:space="preserve">Forecasts never limit a customer’s cash-out; outreach scores are used only to offer help.</w:t>
      </w:r>
    </w:p>
    <w:p>
      <w:pPr>
        <w:pStyle w:val="ListParagraph"/>
        <w:numPr>
          <w:ilvl w:val="0"/>
          <w:numId w:val="2"/>
        </w:numPr>
        <w:spacing w:after="60"/>
      </w:pPr>
      <w:r>
        <w:rPr>
          <w:rFonts w:ascii="Calibri" w:cs="Nirmala UI" w:eastAsia="Calibri" w:hAnsi="Calibri"/>
        </w:rPr>
        <w:t xml:space="preserve">LLM text is never a decision and is discarded if it is ungrounded, accusatory or contains phone numbers.</w:t>
      </w:r>
    </w:p>
    <w:p>
      <w:pPr>
        <w:pStyle w:val="Heading1"/>
      </w:pPr>
      <w:r>
        <w:rPr>
          <w:rFonts w:ascii="Calibri" w:cs="Nirmala UI" w:eastAsia="Calibri" w:hAnsi="Calibri"/>
        </w:rPr>
        <w:t xml:space="preserve">7. Results and Validation</w:t>
      </w:r>
    </w:p>
    <w:p>
      <w:pPr>
        <w:pBdr>
          <w:left w:val="single" w:color="0F766E" w:sz="18" w:space="8"/>
        </w:pBdr>
        <w:shd w:fill="F0FDFA" w:color="auto" w:val="clear"/>
        <w:spacing w:after="160" w:before="80"/>
      </w:pPr>
      <w:r>
        <w:rPr>
          <w:rFonts w:ascii="Calibri" w:cs="Nirmala UI" w:eastAsia="Calibri" w:hAnsi="Calibri"/>
        </w:rPr>
        <w:t xml:space="preserve">All results are on </w:t>
      </w:r>
      <w:r>
        <w:rPr>
          <w:rFonts w:ascii="Calibri" w:cs="Nirmala UI" w:eastAsia="Calibri" w:hAnsi="Calibri"/>
          <w:b/>
          <w:bCs/>
        </w:rPr>
        <w:t xml:space="preserve">synthetic data</w:t>
      </w:r>
      <w:r>
        <w:rPr>
          <w:rFonts w:ascii="Calibri" w:cs="Nirmala UI" w:eastAsia="Calibri" w:hAnsi="Calibri"/>
        </w:rPr>
        <w:t xml:space="preserve"> from one frozen evaluation run (seeds 42 / 4242 / 2026). Reproduce with </w:t>
      </w:r>
      <w:r>
        <w:rPr>
          <w:rFonts w:ascii="Consolas" w:hAnsi="Consolas"/>
        </w:rPr>
        <w:t xml:space="preserve">make reproduce</w:t>
      </w:r>
      <w:r>
        <w:rPr>
          <w:rFonts w:ascii="Calibri" w:cs="Nirmala UI" w:eastAsia="Calibri" w:hAnsi="Calibri"/>
        </w:rPr>
        <w:t xml:space="preserve">; full tables, denominators and hashes are in docs/evaluation-results.md and data/artifacts/evaluation-manifest.json. Synthetic results do not prove real-world accuracy.</w:t>
      </w:r>
    </w:p>
    <w:p>
      <w:pPr>
        <w:pStyle w:val="Heading2"/>
      </w:pPr>
      <w:r>
        <w:rPr>
          <w:rFonts w:ascii="Calibri" w:cs="Nirmala UI" w:eastAsia="Calibri" w:hAnsi="Calibri"/>
        </w:rPr>
        <w:t xml:space="preserve">Assisted-customer classifier vs rule baseline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2"/>
        <w:gridCol w:w="1387"/>
        <w:gridCol w:w="1387"/>
        <w:gridCol w:w="1387"/>
        <w:gridCol w:w="1387"/>
        <w:gridCol w:w="1386"/>
      </w:tblGrid>
      <w:tr>
        <w:trPr>
          <w:tblHeader/>
        </w:trPr>
        <w:tc>
          <w:tcPr>
            <w:tcW w:type="dxa" w:w="2972"/>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Cohort / method</w:t>
            </w:r>
          </w:p>
        </w:tc>
        <w:tc>
          <w:tcPr>
            <w:tcW w:type="dxa" w:w="1387"/>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PR-AUC</w:t>
            </w:r>
          </w:p>
        </w:tc>
        <w:tc>
          <w:tcPr>
            <w:tcW w:type="dxa" w:w="1387"/>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Precision</w:t>
            </w:r>
          </w:p>
        </w:tc>
        <w:tc>
          <w:tcPr>
            <w:tcW w:type="dxa" w:w="1387"/>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Recall</w:t>
            </w:r>
          </w:p>
        </w:tc>
        <w:tc>
          <w:tcPr>
            <w:tcW w:type="dxa" w:w="1387"/>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Brier</w:t>
            </w:r>
          </w:p>
        </w:tc>
        <w:tc>
          <w:tcPr>
            <w:tcW w:type="dxa" w:w="1386"/>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ROC-AUC</w:t>
            </w:r>
          </w:p>
        </w:tc>
      </w:tr>
      <w:tr>
        <w:trPr>
          <w:cantSplit/>
        </w:trPr>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Held-out test / rule</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0.697</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0.555</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0.752</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0.298</w:t>
            </w:r>
          </w:p>
        </w:tc>
        <w:tc>
          <w:tcPr>
            <w:tcW w:type="dxa" w:w="138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0.713</w:t>
            </w:r>
          </w:p>
        </w:tc>
      </w:tr>
      <w:tr>
        <w:trPr>
          <w:cantSplit/>
        </w:trPr>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Held-out test / LightGBM</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0.809</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0.831</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0.891</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0.090</w:t>
            </w:r>
          </w:p>
        </w:tc>
        <w:tc>
          <w:tcPr>
            <w:tcW w:type="dxa" w:w="138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0.903</w:t>
            </w:r>
          </w:p>
        </w:tc>
      </w:tr>
      <w:tr>
        <w:trPr>
          <w:cantSplit/>
        </w:trPr>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Shifted test / rule</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n/a</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0.673</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0.736</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n/a</w:t>
            </w:r>
          </w:p>
        </w:tc>
        <w:tc>
          <w:tcPr>
            <w:tcW w:type="dxa" w:w="138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n/a</w:t>
            </w:r>
          </w:p>
        </w:tc>
      </w:tr>
      <w:tr>
        <w:trPr>
          <w:cantSplit/>
        </w:trPr>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Shifted test / LightGBM</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0.819</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0.840</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0.850</w:t>
            </w:r>
          </w:p>
        </w:tc>
        <w:tc>
          <w:tcPr>
            <w:tcW w:type="dxa" w:w="138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0.136</w:t>
            </w:r>
          </w:p>
        </w:tc>
        <w:tc>
          <w:tcPr>
            <w:tcW w:type="dxa" w:w="138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n/a</w:t>
            </w:r>
          </w:p>
        </w:tc>
      </w:tr>
    </w:tbl>
    <w:p>
      <w:pPr>
        <w:spacing w:after="80"/>
      </w:pPr>
    </w:p>
    <w:p>
      <w:pPr>
        <w:spacing w:after="120"/>
      </w:pPr>
      <w:r>
        <w:rPr>
          <w:rFonts w:ascii="Calibri" w:cs="Nirmala UI" w:eastAsia="Calibri" w:hAnsi="Calibri"/>
        </w:rPr>
        <w:t xml:space="preserve">Held-out test: 4,000 customers (1,400 assisted). Recall at 80% precision: </w:t>
      </w:r>
      <w:r>
        <w:rPr>
          <w:rFonts w:ascii="Calibri" w:cs="Nirmala UI" w:eastAsia="Calibri" w:hAnsi="Calibri"/>
          <w:b/>
          <w:bCs/>
        </w:rPr>
        <w:t xml:space="preserve">0.896</w:t>
      </w:r>
      <w:r>
        <w:rPr>
          <w:rFonts w:ascii="Calibri" w:cs="Nirmala UI" w:eastAsia="Calibri" w:hAnsi="Calibri"/>
        </w:rPr>
        <w:t xml:space="preserve"> for the model; the rule never reaches 80% precision.</w:t>
      </w:r>
    </w:p>
    <w:p>
      <w:pPr>
        <w:pStyle w:val="Heading2"/>
      </w:pPr>
      <w:r>
        <w:rPr>
          <w:rFonts w:ascii="Calibri" w:cs="Nirmala UI" w:eastAsia="Calibri" w:hAnsi="Calibri"/>
        </w:rPr>
        <w:t xml:space="preserve">Agent skimming detector (60 agents per cohort: 2 skimmers, 4 honest high-volume)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2179"/>
        <w:gridCol w:w="2179"/>
        <w:gridCol w:w="2180"/>
      </w:tblGrid>
      <w:tr>
        <w:trPr>
          <w:tblHeader/>
        </w:trPr>
        <w:tc>
          <w:tcPr>
            <w:tcW w:type="dxa" w:w="3368"/>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Cohort / method</w:t>
            </w:r>
          </w:p>
        </w:tc>
        <w:tc>
          <w:tcPr>
            <w:tcW w:type="dxa" w:w="2179"/>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Skimmers found</w:t>
            </w:r>
          </w:p>
        </w:tc>
        <w:tc>
          <w:tcPr>
            <w:tcW w:type="dxa" w:w="2179"/>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Honest high-volume false flags</w:t>
            </w:r>
          </w:p>
        </w:tc>
        <w:tc>
          <w:tcPr>
            <w:tcW w:type="dxa" w:w="2180"/>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Precision@15</w:t>
            </w:r>
          </w:p>
        </w:tc>
      </w:tr>
      <w:tr>
        <w:trPr>
          <w:cantSplit/>
        </w:trPr>
        <w:tc>
          <w:tcPr>
            <w:tcW w:type="dxa" w:w="336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Held-out / fee rule</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 / 2</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 / 4</w:t>
            </w:r>
          </w:p>
        </w:tc>
        <w:tc>
          <w:tcPr>
            <w:tcW w:type="dxa" w:w="2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 / 15</w:t>
            </w:r>
          </w:p>
        </w:tc>
      </w:tr>
      <w:tr>
        <w:trPr>
          <w:cantSplit/>
        </w:trPr>
        <w:tc>
          <w:tcPr>
            <w:tcW w:type="dxa" w:w="336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Held-out / ensemble</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2 / 2</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0 / 4</w:t>
            </w:r>
          </w:p>
        </w:tc>
        <w:tc>
          <w:tcPr>
            <w:tcW w:type="dxa" w:w="2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 / 15</w:t>
            </w:r>
          </w:p>
        </w:tc>
      </w:tr>
      <w:tr>
        <w:trPr>
          <w:cantSplit/>
        </w:trPr>
        <w:tc>
          <w:tcPr>
            <w:tcW w:type="dxa" w:w="336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Shifted / Isolation Forest alone</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 / 2</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3 / 4</w:t>
            </w:r>
          </w:p>
        </w:tc>
        <w:tc>
          <w:tcPr>
            <w:tcW w:type="dxa" w:w="2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 / 15</w:t>
            </w:r>
          </w:p>
        </w:tc>
      </w:tr>
      <w:tr>
        <w:trPr>
          <w:cantSplit/>
        </w:trPr>
        <w:tc>
          <w:tcPr>
            <w:tcW w:type="dxa" w:w="336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Shifted / ensemble</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2 / 2</w:t>
            </w:r>
          </w:p>
        </w:tc>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0 / 4</w:t>
            </w:r>
          </w:p>
        </w:tc>
        <w:tc>
          <w:tcPr>
            <w:tcW w:type="dxa" w:w="2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 / 15</w:t>
            </w:r>
          </w:p>
        </w:tc>
      </w:tr>
    </w:tbl>
    <w:p>
      <w:pPr>
        <w:spacing w:after="80"/>
      </w:pPr>
    </w:p>
    <w:p>
      <w:pPr>
        <w:spacing w:after="120"/>
      </w:pPr>
      <w:r>
        <w:rPr>
          <w:rFonts w:ascii="Calibri" w:cs="Nirmala UI" w:eastAsia="Calibri" w:hAnsi="Calibri"/>
        </w:rPr>
        <w:t xml:space="preserve">Under distribution shift, Isolation Forest alone flags 3 of 4 honest busy agents; the peer-based ensemble does not. Skimming sweep: subtle 0 / 2 detected, moderate 2 / 2, obvious 2 / 2, with 0 honest flags. Subtle skimming is a known gap.</w:t>
      </w:r>
    </w:p>
    <w:p>
      <w:pPr>
        <w:pStyle w:val="Heading2"/>
      </w:pPr>
      <w:r>
        <w:rPr>
          <w:rFonts w:ascii="Calibri" w:cs="Nirmala UI" w:eastAsia="Calibri" w:hAnsi="Calibri"/>
        </w:rPr>
        <w:t xml:space="preserve">Ablations, fairness, forecasting and uplift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2"/>
        <w:gridCol w:w="2972"/>
      </w:tblGrid>
      <w:tr>
        <w:trPr>
          <w:tblHeader/>
        </w:trPr>
        <w:tc>
          <w:tcPr>
            <w:tcW w:type="dxa" w:w="3962"/>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Test</w:t>
            </w:r>
          </w:p>
        </w:tc>
        <w:tc>
          <w:tcPr>
            <w:tcW w:type="dxa" w:w="2972"/>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Result</w:t>
            </w:r>
          </w:p>
        </w:tc>
        <w:tc>
          <w:tcPr>
            <w:tcW w:type="dxa" w:w="2972"/>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Comparison</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Remove 8 session signals (assisted model)</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PR-AUC 0.814 → 0.801</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Session behaviour adds signal</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Extra 5% label flips on top of 10% noise</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PR-AUC 0.812</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Robust to label noise</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Fairness: max TPR gap (age, gender, region, area)</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5.6%</w:t>
            </w:r>
            <w:r>
              <w:rPr>
                <w:rFonts w:ascii="Calibri" w:cs="Nirmala UI" w:eastAsia="Calibri" w:hAnsi="Calibri"/>
                <w:sz w:val="18"/>
                <w:szCs w:val="18"/>
              </w:rPr>
              <w:t xml:space="preserve"> held-out, 5.4% shifted</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Target ≤ 10%: met</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Liquidity forecast WAPE (29,400 agent-days)</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0.90</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7-day average 1.35; same day last week 1.63</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Liquidity P90 coverage</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0.897</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Target 0.90</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Uplift: true extra enrollments, top 20%</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278.5</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Response model 253.0; rule 213.2; random 101.7</w:t>
            </w:r>
          </w:p>
        </w:tc>
      </w:tr>
    </w:tbl>
    <w:p>
      <w:pPr>
        <w:spacing w:after="80"/>
      </w:pPr>
    </w:p>
    <w:p>
      <w:pPr>
        <w:spacing w:after="120"/>
      </w:pPr>
      <w:r>
        <w:rPr>
          <w:rFonts w:ascii="Calibri" w:cs="Nirmala UI" w:eastAsia="Calibri" w:hAnsi="Calibri"/>
        </w:rPr>
        <w:t xml:space="preserve">The live pages re-train liquidity and uplift on the live ledger every 15 minutes, so their on-screen numbers change with the data; the figures above are the frozen offline run used in the README and video.</w:t>
      </w:r>
    </w:p>
    <w:p>
      <w:pPr>
        <w:pStyle w:val="Heading2"/>
      </w:pPr>
      <w:r>
        <w:rPr>
          <w:rFonts w:ascii="Calibri" w:cs="Nirmala UI" w:eastAsia="Calibri" w:hAnsi="Calibri"/>
        </w:rPr>
        <w:t xml:space="preserve">Adoption scenarios (idealised simulation)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5"/>
      </w:tblGrid>
      <w:tr>
        <w:trPr>
          <w:tblHeader/>
        </w:trPr>
        <w:tc>
          <w:tcPr>
            <w:tcW w:type="dxa" w:w="2477"/>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Adoption (assumption)</w:t>
            </w:r>
          </w:p>
        </w:tc>
        <w:tc>
          <w:tcPr>
            <w:tcW w:type="dxa" w:w="2477"/>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Eligible loss prevented</w:t>
            </w:r>
          </w:p>
        </w:tc>
        <w:tc>
          <w:tcPr>
            <w:tcW w:type="dxa" w:w="2477"/>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Share of eligible loss</w:t>
            </w:r>
          </w:p>
        </w:tc>
        <w:tc>
          <w:tcPr>
            <w:tcW w:type="dxa" w:w="2475"/>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Share of all injected loss</w:t>
            </w:r>
          </w:p>
        </w:tc>
      </w:tr>
      <w:tr>
        <w:trPr>
          <w:cantSplit/>
        </w:trPr>
        <w:tc>
          <w:tcPr>
            <w:tcW w:type="dxa" w:w="24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30%</w:t>
            </w:r>
          </w:p>
        </w:tc>
        <w:tc>
          <w:tcPr>
            <w:tcW w:type="dxa" w:w="24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৳4,440.68</w:t>
            </w:r>
          </w:p>
        </w:tc>
        <w:tc>
          <w:tcPr>
            <w:tcW w:type="dxa" w:w="24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30%</w:t>
            </w:r>
          </w:p>
        </w:tc>
        <w:tc>
          <w:tcPr>
            <w:tcW w:type="dxa" w:w="24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23.7%</w:t>
            </w:r>
          </w:p>
        </w:tc>
      </w:tr>
      <w:tr>
        <w:trPr>
          <w:cantSplit/>
        </w:trPr>
        <w:tc>
          <w:tcPr>
            <w:tcW w:type="dxa" w:w="24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50%</w:t>
            </w:r>
          </w:p>
        </w:tc>
        <w:tc>
          <w:tcPr>
            <w:tcW w:type="dxa" w:w="24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৳7,401.13</w:t>
            </w:r>
          </w:p>
        </w:tc>
        <w:tc>
          <w:tcPr>
            <w:tcW w:type="dxa" w:w="24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50%</w:t>
            </w:r>
          </w:p>
        </w:tc>
        <w:tc>
          <w:tcPr>
            <w:tcW w:type="dxa" w:w="24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39.5%</w:t>
            </w:r>
          </w:p>
        </w:tc>
      </w:tr>
      <w:tr>
        <w:trPr>
          <w:cantSplit/>
        </w:trPr>
        <w:tc>
          <w:tcPr>
            <w:tcW w:type="dxa" w:w="24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70%</w:t>
            </w:r>
          </w:p>
        </w:tc>
        <w:tc>
          <w:tcPr>
            <w:tcW w:type="dxa" w:w="24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৳10,361.58</w:t>
            </w:r>
          </w:p>
        </w:tc>
        <w:tc>
          <w:tcPr>
            <w:tcW w:type="dxa" w:w="247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70%</w:t>
            </w:r>
          </w:p>
        </w:tc>
        <w:tc>
          <w:tcPr>
            <w:tcW w:type="dxa" w:w="247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55.3%</w:t>
            </w:r>
          </w:p>
        </w:tc>
      </w:tr>
    </w:tbl>
    <w:p>
      <w:pPr>
        <w:spacing w:after="80"/>
      </w:pPr>
    </w:p>
    <w:p>
      <w:pPr>
        <w:spacing w:after="120"/>
      </w:pPr>
      <w:r>
        <w:rPr>
          <w:rFonts w:ascii="Calibri" w:cs="Nirmala UI" w:eastAsia="Calibri" w:hAnsi="Calibri"/>
        </w:rPr>
        <w:t xml:space="preserve">Eligible assisted loss in the test simulation: ৳14,802.26 from 244 skimmer actions over 8,810 eligible assisted cash-outs. Assumes perfect compliance; not a measured field result.</w:t>
      </w:r>
    </w:p>
    <w:p>
      <w:pPr>
        <w:pStyle w:val="Heading1"/>
      </w:pPr>
      <w:r>
        <w:rPr>
          <w:rFonts w:ascii="Calibri" w:cs="Nirmala UI" w:eastAsia="Calibri" w:hAnsi="Calibri"/>
        </w:rPr>
        <w:t xml:space="preserve">8. Intended Real-Life Impact</w:t>
      </w:r>
    </w:p>
    <w:p>
      <w:pPr>
        <w:pStyle w:val="Heading2"/>
      </w:pPr>
      <w:r>
        <w:rPr>
          <w:rFonts w:ascii="Calibri" w:cs="Nirmala UI" w:eastAsia="Calibri" w:hAnsi="Calibri"/>
        </w:rPr>
        <w:t xml:space="preserve">Benefits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4260"/>
        <w:gridCol w:w="3467"/>
      </w:tblGrid>
      <w:tr>
        <w:trPr>
          <w:tblHeader/>
        </w:trPr>
        <w:tc>
          <w:tcPr>
            <w:tcW w:type="dxa" w:w="2179"/>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Who</w:t>
            </w:r>
          </w:p>
        </w:tc>
        <w:tc>
          <w:tcPr>
            <w:tcW w:type="dxa" w:w="4260"/>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Benefit</w:t>
            </w:r>
          </w:p>
        </w:tc>
        <w:tc>
          <w:tcPr>
            <w:tcW w:type="dxa" w:w="3467"/>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Measured outcome in a pilot</w:t>
            </w:r>
          </w:p>
        </w:tc>
      </w:tr>
      <w:tr>
        <w:trPr>
          <w:cantSplit/>
        </w:trPr>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Assisted customers</w:t>
            </w:r>
          </w:p>
        </w:tc>
        <w:tc>
          <w:tcPr>
            <w:tcW w:type="dxa" w:w="42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Know within seconds whether they got the right cash; can ask for help silently; no new app or literacy needed</w:t>
            </w:r>
          </w:p>
        </w:tc>
        <w:tc>
          <w:tcPr>
            <w:tcW w:type="dxa" w:w="34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Confirmation rate; customer-confirmed mismatches; complaints resolved; opt-out rate</w:t>
            </w:r>
          </w:p>
        </w:tc>
      </w:tr>
      <w:tr>
        <w:trPr>
          <w:cantSplit/>
        </w:trPr>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Honest agents</w:t>
            </w:r>
          </w:p>
        </w:tc>
        <w:tc>
          <w:tcPr>
            <w:tcW w:type="dxa" w:w="42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Proof of correct service; fewer false accusations; cash planning avoids running out on allowance days</w:t>
            </w:r>
          </w:p>
        </w:tc>
        <w:tc>
          <w:tcPr>
            <w:tcW w:type="dxa" w:w="34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Honest-agent false-flag rate; stock-out days; agent satisfaction</w:t>
            </w:r>
          </w:p>
        </w:tc>
      </w:tr>
      <w:tr>
        <w:trPr>
          <w:cantSplit/>
        </w:trPr>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upay operations</w:t>
            </w:r>
          </w:p>
        </w:tc>
        <w:tc>
          <w:tcPr>
            <w:tcW w:type="dxa" w:w="42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Early detection of skimming agents; prioritised queues; audit trail for disputes and regulators</w:t>
            </w:r>
          </w:p>
        </w:tc>
        <w:tc>
          <w:tcPr>
            <w:tcW w:type="dxa" w:w="34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Confirmed skimming events per 10,000 cash-outs; time to resolve; cost per confirmation</w:t>
            </w:r>
          </w:p>
        </w:tc>
      </w:tr>
      <w:tr>
        <w:trPr>
          <w:cantSplit/>
        </w:trPr>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upay growth</w:t>
            </w:r>
          </w:p>
        </w:tc>
        <w:tc>
          <w:tcPr>
            <w:tcW w:type="dxa" w:w="42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Trust for first-time users; outreach budget spent only where it changes behaviour</w:t>
            </w:r>
          </w:p>
        </w:tc>
        <w:tc>
          <w:tcPr>
            <w:tcW w:type="dxa" w:w="34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Extra enrollments per Taka vs usual targeting</w:t>
            </w:r>
          </w:p>
        </w:tc>
      </w:tr>
    </w:tbl>
    <w:p>
      <w:pPr>
        <w:spacing w:after="80"/>
      </w:pPr>
    </w:p>
    <w:p>
      <w:pPr>
        <w:pStyle w:val="Heading2"/>
      </w:pPr>
      <w:r>
        <w:rPr>
          <w:rFonts w:ascii="Calibri" w:cs="Nirmala UI" w:eastAsia="Calibri" w:hAnsi="Calibri"/>
        </w:rPr>
        <w:t xml:space="preserve">Cost, benefit and break-even (all values are ASSUMPTIONS)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8"/>
      </w:tblGrid>
      <w:tr>
        <w:trPr>
          <w:tblHeader/>
        </w:trPr>
        <w:tc>
          <w:tcPr>
            <w:tcW w:type="dxa" w:w="5448"/>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Cost per confirmed cash-out</w:t>
            </w:r>
          </w:p>
        </w:tc>
        <w:tc>
          <w:tcPr>
            <w:tcW w:type="dxa" w:w="4458"/>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Assumption</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Local IVR call (about 45 seconds)</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৳0.80</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Receipt SMS</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৳0.30</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Manual review: 3% of confirmations × 8 minutes at ৳250/hour</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৳1.00 (averaged)</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Hosting and operations</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৳0.10</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Total per confirmed cash-out</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৳2.20 (৳2,200 per 1,000)</w:t>
            </w:r>
          </w:p>
        </w:tc>
      </w:tr>
    </w:tbl>
    <w:p>
      <w:pPr>
        <w:spacing w:after="80"/>
      </w:pPr>
    </w:p>
    <w:p>
      <w:pPr>
        <w:spacing w:after="120"/>
      </w:pPr>
      <w:r>
        <w:rPr>
          <w:rFonts w:ascii="Calibri" w:cs="Nirmala UI" w:eastAsia="Calibri" w:hAnsi="Calibri"/>
        </w:rPr>
        <w:t xml:space="preserve">Benefit per 1,000 assisted cash-outs uses the simulation incidence (244 skimmer actions / 8,810 assisted cash-outs ≈ </w:t>
      </w:r>
      <w:r>
        <w:rPr>
          <w:rFonts w:ascii="Calibri" w:cs="Nirmala UI" w:eastAsia="Calibri" w:hAnsi="Calibri"/>
          <w:b/>
          <w:bCs/>
        </w:rPr>
        <w:t xml:space="preserve">2.8%</w:t>
      </w:r>
      <w:r>
        <w:rPr>
          <w:rFonts w:ascii="Calibri" w:cs="Nirmala UI" w:eastAsia="Calibri" w:hAnsi="Calibri"/>
        </w:rPr>
        <w:t xml:space="preserve">, so 28 incidents), a 50% prevention rate, and avoided dispute handling (40% of incidents become complaints costing ৳150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981"/>
        <w:gridCol w:w="1981"/>
        <w:gridCol w:w="1982"/>
      </w:tblGrid>
      <w:tr>
        <w:trPr>
          <w:tblHeader/>
        </w:trPr>
        <w:tc>
          <w:tcPr>
            <w:tcW w:type="dxa" w:w="3962"/>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Scenario per 1,000 assisted cash-outs</w:t>
            </w:r>
          </w:p>
        </w:tc>
        <w:tc>
          <w:tcPr>
            <w:tcW w:type="dxa" w:w="1981"/>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Cost</w:t>
            </w:r>
          </w:p>
        </w:tc>
        <w:tc>
          <w:tcPr>
            <w:tcW w:type="dxa" w:w="1981"/>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Benefit</w:t>
            </w:r>
          </w:p>
        </w:tc>
        <w:tc>
          <w:tcPr>
            <w:tcW w:type="dxa" w:w="1982"/>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Net</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 Call every cash-out; simulated loss ৳61 per incident</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৳2,200</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৳1,694</w:t>
            </w:r>
          </w:p>
        </w:tc>
        <w:tc>
          <w:tcPr>
            <w:tcW w:type="dxa" w:w="19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−৳506</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B. Call every cash-out; ৳150 per incident (TIB minimum reported loss is ৳300)</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৳2,200</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৳2,940</w:t>
            </w:r>
          </w:p>
        </w:tc>
        <w:tc>
          <w:tcPr>
            <w:tcW w:type="dxa" w:w="19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+৳740</w:t>
            </w:r>
          </w:p>
        </w:tc>
      </w:tr>
      <w:tr>
        <w:trPr>
          <w:cantSplit/>
        </w:trPr>
        <w:tc>
          <w:tcPr>
            <w:tcW w:type="dxa" w:w="39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 Risk-targeted: call 40% (watchlist, high-risk agents, assisted customers, 10% random audit), catching 80% of incidents; ৳61 loss</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৳880</w:t>
            </w:r>
          </w:p>
        </w:tc>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৳1,355</w:t>
            </w:r>
          </w:p>
        </w:tc>
        <w:tc>
          <w:tcPr>
            <w:tcW w:type="dxa" w:w="19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+৳475</w:t>
            </w:r>
          </w:p>
        </w:tc>
      </w:tr>
    </w:tbl>
    <w:p>
      <w:pPr>
        <w:spacing w:after="80"/>
      </w:pPr>
    </w:p>
    <w:p>
      <w:pPr>
        <w:spacing w:after="120"/>
      </w:pPr>
      <w:r>
        <w:rPr>
          <w:rFonts w:ascii="Calibri" w:cs="Nirmala UI" w:eastAsia="Calibri" w:hAnsi="Calibri"/>
          <w:b/>
          <w:bCs/>
        </w:rPr>
        <w:t xml:space="preserve">Break-even:</w:t>
      </w:r>
      <w:r>
        <w:rPr>
          <w:rFonts w:ascii="Calibri" w:cs="Nirmala UI" w:eastAsia="Calibri" w:hAnsi="Calibri"/>
        </w:rPr>
        <w:t xml:space="preserve"> calling every cash-out pays for itself when the average loss per incident is above </w:t>
      </w:r>
      <w:r>
        <w:rPr>
          <w:rFonts w:ascii="Calibri" w:cs="Nirmala UI" w:eastAsia="Calibri" w:hAnsi="Calibri"/>
          <w:b/>
          <w:bCs/>
        </w:rPr>
        <w:t xml:space="preserve">৳97</w:t>
      </w:r>
      <w:r>
        <w:rPr>
          <w:rFonts w:ascii="Calibri" w:cs="Nirmala UI" w:eastAsia="Calibri" w:hAnsi="Calibri"/>
        </w:rPr>
        <w:t xml:space="preserve">; risk-targeted calling (scenario C) pays for itself even at the simulated ৳61. Deterrence (agents skim less once every cash-out may be checked), customer trust and regulatory value are not counted.</w:t>
      </w:r>
    </w:p>
    <w:p>
      <w:pPr>
        <w:pStyle w:val="Heading2"/>
      </w:pPr>
      <w:r>
        <w:rPr>
          <w:rFonts w:ascii="Calibri" w:cs="Nirmala UI" w:eastAsia="Calibri" w:hAnsi="Calibri"/>
        </w:rPr>
        <w:t xml:space="preserve">Pilot plan with stop-or-go gates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467"/>
        <w:gridCol w:w="4458"/>
      </w:tblGrid>
      <w:tr>
        <w:trPr>
          <w:tblHeader/>
        </w:trPr>
        <w:tc>
          <w:tcPr>
            <w:tcW w:type="dxa" w:w="1981"/>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Phase</w:t>
            </w:r>
          </w:p>
        </w:tc>
        <w:tc>
          <w:tcPr>
            <w:tcW w:type="dxa" w:w="3467"/>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Scope</w:t>
            </w:r>
          </w:p>
        </w:tc>
        <w:tc>
          <w:tcPr>
            <w:tcW w:type="dxa" w:w="4458"/>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Go only if (otherwise stop or fix)</w:t>
            </w:r>
          </w:p>
        </w:tc>
      </w:tr>
      <w:tr>
        <w:trPr>
          <w:cantSplit/>
        </w:trPr>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0. Sandbox (2 weeks)</w:t>
            </w:r>
          </w:p>
        </w:tc>
        <w:tc>
          <w:tcPr>
            <w:tcW w:type="dxa" w:w="34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Replay governed, anonymised upay data; re-train and audit models</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Model beats rule baseline on real labels; fairness gap ≤ 10%; privacy and security review passed</w:t>
            </w:r>
          </w:p>
        </w:tc>
      </w:tr>
      <w:tr>
        <w:trPr>
          <w:cantSplit/>
        </w:trPr>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1. Small pilot (8 weeks)</w:t>
            </w:r>
          </w:p>
        </w:tc>
        <w:tc>
          <w:tcPr>
            <w:tcW w:type="dxa" w:w="34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1 upazila, 50 agents, about 2,000 consenting assisted customers; local IVR</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Answer rate ≥ 60%; completion ≥ 70% of answered calls; honest-agent false suspicious ≤ 2%; 90% of cases reviewed within 24 h; call complaints ≤ 1%; opt-out ≤ 15%; cost ≤ ৳2.50 per confirmation; no harm from duress handling</w:t>
            </w:r>
          </w:p>
        </w:tc>
      </w:tr>
      <w:tr>
        <w:trPr>
          <w:cantSplit/>
        </w:trPr>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 Randomised scale-up (3 months)</w:t>
            </w:r>
          </w:p>
        </w:tc>
        <w:tc>
          <w:tcPr>
            <w:tcW w:type="dxa" w:w="34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3 districts, 500 agents, randomised by agent (Sathi vs control)</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Confirmed skimming events down ≥ 30% vs control; dispute resolution time down; net benefit positive under scenario B or C</w:t>
            </w:r>
          </w:p>
        </w:tc>
      </w:tr>
      <w:tr>
        <w:trPr>
          <w:cantSplit/>
        </w:trPr>
        <w:tc>
          <w:tcPr>
            <w:tcW w:type="dxa" w:w="198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3. Rollout</w:t>
            </w:r>
          </w:p>
        </w:tc>
        <w:tc>
          <w:tcPr>
            <w:tcW w:type="dxa" w:w="34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Integrate with upay cash-out events and customer numbers</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Board, compliance and Bangladesh Bank requirements met</w:t>
            </w:r>
          </w:p>
        </w:tc>
      </w:tr>
    </w:tbl>
    <w:p>
      <w:pPr>
        <w:spacing w:after="80"/>
      </w:pPr>
    </w:p>
    <w:p>
      <w:pPr>
        <w:pStyle w:val="Heading1"/>
      </w:pPr>
      <w:r>
        <w:rPr>
          <w:rFonts w:ascii="Calibri" w:cs="Nirmala UI" w:eastAsia="Calibri" w:hAnsi="Calibri"/>
        </w:rPr>
        <w:t xml:space="preserve">9. Responsible AI and Security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tblHeader/>
        </w:trPr>
        <w:tc>
          <w:tcPr>
            <w:tcW w:type="dxa" w:w="2179"/>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Principle</w:t>
            </w:r>
          </w:p>
        </w:tc>
        <w:tc>
          <w:tcPr>
            <w:tcW w:type="dxa" w:w="7727"/>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How Sathi meets it</w:t>
            </w:r>
          </w:p>
        </w:tc>
      </w:tr>
      <w:tr>
        <w:trPr>
          <w:cantSplit/>
        </w:trPr>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Privacy</w:t>
            </w:r>
          </w:p>
        </w:tc>
        <w:tc>
          <w:tcPr>
            <w:tcW w:type="dxa" w:w="77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Synthetic data only; no demographics in models; other people’s numbers masked in send money and the assistant; community reporters stored as keyed hashes; descriptions cleaned of numbers; credentials encrypted at rest</w:t>
            </w:r>
          </w:p>
        </w:tc>
      </w:tr>
      <w:tr>
        <w:trPr>
          <w:cantSplit/>
        </w:trPr>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Explainability</w:t>
            </w:r>
          </w:p>
        </w:tc>
        <w:tc>
          <w:tcPr>
            <w:tcW w:type="dxa" w:w="77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SHAP reasons for customer scores, signal reasons for agents, plain-language advice and a “How this page works” guide on every AI page; LLM briefs must cite evidence</w:t>
            </w:r>
          </w:p>
        </w:tc>
      </w:tr>
      <w:tr>
        <w:trPr>
          <w:cantSplit/>
        </w:trPr>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Fairness</w:t>
            </w:r>
          </w:p>
        </w:tc>
        <w:tc>
          <w:tcPr>
            <w:tcW w:type="dxa" w:w="77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Demographics used only to audit; TPR gap 5.6% (target ≤ 10%); honest high-volume agents measured explicitly; peers from train agents only</w:t>
            </w:r>
          </w:p>
        </w:tc>
      </w:tr>
      <w:tr>
        <w:trPr>
          <w:cantSplit/>
        </w:trPr>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Security</w:t>
            </w:r>
          </w:p>
        </w:tc>
        <w:tc>
          <w:tcPr>
            <w:tcW w:type="dxa" w:w="77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Short-lived signed JWT with role and scope checks; PBKDF2 PIN hashes; signed provider webhooks plus per-call tokens; one live call per check; row locks against double spend</w:t>
            </w:r>
          </w:p>
        </w:tc>
      </w:tr>
      <w:tr>
        <w:trPr>
          <w:cantSplit/>
        </w:trPr>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Human oversight</w:t>
            </w:r>
          </w:p>
        </w:tc>
        <w:tc>
          <w:tcPr>
            <w:tcW w:type="dxa" w:w="77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Every suspicious result goes to a supervisor; assignment, notes, audit reports and an immutable audit log</w:t>
            </w:r>
          </w:p>
        </w:tc>
      </w:tr>
      <w:tr>
        <w:trPr>
          <w:cantSplit/>
        </w:trPr>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Transparency</w:t>
            </w:r>
          </w:p>
        </w:tc>
        <w:tc>
          <w:tcPr>
            <w:tcW w:type="dxa" w:w="77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Synthetic-data banner on every page; assumptions labelled; frozen, reproducible evaluation published in the console</w:t>
            </w:r>
          </w:p>
        </w:tc>
      </w:tr>
      <w:tr>
        <w:trPr>
          <w:cantSplit/>
        </w:trPr>
        <w:tc>
          <w:tcPr>
            <w:tcW w:type="dxa" w:w="217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No harmful automation</w:t>
            </w:r>
          </w:p>
        </w:tc>
        <w:tc>
          <w:tcPr>
            <w:tcW w:type="dxa" w:w="772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No automatic blocking; silence is never a denial; warnings never accuse (“appears in community alerts”, never “scam”); the customer always decides</w:t>
            </w:r>
          </w:p>
        </w:tc>
      </w:tr>
    </w:tbl>
    <w:p>
      <w:pPr>
        <w:spacing w:after="80"/>
      </w:pPr>
    </w:p>
    <w:p>
      <w:pPr>
        <w:pStyle w:val="Heading2"/>
      </w:pPr>
      <w:r>
        <w:rPr>
          <w:rFonts w:ascii="Calibri" w:cs="Nirmala UI" w:eastAsia="Calibri" w:hAnsi="Calibri"/>
        </w:rPr>
        <w:t xml:space="preserve">Main threats and mitigations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64"/>
        <w:gridCol w:w="6142"/>
      </w:tblGrid>
      <w:tr>
        <w:trPr>
          <w:tblHeader/>
        </w:trPr>
        <w:tc>
          <w:tcPr>
            <w:tcW w:type="dxa" w:w="3764"/>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Threat</w:t>
            </w:r>
          </w:p>
        </w:tc>
        <w:tc>
          <w:tcPr>
            <w:tcW w:type="dxa" w:w="6142"/>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Mitigation</w:t>
            </w:r>
          </w:p>
        </w:tc>
      </w:tr>
      <w:tr>
        <w:trPr>
          <w:cantSplit/>
        </w:trPr>
        <w:tc>
          <w:tcPr>
            <w:tcW w:type="dxa" w:w="37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Agent watches the customer answer the call</w:t>
            </w:r>
          </w:p>
        </w:tc>
        <w:tc>
          <w:tcPr>
            <w:tcW w:type="dxa" w:w="61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Prompt never states the amount; silent 0 code; agent sees only “Confirmation done”</w:t>
            </w:r>
          </w:p>
        </w:tc>
      </w:tr>
      <w:tr>
        <w:trPr>
          <w:cantSplit/>
        </w:trPr>
        <w:tc>
          <w:tcPr>
            <w:tcW w:type="dxa" w:w="37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Agent answers the call on the customer’s phone</w:t>
            </w:r>
          </w:p>
        </w:tc>
        <w:tc>
          <w:tcPr>
            <w:tcW w:type="dxa" w:w="61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Calls go to the registered number; cash gaps raise agent risk; random human callbacks (planned for the pilot)</w:t>
            </w:r>
          </w:p>
        </w:tc>
      </w:tr>
      <w:tr>
        <w:trPr>
          <w:cantSplit/>
        </w:trPr>
        <w:tc>
          <w:tcPr>
            <w:tcW w:type="dxa" w:w="37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Forged provider webhooks or replayed codes</w:t>
            </w:r>
          </w:p>
        </w:tc>
        <w:tc>
          <w:tcPr>
            <w:tcW w:type="dxa" w:w="61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Signature verification, per-call tokens, hashed one-time codes, replay rejection, attempt limits</w:t>
            </w:r>
          </w:p>
        </w:tc>
      </w:tr>
      <w:tr>
        <w:trPr>
          <w:cantSplit/>
        </w:trPr>
        <w:tc>
          <w:tcPr>
            <w:tcW w:type="dxa" w:w="37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Malicious or false community reports</w:t>
            </w:r>
          </w:p>
        </w:tc>
        <w:tc>
          <w:tcPr>
            <w:tcW w:type="dxa" w:w="61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Moderation, rate limits, “me too” once per customer, warning wording that never accuses</w:t>
            </w:r>
          </w:p>
        </w:tc>
      </w:tr>
      <w:tr>
        <w:trPr>
          <w:cantSplit/>
        </w:trPr>
        <w:tc>
          <w:tcPr>
            <w:tcW w:type="dxa" w:w="37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Prompt injection into the LLM</w:t>
            </w:r>
          </w:p>
        </w:tc>
        <w:tc>
          <w:tcPr>
            <w:tcW w:type="dxa" w:w="61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Only structured facts are sent; output schema, citation, accusation and phone-number checks; template fallback</w:t>
            </w:r>
          </w:p>
        </w:tc>
      </w:tr>
      <w:tr>
        <w:trPr>
          <w:cantSplit/>
        </w:trPr>
        <w:tc>
          <w:tcPr>
            <w:tcW w:type="dxa" w:w="376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Model drift</w:t>
            </w:r>
          </w:p>
        </w:tc>
        <w:tc>
          <w:tcPr>
            <w:tcW w:type="dxa" w:w="61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Shifted-data tests, 15-minute live re-scoring, human review of every flag</w:t>
            </w:r>
          </w:p>
        </w:tc>
      </w:tr>
    </w:tbl>
    <w:p>
      <w:pPr>
        <w:spacing w:after="80"/>
      </w:pPr>
    </w:p>
    <w:p>
      <w:pPr>
        <w:pStyle w:val="Heading1"/>
      </w:pPr>
      <w:r>
        <w:rPr>
          <w:rFonts w:ascii="Calibri" w:cs="Nirmala UI" w:eastAsia="Calibri" w:hAnsi="Calibri"/>
        </w:rPr>
        <w:t xml:space="preserve">10. Scalability and Integration</w:t>
      </w:r>
    </w:p>
    <w:p>
      <w:pPr>
        <w:pStyle w:val="ListParagraph"/>
        <w:numPr>
          <w:ilvl w:val="0"/>
          <w:numId w:val="2"/>
        </w:numPr>
        <w:spacing w:after="60"/>
      </w:pPr>
      <w:r>
        <w:rPr>
          <w:rFonts w:ascii="Calibri" w:cs="Nirmala UI" w:eastAsia="Calibri" w:hAnsi="Calibri"/>
          <w:b/>
          <w:bCs/>
        </w:rPr>
        <w:t xml:space="preserve">Tested at national scale:</w:t>
      </w:r>
      <w:r>
        <w:rPr>
          <w:rFonts w:ascii="Calibri" w:cs="Nirmala UI" w:eastAsia="Calibri" w:hAnsi="Calibri"/>
        </w:rPr>
        <w:t xml:space="preserve"> 5.02 million synthetic customers and 20,301 agents in one PostgreSQL 16 database; directory search by phone number in about </w:t>
      </w:r>
      <w:r>
        <w:rPr>
          <w:rFonts w:ascii="Calibri" w:cs="Nirmala UI" w:eastAsia="Calibri" w:hAnsi="Calibri"/>
          <w:b/>
          <w:bCs/>
        </w:rPr>
        <w:t xml:space="preserve">7 ms</w:t>
      </w:r>
      <w:r>
        <w:rPr>
          <w:rFonts w:ascii="Calibri" w:cs="Nirmala UI" w:eastAsia="Calibri" w:hAnsi="Calibri"/>
        </w:rPr>
        <w:t xml:space="preserve">; pages answer in under </w:t>
      </w:r>
      <w:r>
        <w:rPr>
          <w:rFonts w:ascii="Calibri" w:cs="Nirmala UI" w:eastAsia="Calibri" w:hAnsi="Calibri"/>
          <w:b/>
          <w:bCs/>
        </w:rPr>
        <w:t xml:space="preserve">0.2 s</w:t>
      </w:r>
      <w:r>
        <w:rPr>
          <w:rFonts w:ascii="Calibri" w:cs="Nirmala UI" w:eastAsia="Calibri" w:hAnsi="Calibri"/>
        </w:rPr>
        <w:t xml:space="preserve"> warm; models refresh in a separate process so requests are never blocked.</w:t>
      </w:r>
    </w:p>
    <w:p>
      <w:pPr>
        <w:pStyle w:val="ListParagraph"/>
        <w:numPr>
          <w:ilvl w:val="0"/>
          <w:numId w:val="2"/>
        </w:numPr>
        <w:spacing w:after="60"/>
      </w:pPr>
      <w:r>
        <w:rPr>
          <w:rFonts w:ascii="Calibri" w:cs="Nirmala UI" w:eastAsia="Calibri" w:hAnsi="Calibri"/>
          <w:b/>
          <w:bCs/>
        </w:rPr>
        <w:t xml:space="preserve">Channel-agnostic API:</w:t>
      </w:r>
      <w:r>
        <w:rPr>
          <w:rFonts w:ascii="Calibri" w:cs="Nirmala UI" w:eastAsia="Calibri" w:hAnsi="Calibri"/>
        </w:rPr>
        <w:t xml:space="preserve"> one REST API serves the app, a USSD or IVR gateway, and SMS. Voice providers are adapters (Twilio, Bangladesh JSON IVR, simulated) behind the same interface, so a local operator can be added without changing the flow.</w:t>
      </w:r>
    </w:p>
    <w:p>
      <w:pPr>
        <w:pStyle w:val="ListParagraph"/>
        <w:numPr>
          <w:ilvl w:val="0"/>
          <w:numId w:val="2"/>
        </w:numPr>
        <w:spacing w:after="60"/>
      </w:pPr>
      <w:r>
        <w:rPr>
          <w:rFonts w:ascii="Calibri" w:cs="Nirmala UI" w:eastAsia="Calibri" w:hAnsi="Calibri"/>
          <w:b/>
          <w:bCs/>
        </w:rPr>
        <w:t xml:space="preserve">Path to real systems:</w:t>
      </w:r>
      <w:r>
        <w:rPr>
          <w:rFonts w:ascii="Calibri" w:cs="Nirmala UI" w:eastAsia="Calibri" w:hAnsi="Calibri"/>
        </w:rPr>
        <w:t xml:space="preserve"> (1) subscribe to upay cash-out events instead of agent entry; (2) use the registered customer number from upay KYC; (3) replace synthetic training data with governed, anonymised history and re-run the same reproducible pipeline; (4) run the pilot gates in section 8.</w:t>
      </w:r>
    </w:p>
    <w:p>
      <w:pPr>
        <w:pStyle w:val="ListParagraph"/>
        <w:numPr>
          <w:ilvl w:val="0"/>
          <w:numId w:val="2"/>
        </w:numPr>
        <w:spacing w:after="60"/>
      </w:pPr>
      <w:r>
        <w:rPr>
          <w:rFonts w:ascii="Calibri" w:cs="Nirmala UI" w:eastAsia="Calibri" w:hAnsi="Calibri"/>
          <w:b/>
          <w:bCs/>
        </w:rPr>
        <w:t xml:space="preserve">Controlled validation with governed data:</w:t>
      </w:r>
      <w:r>
        <w:rPr>
          <w:rFonts w:ascii="Calibri" w:cs="Nirmala UI" w:eastAsia="Calibri" w:hAnsi="Calibri"/>
        </w:rPr>
        <w:t xml:space="preserve"> the evaluation code, fairness audit and artifact hashing are already automated, so the same tests run on real data inside upay’s environment without data leaving it.</w:t>
      </w:r>
    </w:p>
    <w:p>
      <w:pPr>
        <w:pStyle w:val="ListParagraph"/>
        <w:numPr>
          <w:ilvl w:val="0"/>
          <w:numId w:val="2"/>
        </w:numPr>
        <w:spacing w:after="60"/>
      </w:pPr>
      <w:r>
        <w:rPr>
          <w:rFonts w:ascii="Calibri" w:cs="Nirmala UI" w:eastAsia="Calibri" w:hAnsi="Calibri"/>
          <w:b/>
          <w:bCs/>
        </w:rPr>
        <w:t xml:space="preserve">Operations at scale:</w:t>
      </w:r>
      <w:r>
        <w:rPr>
          <w:rFonts w:ascii="Calibri" w:cs="Nirmala UI" w:eastAsia="Calibri" w:hAnsi="Calibri"/>
        </w:rPr>
        <w:t xml:space="preserve"> shared queues with assignment and even distribution, response targets, retries, and live snapshots that survive restarts.</w:t>
      </w:r>
    </w:p>
    <w:p>
      <w:pPr>
        <w:pStyle w:val="Heading1"/>
      </w:pPr>
      <w:r>
        <w:rPr>
          <w:rFonts w:ascii="Calibri" w:cs="Nirmala UI" w:eastAsia="Calibri" w:hAnsi="Calibri"/>
        </w:rPr>
        <w:t xml:space="preserve">11. Innovation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Already exists elsewhere</w:t>
            </w:r>
          </w:p>
        </w:tc>
        <w:tc>
          <w:tcPr>
            <w:tcW w:type="dxa" w:w="4953"/>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New in Sathi (to our knowledge; formal prior-art search pending)</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Transaction SMS alerts and customer-initiated cash-out with PIN/OTP</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An </w:t>
            </w:r>
            <w:r>
              <w:rPr>
                <w:rFonts w:ascii="Calibri" w:cs="Nirmala UI" w:eastAsia="Calibri" w:hAnsi="Calibri"/>
                <w:b/>
                <w:bCs/>
                <w:sz w:val="18"/>
                <w:szCs w:val="18"/>
              </w:rPr>
              <w:t xml:space="preserve">outbound confirmation call after agent-assisted cash-outs</w:t>
            </w:r>
            <w:r>
              <w:rPr>
                <w:rFonts w:ascii="Calibri" w:cs="Nirmala UI" w:eastAsia="Calibri" w:hAnsi="Calibri"/>
                <w:sz w:val="18"/>
                <w:szCs w:val="18"/>
              </w:rPr>
              <w:t xml:space="preserve">, where the customer states the amount received without being told it</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Call-center complaint lines</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 </w:t>
            </w:r>
            <w:r>
              <w:rPr>
                <w:rFonts w:ascii="Calibri" w:cs="Nirmala UI" w:eastAsia="Calibri" w:hAnsi="Calibri"/>
                <w:b/>
                <w:bCs/>
                <w:sz w:val="18"/>
                <w:szCs w:val="18"/>
              </w:rPr>
              <w:t xml:space="preserve">silent duress code</w:t>
            </w:r>
            <w:r>
              <w:rPr>
                <w:rFonts w:ascii="Calibri" w:cs="Nirmala UI" w:eastAsia="Calibri" w:hAnsi="Calibri"/>
                <w:sz w:val="18"/>
                <w:szCs w:val="18"/>
              </w:rPr>
              <w:t xml:space="preserve"> inside the same call, invisible to a bystander</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Agent monitoring by transaction rules</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Agent risk that combines </w:t>
            </w:r>
            <w:r>
              <w:rPr>
                <w:rFonts w:ascii="Calibri" w:cs="Nirmala UI" w:eastAsia="Calibri" w:hAnsi="Calibri"/>
                <w:b/>
                <w:bCs/>
                <w:sz w:val="18"/>
                <w:szCs w:val="18"/>
              </w:rPr>
              <w:t xml:space="preserve">customer-confirmed cash gaps</w:t>
            </w:r>
            <w:r>
              <w:rPr>
                <w:rFonts w:ascii="Calibri" w:cs="Nirmala UI" w:eastAsia="Calibri" w:hAnsi="Calibri"/>
                <w:sz w:val="18"/>
                <w:szCs w:val="18"/>
              </w:rPr>
              <w:t xml:space="preserve"> with peer-based anomaly detection, robust to honest busy agents</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Generic fraud scores</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 model that finds </w:t>
            </w:r>
            <w:r>
              <w:rPr>
                <w:rFonts w:ascii="Calibri" w:cs="Nirmala UI" w:eastAsia="Calibri" w:hAnsi="Calibri"/>
                <w:b/>
                <w:bCs/>
                <w:sz w:val="18"/>
                <w:szCs w:val="18"/>
              </w:rPr>
              <w:t xml:space="preserve">customers who need protection</w:t>
            </w:r>
            <w:r>
              <w:rPr>
                <w:rFonts w:ascii="Calibri" w:cs="Nirmala UI" w:eastAsia="Calibri" w:hAnsi="Calibri"/>
                <w:sz w:val="18"/>
                <w:szCs w:val="18"/>
              </w:rPr>
              <w:t xml:space="preserve"> and routes help to them first</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Community scam lists</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b/>
                <w:bCs/>
                <w:sz w:val="18"/>
                <w:szCs w:val="18"/>
              </w:rPr>
              <w:t xml:space="preserve">Non-accusatory, LLM-worded warnings</w:t>
            </w:r>
            <w:r>
              <w:rPr>
                <w:rFonts w:ascii="Calibri" w:cs="Nirmala UI" w:eastAsia="Calibri" w:hAnsi="Calibri"/>
                <w:sz w:val="18"/>
                <w:szCs w:val="18"/>
              </w:rPr>
              <w:t xml:space="preserve"> with a hard guard against accusations and leaked numbers</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Separate tools for risk, cash and campaigns</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One platform that also covers </w:t>
            </w:r>
            <w:r>
              <w:rPr>
                <w:rFonts w:ascii="Calibri" w:cs="Nirmala UI" w:eastAsia="Calibri" w:hAnsi="Calibri"/>
                <w:b/>
                <w:bCs/>
                <w:sz w:val="18"/>
                <w:szCs w:val="18"/>
              </w:rPr>
              <w:t xml:space="preserve">agent liquidity</w:t>
            </w:r>
            <w:r>
              <w:rPr>
                <w:rFonts w:ascii="Calibri" w:cs="Nirmala UI" w:eastAsia="Calibri" w:hAnsi="Calibri"/>
                <w:sz w:val="18"/>
                <w:szCs w:val="18"/>
              </w:rPr>
              <w:t xml:space="preserve"> and </w:t>
            </w:r>
            <w:r>
              <w:rPr>
                <w:rFonts w:ascii="Calibri" w:cs="Nirmala UI" w:eastAsia="Calibri" w:hAnsi="Calibri"/>
                <w:b/>
                <w:bCs/>
                <w:sz w:val="18"/>
                <w:szCs w:val="18"/>
              </w:rPr>
              <w:t xml:space="preserve">uplift-targeted outreach</w:t>
            </w:r>
            <w:r>
              <w:rPr>
                <w:rFonts w:ascii="Calibri" w:cs="Nirmala UI" w:eastAsia="Calibri" w:hAnsi="Calibri"/>
                <w:sz w:val="18"/>
                <w:szCs w:val="18"/>
              </w:rPr>
              <w:t xml:space="preserve"> on the same live data</w:t>
            </w:r>
          </w:p>
        </w:tc>
      </w:tr>
    </w:tbl>
    <w:p>
      <w:pPr>
        <w:spacing w:after="80"/>
      </w:pPr>
    </w:p>
    <w:p>
      <w:pPr>
        <w:pStyle w:val="Heading1"/>
      </w:pPr>
      <w:r>
        <w:rPr>
          <w:rFonts w:ascii="Calibri" w:cs="Nirmala UI" w:eastAsia="Calibri" w:hAnsi="Calibri"/>
        </w:rPr>
        <w:t xml:space="preserve">12. Limitations and Next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Limitation</w:t>
            </w:r>
          </w:p>
        </w:tc>
        <w:tc>
          <w:tcPr>
            <w:tcW w:type="dxa" w:w="4953"/>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Next step</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All data is synthetic; real accuracy is not proven</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Sandbox on governed upay data (pilot phase 0)</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 confirmation cannot prove physical cash delivery or who answered</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Random human callbacks; pattern-based agent risk</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Agent detector rests on small samples; subtle skimming is missed</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Real labels from supervisor decisions; richer agent features</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Live calls depend on provider setup and an always-on API</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Partner with a local IVR provider; paid always-on hosting</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Bangla speech recognition is limited to a parser and provider speech input</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Bangla ASR model trained on consented call audio</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Uplift outcomes are simulated</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Run a real randomised outreach test</w:t>
            </w:r>
          </w:p>
        </w:tc>
      </w:tr>
      <w:tr>
        <w:trPr>
          <w:cantSplit/>
        </w:trPr>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Not integrated with upay</w:t>
            </w:r>
          </w:p>
        </w:tc>
        <w:tc>
          <w:tcPr>
            <w:tcW w:type="dxa" w:w="49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Event and KYC integration in pilot phase 3</w:t>
            </w:r>
          </w:p>
        </w:tc>
      </w:tr>
    </w:tbl>
    <w:p>
      <w:pPr>
        <w:spacing w:after="80"/>
      </w:pPr>
    </w:p>
    <w:p>
      <w:pPr>
        <w:pStyle w:val="Heading1"/>
      </w:pPr>
      <w:r>
        <w:rPr>
          <w:rFonts w:ascii="Calibri" w:cs="Nirmala UI" w:eastAsia="Calibri" w:hAnsi="Calibri"/>
        </w:rPr>
        <w:t xml:space="preserve">13. Disclosures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6"/>
        <w:gridCol w:w="7330"/>
      </w:tblGrid>
      <w:tr>
        <w:trPr>
          <w:tblHeader/>
        </w:trPr>
        <w:tc>
          <w:tcPr>
            <w:tcW w:type="dxa" w:w="2576"/>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Item</w:t>
            </w:r>
          </w:p>
        </w:tc>
        <w:tc>
          <w:tcPr>
            <w:tcW w:type="dxa" w:w="7330"/>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Disclosure</w:t>
            </w:r>
          </w:p>
        </w:tc>
      </w:tr>
      <w:tr>
        <w:trPr>
          <w:cantSplit/>
        </w:trPr>
        <w:tc>
          <w:tcPr>
            <w:tcW w:type="dxa" w:w="257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AI development tools</w:t>
            </w:r>
          </w:p>
        </w:tc>
        <w:tc>
          <w:tcPr>
            <w:tcW w:type="dxa" w:w="73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OpenAI Codex (orchestration, review, documentation and implementation), Google Antigravity IDE and CLI (implementation), Anthropic Claude Code (implementation, testing and documentation), all under the team’s direction and review</w:t>
            </w:r>
          </w:p>
        </w:tc>
      </w:tr>
      <w:tr>
        <w:trPr>
          <w:cantSplit/>
        </w:trPr>
        <w:tc>
          <w:tcPr>
            <w:tcW w:type="dxa" w:w="257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External services</w:t>
            </w:r>
          </w:p>
        </w:tc>
        <w:tc>
          <w:tcPr>
            <w:tcW w:type="dxa" w:w="73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Render (hosting), GitHub (source and CI), Twilio (voice, optional), Alpha SMS (SMS, optional), Google Gemini and OpenAI (LLM wording, optional), Google Fonts</w:t>
            </w:r>
          </w:p>
        </w:tc>
      </w:tr>
      <w:tr>
        <w:trPr>
          <w:cantSplit/>
        </w:trPr>
        <w:tc>
          <w:tcPr>
            <w:tcW w:type="dxa" w:w="257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Models</w:t>
            </w:r>
          </w:p>
        </w:tc>
        <w:tc>
          <w:tcPr>
            <w:tcW w:type="dxa" w:w="73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All models trained by the team on synthetic data; no pretrained external model weights. External LLMs only word explanations and never decide</w:t>
            </w:r>
          </w:p>
        </w:tc>
      </w:tr>
      <w:tr>
        <w:trPr>
          <w:cantSplit/>
        </w:trPr>
        <w:tc>
          <w:tcPr>
            <w:tcW w:type="dxa" w:w="257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Libraries</w:t>
            </w:r>
          </w:p>
        </w:tc>
        <w:tc>
          <w:tcPr>
            <w:tcW w:type="dxa" w:w="73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FastAPI, Uvicorn, Pydantic, psycopg, PyJWT, LightGBM, scikit-learn, SHAP, pandas, NumPy, React, Vite, Tailwind CSS, daisyUI, pytest, Vitest, Playwright (all open source)</w:t>
            </w:r>
          </w:p>
        </w:tc>
      </w:tr>
      <w:tr>
        <w:trPr>
          <w:cantSplit/>
        </w:trPr>
        <w:tc>
          <w:tcPr>
            <w:tcW w:type="dxa" w:w="257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Data</w:t>
            </w:r>
          </w:p>
        </w:tc>
        <w:tc>
          <w:tcPr>
            <w:tcW w:type="dxa" w:w="73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No real personal or upay data; no external datasets. Published sources are cited only for problem evidence</w:t>
            </w:r>
          </w:p>
        </w:tc>
      </w:tr>
      <w:tr>
        <w:trPr>
          <w:cantSplit/>
        </w:trPr>
        <w:tc>
          <w:tcPr>
            <w:tcW w:type="dxa" w:w="257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Pre-existing components</w:t>
            </w:r>
          </w:p>
        </w:tc>
        <w:tc>
          <w:tcPr>
            <w:tcW w:type="dxa" w:w="73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None beyond the open-source libraries above; planning, schema and configuration were written by the team before implementation</w:t>
            </w:r>
          </w:p>
        </w:tc>
      </w:tr>
    </w:tbl>
    <w:p>
      <w:pPr>
        <w:spacing w:after="80"/>
      </w:pPr>
    </w:p>
    <w:p>
      <w:pPr>
        <w:pStyle w:val="Heading1"/>
      </w:pPr>
      <w:r>
        <w:rPr>
          <w:rFonts w:ascii="Calibri" w:cs="Nirmala UI" w:eastAsia="Calibri" w:hAnsi="Calibri"/>
        </w:rPr>
        <w:t xml:space="preserve">Appendix A. 9-step logic chain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
        <w:gridCol w:w="1585"/>
        <w:gridCol w:w="4755"/>
        <w:gridCol w:w="2972"/>
      </w:tblGrid>
      <w:tr>
        <w:trPr>
          <w:tblHeader/>
        </w:trPr>
        <w:tc>
          <w:tcPr>
            <w:tcW w:type="dxa" w:w="594"/>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w:t>
            </w:r>
          </w:p>
        </w:tc>
        <w:tc>
          <w:tcPr>
            <w:tcW w:type="dxa" w:w="1585"/>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Step</w:t>
            </w:r>
          </w:p>
        </w:tc>
        <w:tc>
          <w:tcPr>
            <w:tcW w:type="dxa" w:w="4755"/>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Our answer</w:t>
            </w:r>
          </w:p>
        </w:tc>
        <w:tc>
          <w:tcPr>
            <w:tcW w:type="dxa" w:w="2972"/>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Evidence</w:t>
            </w:r>
          </w:p>
        </w:tc>
      </w:tr>
      <w:tr>
        <w:trPr>
          <w:cantSplit/>
        </w:trPr>
        <w:tc>
          <w:tcPr>
            <w:tcW w:type="dxa" w:w="5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1</w:t>
            </w:r>
          </w:p>
        </w:tc>
        <w:tc>
          <w:tcPr>
            <w:tcW w:type="dxa" w:w="15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User</w:t>
            </w:r>
          </w:p>
        </w:tc>
        <w:tc>
          <w:tcPr>
            <w:tcW w:type="dxa" w:w="47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Assisted customers (older adults, allowance recipients, first-time rural users); secondary: agents, supervisors, analysts</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TIB 2025; Shitol et al. 2025</w:t>
            </w:r>
          </w:p>
        </w:tc>
      </w:tr>
      <w:tr>
        <w:trPr>
          <w:cantSplit/>
        </w:trPr>
        <w:tc>
          <w:tcPr>
            <w:tcW w:type="dxa" w:w="5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w:t>
            </w:r>
          </w:p>
        </w:tc>
        <w:tc>
          <w:tcPr>
            <w:tcW w:type="dxa" w:w="15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Problem</w:t>
            </w:r>
          </w:p>
        </w:tc>
        <w:tc>
          <w:tcPr>
            <w:tcW w:type="dxa" w:w="47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PIN sharing gives agents reusable control; skimming and overcharging go unnoticed and unreported</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TIB 2025: 6.3% fraud victims, 7.6% file a case</w:t>
            </w:r>
          </w:p>
        </w:tc>
      </w:tr>
      <w:tr>
        <w:trPr>
          <w:cantSplit/>
        </w:trPr>
        <w:tc>
          <w:tcPr>
            <w:tcW w:type="dxa" w:w="5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3</w:t>
            </w:r>
          </w:p>
        </w:tc>
        <w:tc>
          <w:tcPr>
            <w:tcW w:type="dxa" w:w="15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Why now</w:t>
            </w:r>
          </w:p>
        </w:tc>
        <w:tc>
          <w:tcPr>
            <w:tcW w:type="dxa" w:w="47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Allowances paid through MFS; 239 million accounts; cheap voice and AI make per-transaction confirmation affordable</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Bangladesh Bank data 2025</w:t>
            </w:r>
          </w:p>
        </w:tc>
      </w:tr>
      <w:tr>
        <w:trPr>
          <w:cantSplit/>
        </w:trPr>
        <w:tc>
          <w:tcPr>
            <w:tcW w:type="dxa" w:w="5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4</w:t>
            </w:r>
          </w:p>
        </w:tc>
        <w:tc>
          <w:tcPr>
            <w:tcW w:type="dxa" w:w="15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Solution</w:t>
            </w:r>
          </w:p>
        </w:tc>
        <w:tc>
          <w:tcPr>
            <w:tcW w:type="dxa" w:w="47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Confirmation call, silent duress code, voice mandate, operations center, send-money warnings</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Sections 3–4</w:t>
            </w:r>
          </w:p>
        </w:tc>
      </w:tr>
      <w:tr>
        <w:trPr>
          <w:cantSplit/>
        </w:trPr>
        <w:tc>
          <w:tcPr>
            <w:tcW w:type="dxa" w:w="5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5</w:t>
            </w:r>
          </w:p>
        </w:tc>
        <w:tc>
          <w:tcPr>
            <w:tcW w:type="dxa" w:w="15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AI role</w:t>
            </w:r>
          </w:p>
        </w:tc>
        <w:tc>
          <w:tcPr>
            <w:tcW w:type="dxa" w:w="47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Prediction (assisted customers, liquidity), detection (agent anomaly, receiver risk), causal targeting (uplift), generation (guarded briefs and warnings)</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Section 6</w:t>
            </w:r>
          </w:p>
        </w:tc>
      </w:tr>
      <w:tr>
        <w:trPr>
          <w:cantSplit/>
        </w:trPr>
        <w:tc>
          <w:tcPr>
            <w:tcW w:type="dxa" w:w="5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6</w:t>
            </w:r>
          </w:p>
        </w:tc>
        <w:tc>
          <w:tcPr>
            <w:tcW w:type="dxa" w:w="15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Impact</w:t>
            </w:r>
          </w:p>
        </w:tc>
        <w:tc>
          <w:tcPr>
            <w:tcW w:type="dxa" w:w="47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Confirmed cash-outs, skimming caught, honest-agent false flags, cost per confirmation; break-even ৳97 per incident</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Section 8</w:t>
            </w:r>
          </w:p>
        </w:tc>
      </w:tr>
      <w:tr>
        <w:trPr>
          <w:cantSplit/>
        </w:trPr>
        <w:tc>
          <w:tcPr>
            <w:tcW w:type="dxa" w:w="5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7</w:t>
            </w:r>
          </w:p>
        </w:tc>
        <w:tc>
          <w:tcPr>
            <w:tcW w:type="dxa" w:w="15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Data</w:t>
            </w:r>
          </w:p>
        </w:tc>
        <w:tc>
          <w:tcPr>
            <w:tcW w:type="dxa" w:w="47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Synthetic generator with documented assumptions, overlap and noise; disjoint and shifted splits</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data/assumptions.md</w:t>
            </w:r>
          </w:p>
        </w:tc>
      </w:tr>
      <w:tr>
        <w:trPr>
          <w:cantSplit/>
        </w:trPr>
        <w:tc>
          <w:tcPr>
            <w:tcW w:type="dxa" w:w="5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8</w:t>
            </w:r>
          </w:p>
        </w:tc>
        <w:tc>
          <w:tcPr>
            <w:tcW w:type="dxa" w:w="15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Validation</w:t>
            </w:r>
          </w:p>
        </w:tc>
        <w:tc>
          <w:tcPr>
            <w:tcW w:type="dxa" w:w="47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Baselines, ablations, shift test, fairness audit, adoption scenarios; pilot with stop-or-go gates</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Sections 7–8</w:t>
            </w:r>
          </w:p>
        </w:tc>
      </w:tr>
      <w:tr>
        <w:trPr>
          <w:cantSplit/>
        </w:trPr>
        <w:tc>
          <w:tcPr>
            <w:tcW w:type="dxa" w:w="59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9</w:t>
            </w:r>
          </w:p>
        </w:tc>
        <w:tc>
          <w:tcPr>
            <w:tcW w:type="dxa" w:w="15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Scale</w:t>
            </w:r>
          </w:p>
        </w:tc>
        <w:tc>
          <w:tcPr>
            <w:tcW w:type="dxa" w:w="47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Channel-agnostic API; 5M-customer test; governed data pilot</w:t>
            </w:r>
          </w:p>
        </w:tc>
        <w:tc>
          <w:tcPr>
            <w:tcW w:type="dxa" w:w="29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Section 10</w:t>
            </w:r>
          </w:p>
        </w:tc>
      </w:tr>
    </w:tbl>
    <w:p>
      <w:pPr>
        <w:spacing w:after="80"/>
      </w:pPr>
    </w:p>
    <w:p>
      <w:pPr>
        <w:pStyle w:val="Heading1"/>
      </w:pPr>
      <w:r>
        <w:rPr>
          <w:rFonts w:ascii="Calibri" w:cs="Nirmala UI" w:eastAsia="Calibri" w:hAnsi="Calibri"/>
        </w:rPr>
        <w:t xml:space="preserve">Appendix B. Key assumptions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8"/>
      </w:tblGrid>
      <w:tr>
        <w:trPr>
          <w:tblHeader/>
        </w:trPr>
        <w:tc>
          <w:tcPr>
            <w:tcW w:type="dxa" w:w="5448"/>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Assumption</w:t>
            </w:r>
          </w:p>
        </w:tc>
        <w:tc>
          <w:tcPr>
            <w:tcW w:type="dxa" w:w="4458"/>
            <w:tcBorders>
              <w:top w:val="single" w:color="CBD5E1" w:sz="4"/>
              <w:left w:val="single" w:color="CBD5E1" w:sz="4"/>
              <w:bottom w:val="single" w:color="CBD5E1" w:sz="4"/>
              <w:right w:val="single" w:color="CBD5E1" w:sz="4"/>
            </w:tcBorders>
            <w:shd w:fill="E6F4F1" w:color="auto" w:val="clear"/>
            <w:tcMar>
              <w:top w:type="dxa" w:w="60"/>
              <w:left w:type="dxa" w:w="100"/>
              <w:bottom w:type="dxa" w:w="60"/>
              <w:right w:type="dxa" w:w="100"/>
            </w:tcMar>
          </w:tcPr>
          <w:p>
            <w:pPr>
              <w:spacing w:after="0"/>
            </w:pPr>
            <w:r>
              <w:rPr>
                <w:rFonts w:ascii="Calibri" w:cs="Nirmala UI" w:eastAsia="Calibri" w:hAnsi="Calibri"/>
                <w:b/>
                <w:bCs/>
                <w:sz w:val="18"/>
                <w:szCs w:val="18"/>
              </w:rPr>
              <w:t xml:space="preserve">Value</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Cash-out fee</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1.5% of amount</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Daily cash-out limit (Dhaka calendar day)</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৳25,000</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Mandate cap / expiry / attempts</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৳5,000 / 15 minutes / 2 verification, 3 wrong-code</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Cash-gap tolerance</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max(৳50, 2% of amount)</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Ring timeout / abandoned-call timeout</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45 seconds / 3 minutes</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Label noise / loyal independents</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10% / 15%</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Outreach channel costs</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SMS ৳0.5, IVR call ৳3, agent visit ৳40</w:t>
            </w:r>
          </w:p>
        </w:tc>
      </w:tr>
      <w:tr>
        <w:trPr>
          <w:cantSplit/>
        </w:trPr>
        <w:tc>
          <w:tcPr>
            <w:tcW w:type="dxa" w:w="544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Confirmation cost (section 8)</w:t>
            </w:r>
          </w:p>
        </w:tc>
        <w:tc>
          <w:tcPr>
            <w:tcW w:type="dxa" w:w="4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pPr>
            <w:r>
              <w:rPr>
                <w:rFonts w:ascii="Calibri" w:cs="Nirmala UI" w:eastAsia="Calibri" w:hAnsi="Calibri"/>
                <w:sz w:val="18"/>
                <w:szCs w:val="18"/>
              </w:rPr>
              <w:t xml:space="preserve">৳2.20 per cash-out</w:t>
            </w:r>
          </w:p>
        </w:tc>
      </w:tr>
    </w:tbl>
    <w:p>
      <w:pPr>
        <w:spacing w:after="80"/>
      </w:pPr>
    </w:p>
    <w:p>
      <w:pPr>
        <w:pStyle w:val="Heading1"/>
      </w:pPr>
      <w:r>
        <w:rPr>
          <w:rFonts w:ascii="Calibri" w:cs="Nirmala UI" w:eastAsia="Calibri" w:hAnsi="Calibri"/>
        </w:rPr>
        <w:t xml:space="preserve">Appendix C. Repository and how to run</w:t>
      </w:r>
    </w:p>
    <w:p>
      <w:pPr>
        <w:spacing w:after="120"/>
      </w:pPr>
      <w:r>
        <w:rPr>
          <w:rFonts w:ascii="Calibri" w:cs="Nirmala UI" w:eastAsia="Calibri" w:hAnsi="Calibri"/>
        </w:rPr>
        <w:t xml:space="preserve">Repository: </w:t>
      </w:r>
      <w:hyperlink w:history="1" r:id="rId5h_7c-wbgtlbxyvdc1o54">
        <w:r>
          <w:rPr>
            <w:rFonts w:ascii="Calibri" w:cs="Nirmala UI" w:eastAsia="Calibri" w:hAnsi="Calibri"/>
            <w:color w:val="0563C1"/>
            <w:u w:val="single"/>
          </w:rPr>
          <w:t xml:space="preserve">https://github.com/irfan0072/sathi-ai-dev-fest-2026</w:t>
        </w:r>
      </w:hyperlink>
    </w:p>
    <w:p>
      <w:pPr>
        <w:shd w:fill="F1F5F9" w:color="auto" w:val="clear"/>
        <w:spacing w:after="0"/>
      </w:pPr>
      <w:r>
        <w:rPr>
          <w:rFonts w:ascii="Consolas" w:hAnsi="Consolas"/>
          <w:sz w:val="17"/>
          <w:szCs w:val="17"/>
        </w:rPr>
        <w:t xml:space="preserve">git clone https://github.com/irfan0072/sathi-ai-dev-fest-2026.git &amp;&amp; cd sathi-ai-dev-fest-2026</w:t>
      </w:r>
    </w:p>
    <w:p>
      <w:pPr>
        <w:shd w:fill="F1F5F9" w:color="auto" w:val="clear"/>
        <w:spacing w:after="0"/>
      </w:pPr>
      <w:r>
        <w:rPr>
          <w:rFonts w:ascii="Consolas" w:hAnsi="Consolas"/>
          <w:sz w:val="17"/>
          <w:szCs w:val="17"/>
        </w:rPr>
        <w:t xml:space="preserve">make init-env                  # creates .env with random secrets</w:t>
      </w:r>
    </w:p>
    <w:p>
      <w:pPr>
        <w:shd w:fill="F1F5F9" w:color="auto" w:val="clear"/>
        <w:spacing w:after="0"/>
      </w:pPr>
      <w:r>
        <w:rPr>
          <w:rFonts w:ascii="Consolas" w:hAnsi="Consolas"/>
          <w:sz w:val="17"/>
          <w:szCs w:val="17"/>
        </w:rPr>
        <w:t xml:space="preserve">docker compose up --build -d   # PostgreSQL, API (:18000), console (:13000)</w:t>
      </w:r>
    </w:p>
    <w:p>
      <w:pPr>
        <w:shd w:fill="F1F5F9" w:color="auto" w:val="clear"/>
        <w:spacing w:after="0"/>
      </w:pPr>
      <w:r>
        <w:rPr>
          <w:rFonts w:ascii="Consolas" w:hAnsi="Consolas"/>
          <w:sz w:val="17"/>
          <w:szCs w:val="17"/>
        </w:rPr>
        <w:t xml:space="preserve">make smoke-skeleton            # health check</w:t>
      </w:r>
    </w:p>
    <w:p>
      <w:pPr>
        <w:shd w:fill="F1F5F9" w:color="auto" w:val="clear"/>
        <w:spacing w:after="0"/>
      </w:pPr>
      <w:r>
        <w:rPr>
          <w:rFonts w:ascii="Consolas" w:hAnsi="Consolas"/>
          <w:sz w:val="17"/>
          <w:szCs w:val="17"/>
        </w:rPr>
        <w:t xml:space="preserve">make test lint                 # 560 backend + 60 frontend tests</w:t>
      </w:r>
    </w:p>
    <w:p>
      <w:pPr>
        <w:shd w:fill="F1F5F9" w:color="auto" w:val="clear"/>
        <w:spacing w:after="0"/>
      </w:pPr>
      <w:r>
        <w:rPr>
          <w:rFonts w:ascii="Consolas" w:hAnsi="Consolas"/>
          <w:sz w:val="17"/>
          <w:szCs w:val="17"/>
        </w:rPr>
        <w:t xml:space="preserve">make reproduce REPRODUCE_DIR=data/generated/my-run   # re-run the evaluation</w:t>
      </w:r>
    </w:p>
    <w:p>
      <w:pPr>
        <w:spacing w:after="120"/>
      </w:pPr>
      <w:r>
        <w:rPr>
          <w:rFonts w:ascii="Calibri" w:cs="Nirmala UI" w:eastAsia="Calibri" w:hAnsi="Calibri"/>
        </w:rPr>
        <w:t xml:space="preserve">Open http://127.0.0.1:13000 and pick a role. To test real calls, a super admin creates a test customer with a real phone number under Directory → Test accounts and configures Twilio in Settings.</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hAnsi="Calibri"/>
        <w:color w:val="64748B"/>
        <w:sz w:val="16"/>
        <w:szCs w:val="16"/>
      </w:rPr>
      <w:t xml:space="preserve">Sathi · Team Runtime Terrors · AI DEV FEST 2026 · page </w:t>
    </w:r>
    <w:r>
      <w:rPr>
        <w:rFonts w:ascii="Calibri" w:cs="Nirmala U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Nirmala UI" w:eastAsia="Calibri" w:hAnsi="Calibri"/>
      <w:b/>
      <w:bCs/>
      <w:color w:val="0F766E"/>
      <w:sz w:val="30"/>
      <w:szCs w:val="30"/>
    </w:rPr>
  </w:style>
  <w:style w:type="paragraph" w:styleId="Heading2">
    <w:name w:val="Heading 2"/>
    <w:basedOn w:val="Normal"/>
    <w:next w:val="Normal"/>
    <w:qFormat/>
    <w:pPr>
      <w:keepNext/>
      <w:spacing w:after="100" w:before="200"/>
      <w:outlineLvl w:val="1"/>
    </w:pPr>
    <w:rPr>
      <w:rFonts w:ascii="Calibri" w:cs="Nirmala UI" w:eastAsia="Calibri" w:hAnsi="Calibri"/>
      <w:b/>
      <w:bCs/>
      <w:color w:val="134E4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mgbiy6ltglo4zgzwq1alr" Type="http://schemas.openxmlformats.org/officeDocument/2006/relationships/hyperlink" Target="https://github.com/irfan0072/sathi-ai-dev-fest-2026" TargetMode="External"/><Relationship Id="rId-jshjm6_ah-bk01pkhlim" Type="http://schemas.openxmlformats.org/officeDocument/2006/relationships/hyperlink" Target="https://sathi-console.onrender.com/" TargetMode="External"/><Relationship Id="rId5-udv_hf7kz_51su6ekne" Type="http://schemas.openxmlformats.org/officeDocument/2006/relationships/hyperlink" Target="https://sathi-api-mqk2.onrender.com/health" TargetMode="External"/><Relationship Id="rIdzakfuopwpj-tel_wo2h3w" Type="http://schemas.openxmlformats.org/officeDocument/2006/relationships/hyperlink" Target="https://thefinancialexpress.com.bd/trade/bangladesh-mfs-accounts-surge-by-20-million-in-a-year-transactions-up-32pc" TargetMode="External"/><Relationship Id="rIdrvdrvkayw7eunxohlugi4" Type="http://schemas.openxmlformats.org/officeDocument/2006/relationships/hyperlink" Target="https://www.ti-bangladesh.org/images/2025/report/mfs/Executive-Summary-Mobile-Financial-Services-Sector-En.pdf" TargetMode="External"/><Relationship Id="rId3zlymmrwh72tprojyaipx" Type="http://schemas.openxmlformats.org/officeDocument/2006/relationships/hyperlink" Target="https://www.ti-bangladesh.org/images/2025/report/mfs/Executive-Summary-Mobile-Financial-Services-Sector-En.pdf" TargetMode="External"/><Relationship Id="rIdzu0iqgz6bpylml9qmxmzn" Type="http://schemas.openxmlformats.org/officeDocument/2006/relationships/hyperlink" Target="https://onlinelibrary.wiley.com/doi/10.1111/ijsw.70033" TargetMode="External"/><Relationship Id="rId5h_7c-wbgtlbxyvdc1o54" Type="http://schemas.openxmlformats.org/officeDocument/2006/relationships/hyperlink" Target="https://github.com/irfan0072/sathi-ai-dev-fest-2026" TargetMode="External"/><Relationship Id="rId8" Type="http://schemas.openxmlformats.org/officeDocument/2006/relationships/image" Target="media/9f3fcac77453088063aba0289b5cab1a9f54bdaa.png"/><Relationship Id="rId9" Type="http://schemas.openxmlformats.org/officeDocument/2006/relationships/image" Target="media/999d1d25218db1c42f1a6dff9973f6949c2762b3.jpg"/><Relationship Id="rId10" Type="http://schemas.openxmlformats.org/officeDocument/2006/relationships/image" Target="media/a5b99110a62fd4fae17cd0ddaa1e8df70d7e61ee.jpg"/><Relationship Id="rId11" Type="http://schemas.openxmlformats.org/officeDocument/2006/relationships/image" Target="media/fdf17f3c1eadfe0285703fb6b01becf3087e9f6b.jpg"/><Relationship Id="rId12" Type="http://schemas.openxmlformats.org/officeDocument/2006/relationships/image" Target="media/f363508daacec53c7970b9f116da818d5a1aedc4.jpg"/><Relationship Id="rId13" Type="http://schemas.openxmlformats.org/officeDocument/2006/relationships/image" Target="media/1883059c22d3e9cb7e3e655dd9711833c8351bc1.jpg"/><Relationship Id="rId14" Type="http://schemas.openxmlformats.org/officeDocument/2006/relationships/image" Target="media/ef4f4a04409d2b0603385c369e221db7fdfa7e77.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Sathi final report</dc:title>
  <dc:creator>Team Runtime Terrors</dc:creator>
  <cp:lastModifiedBy>Un-named</cp:lastModifiedBy>
  <cp:revision>1</cp:revision>
  <dcterms:created xsi:type="dcterms:W3CDTF">2026-10-04T03:15:05.812Z</dcterms:created>
  <dcterms:modified xsi:type="dcterms:W3CDTF">2026-10-04T03:15:05.819Z</dcterms:modified>
</cp:coreProperties>
</file>

<file path=docProps/custom.xml><?xml version="1.0" encoding="utf-8"?>
<Properties xmlns="http://schemas.openxmlformats.org/officeDocument/2006/custom-properties" xmlns:vt="http://schemas.openxmlformats.org/officeDocument/2006/docPropsVTypes"/>
</file>