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Application Gateway</w:t>
      </w:r>
    </w:p>
    <w:p w:rsidR="00000000" w:rsidDel="00000000" w:rsidP="00000000" w:rsidRDefault="00000000" w:rsidRPr="00000000" w14:paraId="00000004">
      <w:pPr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92827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827"/>
          <w:sz w:val="32"/>
          <w:szCs w:val="32"/>
          <w:highlight w:val="white"/>
          <w:rtl w:val="0"/>
        </w:rPr>
        <w:t xml:space="preserve">Azure Application Gateway gives you application-level routing and load balancing services that let you build a scalable and highly-available web front end in Azure. You control the size of the gateway and scale your deployment based on your needs.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2"/>
            <w:szCs w:val="32"/>
            <w:highlight w:val="white"/>
            <w:u w:val="single"/>
            <w:rtl w:val="0"/>
          </w:rPr>
          <w:t xml:space="preserve">https://learn.microsoft.com/en-us/azure/application-gateway/overview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  <w:rtl w:val="0"/>
        </w:rPr>
        <w:t xml:space="preserve">HW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32"/>
            <w:szCs w:val="32"/>
            <w:highlight w:val="white"/>
            <w:u w:val="single"/>
            <w:rtl w:val="0"/>
          </w:rPr>
          <w:t xml:space="preserve">https://azure.microsoft.com/en-gb/products/application-gateway/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292827"/>
          <w:sz w:val="32"/>
          <w:szCs w:val="32"/>
          <w:highlight w:val="white"/>
          <w:u w:val="single"/>
        </w:rPr>
        <w:drawing>
          <wp:inline distB="114300" distT="114300" distL="114300" distR="114300">
            <wp:extent cx="6343848" cy="488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configure Application Gateway</w:t>
      </w:r>
    </w:p>
    <w:p w:rsidR="00000000" w:rsidDel="00000000" w:rsidP="00000000" w:rsidRDefault="00000000" w:rsidRPr="00000000" w14:paraId="0000001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color w:val="161616"/>
          <w:sz w:val="28"/>
          <w:szCs w:val="28"/>
          <w:highlight w:val="white"/>
          <w:rtl w:val="0"/>
        </w:rPr>
        <w:t xml:space="preserve">Need min 2 VMs to load balance and Appgateway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color w:val="161616"/>
          <w:sz w:val="28"/>
          <w:szCs w:val="28"/>
          <w:highlight w:val="white"/>
          <w:rtl w:val="0"/>
        </w:rPr>
        <w:t xml:space="preserve">Install apache2 on both the VMs and configure websites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color w:val="161616"/>
          <w:sz w:val="28"/>
          <w:szCs w:val="28"/>
          <w:highlight w:val="white"/>
          <w:rtl w:val="0"/>
        </w:rPr>
        <w:t xml:space="preserve">Both websites should be accessible using public IPs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color w:val="161616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161616"/>
          <w:sz w:val="28"/>
          <w:szCs w:val="28"/>
          <w:highlight w:val="white"/>
          <w:rtl w:val="0"/>
        </w:rPr>
        <w:t xml:space="preserve">Create Application Gateway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color w:val="161616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161616"/>
          <w:sz w:val="28"/>
          <w:szCs w:val="28"/>
          <w:highlight w:val="white"/>
          <w:rtl w:val="0"/>
        </w:rPr>
        <w:t xml:space="preserve">Configure Backend pools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color w:val="161616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161616"/>
          <w:sz w:val="28"/>
          <w:szCs w:val="28"/>
          <w:highlight w:val="white"/>
          <w:rtl w:val="0"/>
        </w:rPr>
        <w:t xml:space="preserve">Configure Health Probe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161616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161616"/>
          <w:sz w:val="28"/>
          <w:szCs w:val="28"/>
          <w:highlight w:val="white"/>
          <w:rtl w:val="0"/>
        </w:rPr>
        <w:t xml:space="preserve">Check the </w:t>
      </w:r>
      <w:r w:rsidDel="00000000" w:rsidR="00000000" w:rsidRPr="00000000">
        <w:rPr>
          <w:color w:val="161616"/>
          <w:sz w:val="28"/>
          <w:szCs w:val="28"/>
          <w:highlight w:val="white"/>
          <w:rtl w:val="0"/>
        </w:rPr>
        <w:t xml:space="preserve">Backend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161616"/>
          <w:sz w:val="28"/>
          <w:szCs w:val="2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color w:val="161616"/>
          <w:sz w:val="28"/>
          <w:szCs w:val="28"/>
          <w:highlight w:val="white"/>
        </w:rPr>
        <w:drawing>
          <wp:inline distB="114300" distT="114300" distL="114300" distR="114300">
            <wp:extent cx="6343848" cy="615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61616"/>
          <w:sz w:val="28"/>
          <w:szCs w:val="28"/>
          <w:highlight w:val="white"/>
        </w:rPr>
      </w:pPr>
      <w:r w:rsidDel="00000000" w:rsidR="00000000" w:rsidRPr="00000000">
        <w:rPr>
          <w:color w:val="161616"/>
          <w:sz w:val="28"/>
          <w:szCs w:val="28"/>
          <w:highlight w:val="white"/>
        </w:rPr>
        <w:drawing>
          <wp:inline distB="114300" distT="114300" distL="114300" distR="114300">
            <wp:extent cx="6343848" cy="631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azure/application-gateway/overview" TargetMode="External"/><Relationship Id="rId7" Type="http://schemas.openxmlformats.org/officeDocument/2006/relationships/hyperlink" Target="https://azure.microsoft.com/en-gb/products/application-gateway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