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continuous, per-request verification, but placing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through four Solidity contracts. All contracts compile and pass 15 unit tests; gas was measured by execution, showing that Merkle batch anchoring cuts audit cost per record by about 1351×. Measurements on a four-validator Besu network show about 1522 ms write confirmation and a throughput ceiling near 60 tx/s, so synchronous on-chain checks reach 2.3 s at 50 devices. A model of the edge path gives a mean authorisation latency of 1.7 ms against 55.9 ms for centralised PKI-IAM, flat up to 400 devices, with revocation delay of about 1.5 s when event-driven invalidation is used. The Besu runs used a single shared host; the edge-path figures are model-based.</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three baselines.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Measured Besu evaluation.</w:t>
      </w:r>
      <w:r>
        <w:rPr>
          <w:rFonts w:ascii="Times New Roman" w:cs="Times New Roman" w:eastAsia="Times New Roman" w:hAnsi="Times New Roman"/>
          <w:sz w:val="20"/>
          <w:szCs w:val="20"/>
        </w:rPr>
        <w:t xml:space="preserve"> Gas, write-confirmation latency, read latency, ledger throughput saturation, batch anchoring and revocation visibility are measured on a four-validator Hyperledger Besu IBFT 2.0 network (three repetitions); the edge-cache request path and the PKI/ABAC baselines are modelled with explicit parameters (Section V).</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16.5 s to 1.5 s (Section VI-E).</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No surveyed work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trusted party for identity, policy or logs;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compatibility with constrained devices (ECDSA signatures, hash proofs only).</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whose cached state is older than 2·</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because it lost contact with the ledger refuses new sessions, while existing sessions run to their own expiry.</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all validators share that single host, so network delay is negligible and CPU is contended. A fresh network was started for each of 3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`AccessControl.evaluateRequest`), S3 per-event logging at 10–200 tx/s offered for 20 s, S4 batch anchoring at 1 tx/s, and S5 revocation visibility. Block observation was polled every 25 ms. The scripts and raw results are in the released repository.</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Evaluation Method</w:t>
      </w:r>
    </w:p>
    <w:p>
      <w:pPr>
        <w:spacing w:after="60" w:before="0" w:line="228"/>
        <w:jc w:val="both"/>
      </w:pPr>
      <w:r>
        <w:rPr>
          <w:rFonts w:ascii="Times New Roman" w:cs="Times New Roman" w:eastAsia="Times New Roman" w:hAnsi="Times New Roman"/>
          <w:sz w:val="20"/>
          <w:szCs w:val="20"/>
        </w:rPr>
        <w:t xml:space="preserve">Ledger-side quantities are taken from the Besu measurements above. The edge request path and the two non-blockchain baselines are produced by a Monte-Carlo model (seed 42, 100,000 trials) that composes per-step costs: LAN/WAN round trips, ECDSA verify/sign, Merkle verification, directory or cache lookup, policy evaluation, and, for cache misses, the measured chain-read latency (5.4 ms). Per-step costs use log-normal noise (σ = 0.15 compute, 0.3 network). The synchronous blockchain baseline uses the measured S3 latency at the same offered load. No physical plant was available, so LAN/WAN and PKI costs are assumptions.</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WAN directory lookup per request.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local attribute store, no ledger.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every authentication and authorisation is an on-chain transaction waiting for finality.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cached, Merkle-verified reads with a 90% hit ratio and asynchronous writes.</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parameters used by the model; every value can be changed in the released code.</w:t>
      </w:r>
    </w:p>
    <w:p>
      <w:pPr>
        <w:keepNext/>
        <w:spacing w:after="30" w:before="60"/>
        <w:jc w:val="center"/>
      </w:pPr>
      <w:r>
        <w:rPr>
          <w:rFonts w:ascii="Times New Roman" w:cs="Times New Roman" w:eastAsia="Times New Roman" w:hAnsi="Times New Roman"/>
          <w:sz w:val="16"/>
          <w:szCs w:val="16"/>
        </w:rPr>
        <w:t xml:space="preserve">TABLE 4. KEY MODEL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LAN / WAN / validator RTT</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 40 / 5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ECDSA verify / sign</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 / 2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 finality mean (measured)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 1520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hit ratio</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0.9</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 capacity (measured)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 tx/s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Request rate per device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 req/s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update interval; quorum</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2 votes</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 batch interval</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 s</w:t>
            </w:r>
          </w:p>
        </w:tc>
      </w:tr>
    </w:tbl>
    <w:p>
      <w:pPr>
        <w:spacing w:after="80" w:before="20"/>
        <w:jc w:val="both"/>
      </w:pPr>
      <w:r>
        <w:rPr>
          <w:rFonts w:ascii="Times New Roman" w:cs="Times New Roman" w:eastAsia="Times New Roman" w:hAnsi="Times New Roman"/>
          <w:sz w:val="14"/>
          <w:szCs w:val="14"/>
        </w:rPr>
        <w:t xml:space="preserve">Ledger values are measured on Besu; network, PKI and cache values are assumptions for a LAN-connected plant, editable in the released code.</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Mean and 95th-percentile authentication and authorisation latency; on-chain write load (tx/s) versus device count; gas per operation; revocation delay (mean and worst case); and audit storage growth.</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give results for 50 devices (1 request/s each), the highest load below the measured ledger saturation. Mean authentication latency of BC-ZTA is 8.2 ms (P95 12.8 ms), 87% lower than the centralised PKI-IAM (62.0 ms) and about 284× faster than the synchronous blockchain (2337 ms). It is within 0.2 ms of the ledger-free ABAC baseline, the cost of Merkle verification and cache lookups.</w:t>
      </w:r>
    </w:p>
    <w:p>
      <w:pPr>
        <w:keepNext/>
        <w:spacing w:after="30" w:before="60"/>
        <w:jc w:val="center"/>
      </w:pPr>
      <w:r>
        <w:rPr>
          <w:rFonts w:ascii="Times New Roman" w:cs="Times New Roman" w:eastAsia="Times New Roman" w:hAnsi="Times New Roman"/>
          <w:sz w:val="16"/>
          <w:szCs w:val="16"/>
        </w:rPr>
        <w:t xml:space="preserve">TABLE 5. LATENCY AT 50 DEVICES (MS; BC-ONLY MEASURED)</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825"/>
        <w:gridCol w:w="825"/>
        <w:gridCol w:w="825"/>
        <w:gridCol w:w="825"/>
      </w:tblGrid>
      <w:tr>
        <w:trPr>
          <w:cantSplit/>
          <w:tblHeader/>
        </w:trPr>
        <w:tc>
          <w:tcPr>
            <w:tcW w:type="dxa" w:w="15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Metric</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PKI-IAM</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ABAC</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BC-only</w:t>
            </w:r>
          </w:p>
        </w:tc>
        <w:tc>
          <w:tcPr>
            <w:tcW w:type="dxa" w:w="82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BC-ZTA</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 mean</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62.0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8.0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2336.7</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8.2</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 P95</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85.1</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9.5</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3632.9</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12.8</w:t>
            </w:r>
          </w:p>
        </w:tc>
      </w:tr>
      <w:tr>
        <w:trPr>
          <w:cantSplit/>
        </w:trPr>
        <w:tc>
          <w:tcPr>
            <w:tcW w:type="dxa" w:w="15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Authz. mean</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55.9</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2.0</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2329.7</w:t>
            </w:r>
          </w:p>
        </w:tc>
        <w:tc>
          <w:tcPr>
            <w:tcW w:type="dxa" w:w="82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1.7</w:t>
            </w:r>
          </w:p>
        </w:tc>
      </w:tr>
      <w:tr>
        <w:trPr>
          <w:cantSplit/>
        </w:trPr>
        <w:tc>
          <w:tcPr>
            <w:tcW w:type="dxa" w:w="15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Authz. P95</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78.7</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2.4</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val="false"/>
                <w:bCs w:val="false"/>
                <w:sz w:val="15"/>
                <w:szCs w:val="15"/>
              </w:rPr>
              <w:t xml:space="preserve">3625.9</w:t>
            </w:r>
          </w:p>
        </w:tc>
        <w:tc>
          <w:tcPr>
            <w:tcW w:type="dxa" w:w="82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center"/>
            </w:pPr>
            <w:r>
              <w:rPr>
                <w:rFonts w:ascii="Times New Roman" w:cs="Times New Roman" w:eastAsia="Times New Roman" w:hAnsi="Times New Roman"/>
                <w:b/>
                <w:bCs/>
                <w:sz w:val="15"/>
                <w:szCs w:val="15"/>
              </w:rPr>
              <w:t xml:space="preserve">6.3</w:t>
            </w:r>
          </w:p>
        </w:tc>
      </w:tr>
    </w:tbl>
    <w:p>
      <w:pPr>
        <w:spacing w:after="60"/>
      </w:pPr>
    </w:p>
    <w:p>
      <w:pPr>
        <w:keepNext/>
        <w:spacing w:after="20" w:before="40"/>
        <w:jc w:val="center"/>
      </w:pPr>
      <w:r>
        <w:drawing>
          <wp:inline distT="0" distB="0" distL="0" distR="0">
            <wp:extent cx="3067050" cy="2438400"/>
            <wp:effectExtent t="0" r="0" b="0" l="0"/>
            <wp:docPr id="1" name="fig3_latency.png" descr="Fig. 3. Mean authentication and authorisation latency at 50 devices (BC-only measured on Besu; others modelled; log scale)." title="Fig. 3. Mean authentication and authorisation latency at 50 devices (BC-only measured on Besu; others modelled;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4384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authentication and authorisation latency at 50 devices (BC-only measured on Besu; others modelled; log scale).</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Authorisation is a local cache hit for 90% of requests, giving a mean of 1.7 ms versus 55.9 ms for PKI-IAM (97% lower). The P95 of 6.3 ms is dominated by the 10% cache-miss tail that reads the chain (5.4 ms), and remains far below the 3626 ms P95 of the synchronous design.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measurements.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mean latency rises to 11.6 s and 16.4 s, and 43% of transactions at 200 tx/s were not confirmed within the 60 s window. A synchronous design at 1 request/s per device therefore saturates between 50 and 100 devices. BC-ZTA issues only trust updates, revocations and audit anchors, reaching 27.67 tx/s at 400 devices, about 46% of the measured capacity (Fig. 4, top). Batch anchoring at 1 tx/s confirmed all 60 anchors in 941 ms on average. Because all validators share one 2-vCPU host, the 60 tx/s figure is a lower bound for a dedicated multi-server deployment.</w:t>
      </w:r>
    </w:p>
    <w:p>
      <w:pPr>
        <w:keepNext/>
        <w:spacing w:after="30" w:before="60"/>
        <w:jc w:val="center"/>
      </w:pPr>
      <w:r>
        <w:rPr>
          <w:rFonts w:ascii="Times New Roman" w:cs="Times New Roman" w:eastAsia="Times New Roman" w:hAnsi="Times New Roman"/>
          <w:sz w:val="16"/>
          <w:szCs w:val="16"/>
        </w:rPr>
        <w:t xml:space="preserve">TABLE 6. MEASURED BESU RESULTS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At 400 devices and 1 event/s the model yields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spacing w:after="60" w:before="0" w:line="228"/>
        <w:jc w:val="both"/>
      </w:pPr>
      <w:r>
        <w:rPr>
          <w:rFonts w:ascii="Times New Roman" w:cs="Times New Roman" w:eastAsia="Times New Roman" w:hAnsi="Times New Roman"/>
          <w:sz w:val="20"/>
          <w:szCs w:val="20"/>
        </w:rPr>
        <w:t xml:space="preserve">Fig. 4 (bottom) shows mean authorisation latency against device count. BC-ZTA stays near 1.7 ms from 10 to 400 devices, whereas the measured synchronous design rises from 1522 ms at 10 devices to 2330 ms at 50 and 11.6 s at 100 devices, where the ledger saturates. The price of caching is </w:t>
      </w:r>
      <w:r>
        <w:rPr>
          <w:rFonts w:ascii="Times New Roman" w:cs="Times New Roman" w:eastAsia="Times New Roman" w:hAnsi="Times New Roman"/>
          <w:i/>
          <w:iCs/>
          <w:sz w:val="20"/>
          <w:szCs w:val="20"/>
        </w:rPr>
        <w:t xml:space="preserve">staleness</w:t>
      </w:r>
      <w:r>
        <w:rPr>
          <w:rFonts w:ascii="Times New Roman" w:cs="Times New Roman" w:eastAsia="Times New Roman" w:hAnsi="Times New Roman"/>
          <w:sz w:val="20"/>
          <w:szCs w:val="20"/>
        </w:rPr>
        <w:t xml:space="preserve">: with TTL-only refresh, a revoked identity may remain usable for 16.5 s on average (worst case 32.4 s); with event-driven invalidation these fall to 1.5 s and 2.4 s (measured block finality plus one read); the measured phase-locked revocation visibility on Besu was 1.8 s. The centralised baselines revoke instantly but depend on one operator.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3248025"/>
            <wp:effectExtent t="0" r="0" b="0" l="0"/>
            <wp:docPr id="1" name="fig4_scalability.png" descr="Fig. 4. On-chain write load (top) and mean authorisation latency (bottom) versus device count (BC-only measured; BC-ZTA modelled)." title="Fig. 4. On-chain write load (top) and mean authorisation latency (bottom) versus device count (BC-only measured; BC-ZTA mod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32480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On-chain write load (top) and mean authorisation latency (bottom) versus device count (BC-only measured; BC-ZTA modelled).</w:t>
      </w:r>
    </w:p>
    <w:p>
      <w:pPr>
        <w:spacing w:after="60" w:before="0" w:line="228"/>
        <w:jc w:val="both"/>
      </w:pPr>
      <w:r>
        <w:rPr>
          <w:rFonts w:ascii="Times New Roman" w:cs="Times New Roman" w:eastAsia="Times New Roman" w:hAnsi="Times New Roman"/>
          <w:sz w:val="20"/>
          <w:szCs w:val="20"/>
        </w:rPr>
        <w:t xml:space="preserve">Fig. 5 varies the two assumptions on which the results depend most. In Fig. 5(a), mean authorisation latency at 50 devices rises from 1.3 ms at a 99% cache-hit ratio to 3.8 ms at 50%, while the P95 drops from 7.5 ms to 4.6 ms once the hit ratio reaches 95%, because cache misses then fall below the 5% tail. In Fig. 5(b), TTL-only revocation delay grows linearly with the TTL, from 4.0 s mean at a 5 s TTL to 151 s at 300 s, whereas event-driven invalidation stays near 1.5 s regardless of TTL. With events, the TTL can therefore be chosen for read load: refreshing each of 400 device entries once per TTL costs about 80 reads/s at 5 s versus 1.3 reads/s at 300 s.</w:t>
      </w:r>
    </w:p>
    <w:p>
      <w:pPr>
        <w:keepNext/>
        <w:spacing w:after="20" w:before="40"/>
        <w:jc w:val="center"/>
      </w:pPr>
      <w:r>
        <w:drawing>
          <wp:inline distT="0" distB="0" distL="0" distR="0">
            <wp:extent cx="3067050" cy="2257425"/>
            <wp:effectExtent t="0" r="0" b="0" l="0"/>
            <wp:docPr id="1" name="fig5_sensitivity.png" descr="Fig. 5. Sensitivity of (a) authorisation latency to cache-hit ratio and (b) revocation delay to cache TTL (modelled)." title="Fig. 5. Sensitivity of (a) authorisation latency to cache-hit ratio and (b) revocation delay to cache TTL (mod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Sensitivity of (a) authorisation latency to cache-hit ratio and (b) revocation delay to cache TTL (modelled).</w:t>
      </w:r>
    </w:p>
    <w:p>
      <w:pPr>
        <w:keepNext/>
        <w:spacing w:after="30" w:before="60"/>
        <w:jc w:val="left"/>
      </w:pPr>
      <w:r>
        <w:rPr>
          <w:rFonts w:ascii="Times New Roman" w:cs="Times New Roman" w:eastAsia="Times New Roman" w:hAnsi="Times New Roman"/>
          <w:i/>
          <w:iCs/>
          <w:sz w:val="20"/>
          <w:szCs w:val="20"/>
        </w:rPr>
        <w:t xml:space="preserve">F. Attack Resistance</w:t>
      </w:r>
    </w:p>
    <w:p>
      <w:pPr>
        <w:spacing w:after="60" w:before="0" w:line="228"/>
        <w:jc w:val="both"/>
      </w:pPr>
      <w:r>
        <w:rPr>
          <w:rFonts w:ascii="Times New Roman" w:cs="Times New Roman" w:eastAsia="Times New Roman" w:hAnsi="Times New Roman"/>
          <w:sz w:val="20"/>
          <w:szCs w:val="20"/>
        </w:rPr>
        <w:t xml:space="preserve">The unit tests verify the on-chain mechanisms behind Table 3: revoked identities and low-trust devices are denied, sessions lapse after the TTL, non-validators and rate-limited validators cannot alter trust, unauthorised registrations are rejected, and audit inclusion proofs verify. Signature checking, nonce windows and gateway-side enforcement are design-level properties; they were </w:t>
      </w:r>
      <w:r>
        <w:rPr>
          <w:rFonts w:ascii="Times New Roman" w:cs="Times New Roman" w:eastAsia="Times New Roman" w:hAnsi="Times New Roman"/>
          <w:i/>
          <w:iCs/>
          <w:sz w:val="20"/>
          <w:szCs w:val="20"/>
        </w:rPr>
        <w:t xml:space="preserve">not</w:t>
      </w:r>
      <w:r>
        <w:rPr>
          <w:rFonts w:ascii="Times New Roman" w:cs="Times New Roman" w:eastAsia="Times New Roman" w:hAnsi="Times New Roman"/>
          <w:sz w:val="20"/>
          <w:szCs w:val="20"/>
        </w:rPr>
        <w:t xml:space="preserve"> subjected to penetration or attack-injection experiments, so we make no quantitative detection claims. Informally: forging an identity needs the device key, or the plant authority’s registration right; replay is limited to the window Δ; modifying a logged event changes its Merkle leaf and fails inclusion against the anchored root; and a single validator can only </w:t>
      </w:r>
      <w:r>
        <w:rPr>
          <w:rFonts w:ascii="Times New Roman" w:cs="Times New Roman" w:eastAsia="Times New Roman" w:hAnsi="Times New Roman"/>
          <w:i/>
          <w:iCs/>
          <w:sz w:val="20"/>
          <w:szCs w:val="20"/>
        </w:rPr>
        <w:t xml:space="preserve">lower</w:t>
      </w:r>
      <w:r>
        <w:rPr>
          <w:rFonts w:ascii="Times New Roman" w:cs="Times New Roman" w:eastAsia="Times New Roman" w:hAnsi="Times New Roman"/>
          <w:sz w:val="20"/>
          <w:szCs w:val="20"/>
        </w:rPr>
        <w:t xml:space="preserve"> a score, never raise it, which is conservative but means a compromised validator can deny service to a device, so validator governance matters. A compromised gateway can bypass enforcement for the resources it fronts, and micro-segmentation limits that blast radius to its own segment. By contrast, learning-based detectors report accuracy in the 85–91% range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a complementary function our trust engine could consume.</w:t>
      </w:r>
    </w:p>
    <w:p>
      <w:pPr>
        <w:keepNext/>
        <w:spacing w:after="30" w:before="60"/>
        <w:jc w:val="left"/>
      </w:pPr>
      <w:r>
        <w:rPr>
          <w:rFonts w:ascii="Times New Roman" w:cs="Times New Roman" w:eastAsia="Times New Roman" w:hAnsi="Times New Roman"/>
          <w:i/>
          <w:iCs/>
          <w:sz w:val="20"/>
          <w:szCs w:val="20"/>
        </w:rPr>
        <w:t xml:space="preserve">G. Comparison with Baselines</w:t>
      </w:r>
    </w:p>
    <w:p>
      <w:pPr>
        <w:spacing w:after="60" w:before="0" w:line="228"/>
        <w:jc w:val="both"/>
      </w:pPr>
      <w:r>
        <w:rPr>
          <w:rFonts w:ascii="Times New Roman" w:cs="Times New Roman" w:eastAsia="Times New Roman" w:hAnsi="Times New Roman"/>
          <w:sz w:val="20"/>
          <w:szCs w:val="20"/>
        </w:rPr>
        <w:t xml:space="preserve">BC-ZTA matches the latency of a ledger-free ABAC store (1.7 vs 2.0 ms mean authorisation) while adding decentralised identity, shared policy and tamper-evident audit that B2 lacks; against PKI-IAM it is 97% faster and removes the central directory; and against the synchronous blockchain it avoids ~2.3 s per decision at 50 devices and ledger saturation beyond about 60 tx/s.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H.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Limitations: (i) all four validators ran on one shared 2-vCPU CI host, so absolute throughput and latency are not representative of a multi-server plant and network delay between validators is not captured; (ii) the edge-cache path, PKI and ABAC baselines, LAN/WAN costs and the 90% cache-hit ratio are modelled assumptions, and no physical or emulated plant was used; (iii) S1 and S5 are phase-locked to the block clock, whereas S3 uses random arrival phases, so S3 is the more representative latency; (iv) no device-side resource or privacy evaluation was performed; (v) the validator set is assumed honest-majority; and (vi)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about 1351× cheaper per record than per-event logging. On a four-validator Besu network the measured ledger saturates near 60 tx/s, so a synchronous design reaches 2.3 s latency at 50 devices; BC-ZTA keeps mean authorisation latency at 1.7 ms (modelled edge path) with on-chain load at about 46% of measured capacity at 400 devices, and revocation delay of about 1.5 s when events are used. Future work includes a multi-host Besu deployment, device-side measurements,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d-zagyxtt-ac4pecznudj">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wfaibsglaxupz8i89yitz">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ter55twj-2csls_dyowby">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re7ooc_vmai4spjcvovgi">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g7isove_voy037vagtfql">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e6odjup8jczjylggbnu8r">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m7tscw_off_8yje7dphue">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kt8bjdakshwdwrj6emeb9">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uh2uzqbrlkgnoic2x2ltd">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jpvltcjsmersuxifi8eo8">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wieshx2r0mwbrvwmgwmuo">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04lkemg_pvvncnbid8ewf">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3y4liwnmvpjrpase-ekpw">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eoczjhelonziqwzx-axdc">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9dn-lxa2vxk65hq1eqsww">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luoc-svrgyxyoexn3b4wk">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flb1ng3izbvf7qmjcn039">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roooc5mqwbzutqp1v1kl9">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3kvg-58negkfgzz2xjn13">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xneyfsap_5d7itps6_vib">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pqpgswsuw-d0vv2acy1jo">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h6shelzghxq1lbj233qrl">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bnxe3ej60m_gwgin1di7h">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iofp4metvhhyn-7tm5rdq">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be6nz3jcdovysopgpv696">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v6xd-_8fh3tdelidft5gp">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kyl3hsc0gzm_qzxud52fl">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fnrl9ux_9zff5x6t6uvbs">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aaix7rwhyt19z8p-kit2q">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7rkeknewx1zm1psu0wvcz">
        <w:r>
          <w:rPr>
            <w:rFonts w:ascii="Times New Roman" w:cs="Times New Roman" w:eastAsia="Times New Roman" w:hAnsi="Times New Roman"/>
            <w:color w:val="0563C1"/>
            <w:sz w:val="15"/>
            <w:szCs w:val="15"/>
            <w:u w:val="single"/>
          </w:rPr>
          <w:t xml:space="preserve">https://scholars.utoledo.edu/display/pub-001262650600001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d-zagyxtt-ac4pecznudj" Type="http://schemas.openxmlformats.org/officeDocument/2006/relationships/hyperlink" Target="https://doi.org/10.3390/electronics12030566" TargetMode="External"/><Relationship Id="rIdwfaibsglaxupz8i89yitz" Type="http://schemas.openxmlformats.org/officeDocument/2006/relationships/hyperlink" Target="https://doi.org/10.1016/j.adhoc.2024.103414" TargetMode="External"/><Relationship Id="rIdter55twj-2csls_dyowby" Type="http://schemas.openxmlformats.org/officeDocument/2006/relationships/hyperlink" Target="https://doi.org/10.6028/NIST.SP.800-207" TargetMode="External"/><Relationship Id="rIdre7ooc_vmai4spjcvovgi" Type="http://schemas.openxmlformats.org/officeDocument/2006/relationships/hyperlink" Target="https://doi.org/10.1007/s10922-025-09998-x" TargetMode="External"/><Relationship Id="rIdg7isove_voy037vagtfql" Type="http://schemas.openxmlformats.org/officeDocument/2006/relationships/hyperlink" Target="https://doi.org/10.3390/s25196118" TargetMode="External"/><Relationship Id="rIde6odjup8jczjylggbnu8r" Type="http://schemas.openxmlformats.org/officeDocument/2006/relationships/hyperlink" Target="https://doi.org/10.1016/j.iot.2024.101227" TargetMode="External"/><Relationship Id="rIdm7tscw_off_8yje7dphue" Type="http://schemas.openxmlformats.org/officeDocument/2006/relationships/hyperlink" Target="https://doi.org/10.3390/s26082392" TargetMode="External"/><Relationship Id="rIdkt8bjdakshwdwrj6emeb9" Type="http://schemas.openxmlformats.org/officeDocument/2006/relationships/hyperlink" Target="https://doi.org/10.1016/j.future.2026.108753" TargetMode="External"/><Relationship Id="rIduh2uzqbrlkgnoic2x2ltd" Type="http://schemas.openxmlformats.org/officeDocument/2006/relationships/hyperlink" Target="https://doi.org/10.1016/j.csi.2024.103832" TargetMode="External"/><Relationship Id="rIdjpvltcjsmersuxifi8eo8" Type="http://schemas.openxmlformats.org/officeDocument/2006/relationships/hyperlink" Target="https://doi.org/10.1007/s10207-025-01030-2" TargetMode="External"/><Relationship Id="rIdwieshx2r0mwbrvwmgwmuo" Type="http://schemas.openxmlformats.org/officeDocument/2006/relationships/hyperlink" Target="https://doi.org/10.1109/ACCESS.2025.3529309" TargetMode="External"/><Relationship Id="rId04lkemg_pvvncnbid8ewf" Type="http://schemas.openxmlformats.org/officeDocument/2006/relationships/hyperlink" Target="https://doi.org/10.3390/s25020550" TargetMode="External"/><Relationship Id="rId3y4liwnmvpjrpase-ekpw" Type="http://schemas.openxmlformats.org/officeDocument/2006/relationships/hyperlink" Target="https://doi.org/10.3389/fbloc.2025.1693926" TargetMode="External"/><Relationship Id="rIdeoczjhelonziqwzx-axdc" Type="http://schemas.openxmlformats.org/officeDocument/2006/relationships/hyperlink" Target="https://doi.org/10.3390/app15126835" TargetMode="External"/><Relationship Id="rId9dn-lxa2vxk65hq1eqsww" Type="http://schemas.openxmlformats.org/officeDocument/2006/relationships/hyperlink" Target="https://doi.org/10.1109/TSUSC.2025.3542466" TargetMode="External"/><Relationship Id="rIdluoc-svrgyxyoexn3b4wk" Type="http://schemas.openxmlformats.org/officeDocument/2006/relationships/hyperlink" Target="https://doi.org/10.1016/j.aej.2024.12.109" TargetMode="External"/><Relationship Id="rIdflb1ng3izbvf7qmjcn039" Type="http://schemas.openxmlformats.org/officeDocument/2006/relationships/hyperlink" Target="https://arxiv.org/abs/2507.19976" TargetMode="External"/><Relationship Id="rIdroooc5mqwbzutqp1v1kl9" Type="http://schemas.openxmlformats.org/officeDocument/2006/relationships/hyperlink" Target="https://doi.org/10.1016/j.future.2025.108093" TargetMode="External"/><Relationship Id="rId3kvg-58negkfgzz2xjn13" Type="http://schemas.openxmlformats.org/officeDocument/2006/relationships/hyperlink" Target="https://doi.org/10.1371/journal.pone.0323241" TargetMode="External"/><Relationship Id="rIdxneyfsap_5d7itps6_vib" Type="http://schemas.openxmlformats.org/officeDocument/2006/relationships/hyperlink" Target="https://doi.org/10.1038/s41598-026-42041-w" TargetMode="External"/><Relationship Id="rIdpqpgswsuw-d0vv2acy1jo" Type="http://schemas.openxmlformats.org/officeDocument/2006/relationships/hyperlink" Target="https://doi.org/10.3390/fi17080338" TargetMode="External"/><Relationship Id="rIdh6shelzghxq1lbj233qrl" Type="http://schemas.openxmlformats.org/officeDocument/2006/relationships/hyperlink" Target="https://doi.org/10.3390/fi17010049" TargetMode="External"/><Relationship Id="rIdbnxe3ej60m_gwgin1di7h" Type="http://schemas.openxmlformats.org/officeDocument/2006/relationships/hyperlink" Target="https://doi.org/10.1109/ICOSST60641.2023.10414234" TargetMode="External"/><Relationship Id="rIdiofp4metvhhyn-7tm5rdq" Type="http://schemas.openxmlformats.org/officeDocument/2006/relationships/hyperlink" Target="https://doi.org/10.1038/s41598-025-06405-y" TargetMode="External"/><Relationship Id="rIdbe6nz3jcdovysopgpv696" Type="http://schemas.openxmlformats.org/officeDocument/2006/relationships/hyperlink" Target="https://doi.org/10.1007/978-3-032-21753-0_12" TargetMode="External"/><Relationship Id="rIdv6xd-_8fh3tdelidft5gp" Type="http://schemas.openxmlformats.org/officeDocument/2006/relationships/hyperlink" Target="https://doi.org/10.1007/978-3-032-20114-0_40" TargetMode="External"/><Relationship Id="rIdkyl3hsc0gzm_qzxud52fl" Type="http://schemas.openxmlformats.org/officeDocument/2006/relationships/hyperlink" Target="https://arxiv.org/abs/2505.23792" TargetMode="External"/><Relationship Id="rIdfnrl9ux_9zff5x6t6uvbs" Type="http://schemas.openxmlformats.org/officeDocument/2006/relationships/hyperlink" Target="https://arxiv.org/abs/2309.03582" TargetMode="External"/><Relationship Id="rIdaaix7rwhyt19z8p-kit2q" Type="http://schemas.openxmlformats.org/officeDocument/2006/relationships/hyperlink" Target="https://arxiv.org/abs/2408.16885" TargetMode="External"/><Relationship Id="rId7rkeknewx1zm1psu0wvcz" Type="http://schemas.openxmlformats.org/officeDocument/2006/relationships/hyperlink" Target="https://scholars.utoledo.edu/display/pub-00126265060000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2dba71074310137ea104cfe12ae511a0b1bb4087.png"/><Relationship Id="rId12" Type="http://schemas.openxmlformats.org/officeDocument/2006/relationships/image" Target="media/9d199c9b662d315fb47945c9c13f42188a2c32d9.png"/><Relationship Id="rId13" Type="http://schemas.openxmlformats.org/officeDocument/2006/relationships/image" Target="media/b02061a0fb8540d7afa008583197a1023e6d47c4.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2026-10-06T17:23:04.140Z</dcterms:created>
  <dcterms:modified xsi:type="dcterms:W3CDTF">2026-10-06T17:23:04.141Z</dcterms:modified>
</cp:coreProperties>
</file>

<file path=docProps/custom.xml><?xml version="1.0" encoding="utf-8"?>
<Properties xmlns="http://schemas.openxmlformats.org/officeDocument/2006/custom-properties" xmlns:vt="http://schemas.openxmlformats.org/officeDocument/2006/docPropsVTypes"/>
</file>