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left"/>
      </w:pPr>
      <w:r>
        <w:rPr>
          <w:rFonts w:ascii="Times New Roman" w:cs="Times New Roman" w:eastAsia="Times New Roman" w:hAnsi="Times New Roman"/>
          <w:i/>
          <w:iCs/>
          <w:sz w:val="15"/>
          <w:szCs w:val="15"/>
        </w:rPr>
        <w:t xml:space="preserve">Date of publication xxxx 00, 0000, date of current version xxxx 00, 0000. Digital Object Identifier 10.1109/ACCESS.2026.0000000</w:t>
      </w:r>
    </w:p>
    <w:p>
      <w:pPr>
        <w:spacing w:after="100"/>
        <w:jc w:val="center"/>
      </w:pPr>
      <w:r>
        <w:rPr>
          <w:rFonts w:ascii="Times New Roman" w:cs="Times New Roman" w:eastAsia="Times New Roman" w:hAnsi="Times New Roman"/>
          <w:sz w:val="36"/>
          <w:szCs w:val="36"/>
        </w:rPr>
        <w:t xml:space="preserve">Blockchain-Assisted Zero-Trust Architecture for Secure and Scalable Industrial Internet of Things (IIoT)</w:t>
      </w:r>
    </w:p>
    <w:p>
      <w:pPr>
        <w:spacing w:after="20"/>
        <w:jc w:val="center"/>
      </w:pPr>
      <w:r>
        <w:rPr>
          <w:rFonts w:ascii="Times New Roman" w:cs="Times New Roman" w:eastAsia="Times New Roman" w:hAnsi="Times New Roman"/>
          <w:sz w:val="22"/>
          <w:szCs w:val="22"/>
        </w:rPr>
        <w:t xml:space="preserve">[Author Name(s)]</w:t>
      </w:r>
    </w:p>
    <w:p>
      <w:pPr>
        <w:spacing w:after="140"/>
        <w:jc w:val="center"/>
      </w:pPr>
      <w:r>
        <w:rPr>
          <w:rFonts w:ascii="Times New Roman" w:cs="Times New Roman" w:eastAsia="Times New Roman" w:hAnsi="Times New Roman"/>
          <w:i/>
          <w:iCs/>
          <w:sz w:val="18"/>
          <w:szCs w:val="18"/>
        </w:rPr>
        <w:t xml:space="preserve">[Department, Institution, City, Country]</w:t>
      </w:r>
    </w:p>
    <w:p>
      <w:pPr>
        <w:spacing w:after="100"/>
        <w:ind w:left="360" w:right="360"/>
        <w:jc w:val="left"/>
      </w:pPr>
      <w:r>
        <w:rPr>
          <w:rFonts w:ascii="Times New Roman" w:cs="Times New Roman" w:eastAsia="Times New Roman" w:hAnsi="Times New Roman"/>
          <w:sz w:val="16"/>
          <w:szCs w:val="16"/>
        </w:rPr>
        <w:t xml:space="preserve">Corresponding author: [Name] (e-mail: [address]). This work was supported in part by [funding source and grant number].</w:t>
      </w:r>
    </w:p>
    <w:p>
      <w:pPr>
        <w:spacing w:after="60" w:line="228"/>
        <w:ind w:left="360" w:right="360"/>
        <w:jc w:val="both"/>
      </w:pPr>
      <w:r>
        <w:rPr>
          <w:rFonts w:ascii="Times New Roman" w:cs="Times New Roman" w:eastAsia="Times New Roman" w:hAnsi="Times New Roman"/>
          <w:b/>
          <w:bCs/>
          <w:sz w:val="18"/>
          <w:szCs w:val="18"/>
        </w:rPr>
        <w:t xml:space="preserve">ABSTRACT </w:t>
      </w:r>
      <w:r>
        <w:rPr>
          <w:rFonts w:ascii="Times New Roman" w:cs="Times New Roman" w:eastAsia="Times New Roman" w:hAnsi="Times New Roman"/>
          <w:b w:val="false"/>
          <w:bCs w:val="false"/>
          <w:sz w:val="18"/>
          <w:szCs w:val="18"/>
        </w:rPr>
        <w:t xml:space="preserve">Industrial IoT (IIoT) networks need continuous, per-request verification, but placing a blockchain on the authentication path adds seconds of latency and saturates ledger capacity. We propose BC-ZTA, a three-tier blockchain-assisted zero-trust architecture in which edge policy enforcement points decide from cached, Merkle-verified ledger state, while identity, trust and audit updates are written asynchronously to a permissioned Hyperledger Besu (IBFT 2.0) network through four Solidity contracts. We implemented the policy enforcement point and three baselines and measured them end to end on a four-validator Besu network (three repetitions, shared two-vCPU host). At 50 devices BC-ZTA answers in 7.4 ms on average, compared with 48.2 ms for a centralised directory with an emulated WAN link and 10257 ms when every request is an on-chain transaction; the synchronous design saturates at about 47 requests per second, whereas BC-ZTA served 200 devices with no failures and about one on-chain write per second. Event-driven cache invalidation enforces a revocation in 1.2 s on average, and all 1050 forged, replayed, stale, unregistered, tampered or policy-violating requests were rejected. Merkle batch anchoring cuts audit gas per record by about 1351×. Limitations are the shared single host, the emulated WAN delay and the emulated device population.</w:t>
      </w:r>
    </w:p>
    <w:p>
      <w:pPr>
        <w:spacing w:after="100"/>
        <w:ind w:left="360" w:right="360"/>
        <w:jc w:val="both"/>
      </w:pPr>
      <w:r>
        <w:rPr>
          <w:rFonts w:ascii="Times New Roman" w:cs="Times New Roman" w:eastAsia="Times New Roman" w:hAnsi="Times New Roman"/>
          <w:b/>
          <w:bCs/>
          <w:sz w:val="18"/>
          <w:szCs w:val="18"/>
        </w:rPr>
        <w:t xml:space="preserve">INDEX TERMS </w:t>
      </w:r>
      <w:r>
        <w:rPr>
          <w:rFonts w:ascii="Times New Roman" w:cs="Times New Roman" w:eastAsia="Times New Roman" w:hAnsi="Times New Roman"/>
          <w:sz w:val="18"/>
          <w:szCs w:val="18"/>
        </w:rPr>
        <w:t xml:space="preserve">Access control, blockchain, Hyperledger Besu, industrial Internet of Things, scalability, smart contracts, zero trust.</w:t>
      </w:r>
    </w:p>
    <w:p>
      <w:pPr>
        <w:sectPr>
          <w:footerReference w:type="default" r:id="rId7"/>
          <w:type w:val="continuous"/>
          <w:pgSz w:w="12240" w:h="15840" w:orient="portrait"/>
          <w:pgMar w:top="1000" w:right="1080" w:bottom="1000" w:left="1080" w:header="708" w:footer="708" w:gutter="0"/>
          <w:pgNumType/>
          <w:docGrid w:linePitch="360"/>
        </w:sectPr>
      </w:pPr>
    </w:p>
    <w:p>
      <w:pPr>
        <w:keepNext/>
        <w:spacing w:after="60" w:before="120"/>
        <w:jc w:val="center"/>
      </w:pPr>
      <w:r>
        <w:rPr>
          <w:rFonts w:ascii="Times New Roman" w:cs="Times New Roman" w:eastAsia="Times New Roman" w:hAnsi="Times New Roman"/>
          <w:sz w:val="18"/>
          <w:szCs w:val="18"/>
        </w:rPr>
        <w:t xml:space="preserve">I. INTRODUCTION</w:t>
      </w:r>
    </w:p>
    <w:p>
      <w:pPr>
        <w:keepNext/>
        <w:spacing w:after="30" w:before="60"/>
        <w:jc w:val="left"/>
      </w:pPr>
      <w:r>
        <w:rPr>
          <w:rFonts w:ascii="Times New Roman" w:cs="Times New Roman" w:eastAsia="Times New Roman" w:hAnsi="Times New Roman"/>
          <w:i/>
          <w:iCs/>
          <w:sz w:val="20"/>
          <w:szCs w:val="20"/>
        </w:rPr>
        <w:t xml:space="preserve">A. IIoT Security Background</w:t>
      </w:r>
    </w:p>
    <w:p>
      <w:pPr>
        <w:spacing w:after="60" w:before="0" w:line="228"/>
        <w:jc w:val="both"/>
      </w:pPr>
      <w:r>
        <w:rPr>
          <w:rFonts w:ascii="Times New Roman" w:cs="Times New Roman" w:eastAsia="Times New Roman" w:hAnsi="Times New Roman"/>
          <w:sz w:val="20"/>
          <w:szCs w:val="20"/>
        </w:rPr>
        <w:t xml:space="preserve">The Industrial Internet of Things (IIoT) interconnects programmable logic controllers, sensors, actuators, edge gateways and cloud analytics in smart manufacturing, energy and process-control plants. Historically these operational-technology (OT) networks relied on a hardened perimeter and implicit trust between devices on the same segment. As OT converges with IT and remote maintenance becomes routine, that perimeter dissolves, and a single compromised vendor laptop or sensor can become a foothold for lateral movement </w:t>
      </w:r>
      <w:r>
        <w:rPr>
          <w:rFonts w:ascii="Times New Roman" w:cs="Times New Roman" w:eastAsia="Times New Roman" w:hAnsi="Times New Roman"/>
          <w:sz w:val="20"/>
          <w:szCs w:val="20"/>
        </w:rPr>
        <w:t xml:space="preserve">[1], [2]</w:t>
      </w:r>
      <w:r>
        <w:rPr>
          <w:rFonts w:ascii="Times New Roman" w:cs="Times New Roman" w:eastAsia="Times New Roman" w:hAnsi="Times New Roman"/>
          <w:sz w:val="20"/>
          <w:szCs w:val="20"/>
        </w:rPr>
        <w:t xml:space="preserve">. Zero Trust Architecture (ZTA), formalised in NIST SP 800-207 </w:t>
      </w:r>
      <w:r>
        <w:rPr>
          <w:rFonts w:ascii="Times New Roman" w:cs="Times New Roman" w:eastAsia="Times New Roman" w:hAnsi="Times New Roman"/>
          <w:sz w:val="20"/>
          <w:szCs w:val="20"/>
        </w:rPr>
        <w:t xml:space="preserve">[3]</w:t>
      </w:r>
      <w:r>
        <w:rPr>
          <w:rFonts w:ascii="Times New Roman" w:cs="Times New Roman" w:eastAsia="Times New Roman" w:hAnsi="Times New Roman"/>
          <w:sz w:val="20"/>
          <w:szCs w:val="20"/>
        </w:rPr>
        <w:t xml:space="preserve">, replaces location-based trust with per-request verification, and recent systematic reviews confirm its rapid uptake across domains </w:t>
      </w:r>
      <w:r>
        <w:rPr>
          <w:rFonts w:ascii="Times New Roman" w:cs="Times New Roman" w:eastAsia="Times New Roman" w:hAnsi="Times New Roman"/>
          <w:sz w:val="20"/>
          <w:szCs w:val="20"/>
        </w:rPr>
        <w:t xml:space="preserve">[4]–[6]</w:t>
      </w:r>
      <w:r>
        <w:rPr>
          <w:rFonts w:ascii="Times New Roman" w:cs="Times New Roman" w:eastAsia="Times New Roman" w:hAnsi="Times New Roman"/>
          <w:sz w:val="20"/>
          <w:szCs w:val="20"/>
        </w:rPr>
        <w:t xml:space="preserve">.</w:t>
      </w:r>
    </w:p>
    <w:p>
      <w:pPr>
        <w:keepNext/>
        <w:spacing w:after="30" w:before="60"/>
        <w:jc w:val="left"/>
      </w:pPr>
      <w:r>
        <w:rPr>
          <w:rFonts w:ascii="Times New Roman" w:cs="Times New Roman" w:eastAsia="Times New Roman" w:hAnsi="Times New Roman"/>
          <w:i/>
          <w:iCs/>
          <w:sz w:val="20"/>
          <w:szCs w:val="20"/>
        </w:rPr>
        <w:t xml:space="preserve">B. Security Challenges</w:t>
      </w:r>
    </w:p>
    <w:p>
      <w:pPr>
        <w:spacing w:after="60" w:before="0" w:line="228"/>
        <w:jc w:val="both"/>
      </w:pPr>
      <w:r>
        <w:rPr>
          <w:rFonts w:ascii="Times New Roman" w:cs="Times New Roman" w:eastAsia="Times New Roman" w:hAnsi="Times New Roman"/>
          <w:sz w:val="20"/>
          <w:szCs w:val="20"/>
        </w:rPr>
        <w:t xml:space="preserve">Four properties make IIoT hard to secure. (i) </w:t>
      </w:r>
      <w:r>
        <w:rPr>
          <w:rFonts w:ascii="Times New Roman" w:cs="Times New Roman" w:eastAsia="Times New Roman" w:hAnsi="Times New Roman"/>
          <w:i/>
          <w:iCs/>
          <w:sz w:val="20"/>
          <w:szCs w:val="20"/>
        </w:rPr>
        <w:t xml:space="preserve">Constrained devices</w:t>
      </w:r>
      <w:r>
        <w:rPr>
          <w:rFonts w:ascii="Times New Roman" w:cs="Times New Roman" w:eastAsia="Times New Roman" w:hAnsi="Times New Roman"/>
          <w:sz w:val="20"/>
          <w:szCs w:val="20"/>
        </w:rPr>
        <w:t xml:space="preserve"> cannot run heavy cryptography or continuous agents; (ii) </w:t>
      </w:r>
      <w:r>
        <w:rPr>
          <w:rFonts w:ascii="Times New Roman" w:cs="Times New Roman" w:eastAsia="Times New Roman" w:hAnsi="Times New Roman"/>
          <w:i/>
          <w:iCs/>
          <w:sz w:val="20"/>
          <w:szCs w:val="20"/>
        </w:rPr>
        <w:t xml:space="preserve">heterogeneity</w:t>
      </w:r>
      <w:r>
        <w:rPr>
          <w:rFonts w:ascii="Times New Roman" w:cs="Times New Roman" w:eastAsia="Times New Roman" w:hAnsi="Times New Roman"/>
          <w:sz w:val="20"/>
          <w:szCs w:val="20"/>
        </w:rPr>
        <w:t xml:space="preserve"> of protocols and vendors complicates uniform identity management </w:t>
      </w:r>
      <w:r>
        <w:rPr>
          <w:rFonts w:ascii="Times New Roman" w:cs="Times New Roman" w:eastAsia="Times New Roman" w:hAnsi="Times New Roman"/>
          <w:sz w:val="20"/>
          <w:szCs w:val="20"/>
        </w:rPr>
        <w:t xml:space="preserve">[7], [8]</w:t>
      </w:r>
      <w:r>
        <w:rPr>
          <w:rFonts w:ascii="Times New Roman" w:cs="Times New Roman" w:eastAsia="Times New Roman" w:hAnsi="Times New Roman"/>
          <w:sz w:val="20"/>
          <w:szCs w:val="20"/>
        </w:rPr>
        <w:t xml:space="preserve">; (iii) </w:t>
      </w:r>
      <w:r>
        <w:rPr>
          <w:rFonts w:ascii="Times New Roman" w:cs="Times New Roman" w:eastAsia="Times New Roman" w:hAnsi="Times New Roman"/>
          <w:i/>
          <w:iCs/>
          <w:sz w:val="20"/>
          <w:szCs w:val="20"/>
        </w:rPr>
        <w:t xml:space="preserve">hard real-time budgets</w:t>
      </w:r>
      <w:r>
        <w:rPr>
          <w:rFonts w:ascii="Times New Roman" w:cs="Times New Roman" w:eastAsia="Times New Roman" w:hAnsi="Times New Roman"/>
          <w:sz w:val="20"/>
          <w:szCs w:val="20"/>
        </w:rPr>
        <w:t xml:space="preserve"> leave only milliseconds for a security decision; and (iv) </w:t>
      </w:r>
      <w:r>
        <w:rPr>
          <w:rFonts w:ascii="Times New Roman" w:cs="Times New Roman" w:eastAsia="Times New Roman" w:hAnsi="Times New Roman"/>
          <w:i/>
          <w:iCs/>
          <w:sz w:val="20"/>
          <w:szCs w:val="20"/>
        </w:rPr>
        <w:t xml:space="preserve">scale</w:t>
      </w:r>
      <w:r>
        <w:rPr>
          <w:rFonts w:ascii="Times New Roman" w:cs="Times New Roman" w:eastAsia="Times New Roman" w:hAnsi="Times New Roman"/>
          <w:sz w:val="20"/>
          <w:szCs w:val="20"/>
        </w:rPr>
        <w:t xml:space="preserve">, with thousands of devices that join, rotate keys and are revoked continuously. A centralised identity or policy server is both a single point of failure and a high-value target, and conventional logs held by that same operator are not independently trustworthy </w:t>
      </w:r>
      <w:r>
        <w:rPr>
          <w:rFonts w:ascii="Times New Roman" w:cs="Times New Roman" w:eastAsia="Times New Roman" w:hAnsi="Times New Roman"/>
          <w:sz w:val="20"/>
          <w:szCs w:val="20"/>
        </w:rPr>
        <w:t xml:space="preserve">[5]</w:t>
      </w:r>
      <w:r>
        <w:rPr>
          <w:rFonts w:ascii="Times New Roman" w:cs="Times New Roman" w:eastAsia="Times New Roman" w:hAnsi="Times New Roman"/>
          <w:sz w:val="20"/>
          <w:szCs w:val="20"/>
        </w:rPr>
        <w:t xml:space="preserve">.</w:t>
      </w:r>
    </w:p>
    <w:p>
      <w:pPr>
        <w:keepNext/>
        <w:spacing w:after="30" w:before="60"/>
        <w:jc w:val="left"/>
      </w:pPr>
      <w:r>
        <w:rPr>
          <w:rFonts w:ascii="Times New Roman" w:cs="Times New Roman" w:eastAsia="Times New Roman" w:hAnsi="Times New Roman"/>
          <w:i/>
          <w:iCs/>
          <w:sz w:val="20"/>
          <w:szCs w:val="20"/>
        </w:rPr>
        <w:t xml:space="preserve">C. Zero-Trust Requirements</w:t>
      </w:r>
    </w:p>
    <w:p>
      <w:pPr>
        <w:spacing w:after="60" w:before="0" w:line="228"/>
        <w:jc w:val="both"/>
      </w:pPr>
      <w:r>
        <w:rPr>
          <w:rFonts w:ascii="Times New Roman" w:cs="Times New Roman" w:eastAsia="Times New Roman" w:hAnsi="Times New Roman"/>
          <w:sz w:val="20"/>
          <w:szCs w:val="20"/>
        </w:rPr>
        <w:t xml:space="preserve">Following NIST SP 800-207 </w:t>
      </w:r>
      <w:r>
        <w:rPr>
          <w:rFonts w:ascii="Times New Roman" w:cs="Times New Roman" w:eastAsia="Times New Roman" w:hAnsi="Times New Roman"/>
          <w:sz w:val="20"/>
          <w:szCs w:val="20"/>
        </w:rPr>
        <w:t xml:space="preserve">[3]</w:t>
      </w:r>
      <w:r>
        <w:rPr>
          <w:rFonts w:ascii="Times New Roman" w:cs="Times New Roman" w:eastAsia="Times New Roman" w:hAnsi="Times New Roman"/>
          <w:sz w:val="20"/>
          <w:szCs w:val="20"/>
        </w:rPr>
        <w:t xml:space="preserve"> and critical analyses of ZTA </w:t>
      </w:r>
      <w:r>
        <w:rPr>
          <w:rFonts w:ascii="Times New Roman" w:cs="Times New Roman" w:eastAsia="Times New Roman" w:hAnsi="Times New Roman"/>
          <w:sz w:val="20"/>
          <w:szCs w:val="20"/>
        </w:rPr>
        <w:t xml:space="preserve">[9]</w:t>
      </w:r>
      <w:r>
        <w:rPr>
          <w:rFonts w:ascii="Times New Roman" w:cs="Times New Roman" w:eastAsia="Times New Roman" w:hAnsi="Times New Roman"/>
          <w:sz w:val="20"/>
          <w:szCs w:val="20"/>
        </w:rPr>
        <w:t xml:space="preserve">, an IIoT deployment needs: </w:t>
      </w:r>
      <w:r>
        <w:rPr>
          <w:rFonts w:ascii="Times New Roman" w:cs="Times New Roman" w:eastAsia="Times New Roman" w:hAnsi="Times New Roman"/>
          <w:b/>
          <w:bCs/>
          <w:sz w:val="20"/>
          <w:szCs w:val="20"/>
        </w:rPr>
        <w:t xml:space="preserve">R1</w:t>
      </w:r>
      <w:r>
        <w:rPr>
          <w:rFonts w:ascii="Times New Roman" w:cs="Times New Roman" w:eastAsia="Times New Roman" w:hAnsi="Times New Roman"/>
          <w:sz w:val="20"/>
          <w:szCs w:val="20"/>
        </w:rPr>
        <w:t xml:space="preserve"> strong, per-device cryptographic identity; </w:t>
      </w:r>
      <w:r>
        <w:rPr>
          <w:rFonts w:ascii="Times New Roman" w:cs="Times New Roman" w:eastAsia="Times New Roman" w:hAnsi="Times New Roman"/>
          <w:b/>
          <w:bCs/>
          <w:sz w:val="20"/>
          <w:szCs w:val="20"/>
        </w:rPr>
        <w:t xml:space="preserve">R2</w:t>
      </w:r>
      <w:r>
        <w:rPr>
          <w:rFonts w:ascii="Times New Roman" w:cs="Times New Roman" w:eastAsia="Times New Roman" w:hAnsi="Times New Roman"/>
          <w:sz w:val="20"/>
          <w:szCs w:val="20"/>
        </w:rPr>
        <w:t xml:space="preserve"> per-request authorisation by a policy decision point (PDP) enforced by a policy enforcement point (PEP); </w:t>
      </w:r>
      <w:r>
        <w:rPr>
          <w:rFonts w:ascii="Times New Roman" w:cs="Times New Roman" w:eastAsia="Times New Roman" w:hAnsi="Times New Roman"/>
          <w:b/>
          <w:bCs/>
          <w:sz w:val="20"/>
          <w:szCs w:val="20"/>
        </w:rPr>
        <w:t xml:space="preserve">R3</w:t>
      </w:r>
      <w:r>
        <w:rPr>
          <w:rFonts w:ascii="Times New Roman" w:cs="Times New Roman" w:eastAsia="Times New Roman" w:hAnsi="Times New Roman"/>
          <w:sz w:val="20"/>
          <w:szCs w:val="20"/>
        </w:rPr>
        <w:t xml:space="preserve"> least-privilege, short-lived sessions; </w:t>
      </w:r>
      <w:r>
        <w:rPr>
          <w:rFonts w:ascii="Times New Roman" w:cs="Times New Roman" w:eastAsia="Times New Roman" w:hAnsi="Times New Roman"/>
          <w:b/>
          <w:bCs/>
          <w:sz w:val="20"/>
          <w:szCs w:val="20"/>
        </w:rPr>
        <w:t xml:space="preserve">R4</w:t>
      </w:r>
      <w:r>
        <w:rPr>
          <w:rFonts w:ascii="Times New Roman" w:cs="Times New Roman" w:eastAsia="Times New Roman" w:hAnsi="Times New Roman"/>
          <w:sz w:val="20"/>
          <w:szCs w:val="20"/>
        </w:rPr>
        <w:t xml:space="preserve"> continuous trust assessment from behavioural and posture signals </w:t>
      </w:r>
      <w:r>
        <w:rPr>
          <w:rFonts w:ascii="Times New Roman" w:cs="Times New Roman" w:eastAsia="Times New Roman" w:hAnsi="Times New Roman"/>
          <w:sz w:val="20"/>
          <w:szCs w:val="20"/>
        </w:rPr>
        <w:t xml:space="preserve">[10]</w:t>
      </w: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R5</w:t>
      </w:r>
      <w:r>
        <w:rPr>
          <w:rFonts w:ascii="Times New Roman" w:cs="Times New Roman" w:eastAsia="Times New Roman" w:hAnsi="Times New Roman"/>
          <w:sz w:val="20"/>
          <w:szCs w:val="20"/>
        </w:rPr>
        <w:t xml:space="preserve"> micro-segmentation and containment; and </w:t>
      </w:r>
      <w:r>
        <w:rPr>
          <w:rFonts w:ascii="Times New Roman" w:cs="Times New Roman" w:eastAsia="Times New Roman" w:hAnsi="Times New Roman"/>
          <w:b/>
          <w:bCs/>
          <w:sz w:val="20"/>
          <w:szCs w:val="20"/>
        </w:rPr>
        <w:t xml:space="preserve">R6</w:t>
      </w:r>
      <w:r>
        <w:rPr>
          <w:rFonts w:ascii="Times New Roman" w:cs="Times New Roman" w:eastAsia="Times New Roman" w:hAnsi="Times New Roman"/>
          <w:sz w:val="20"/>
          <w:szCs w:val="20"/>
        </w:rPr>
        <w:t xml:space="preserve"> tamper-evident audit. R1–R5 must be satisfied within control-loop latency budgets.</w:t>
      </w:r>
    </w:p>
    <w:p>
      <w:pPr>
        <w:keepNext/>
        <w:spacing w:after="30" w:before="60"/>
        <w:jc w:val="left"/>
      </w:pPr>
      <w:r>
        <w:rPr>
          <w:rFonts w:ascii="Times New Roman" w:cs="Times New Roman" w:eastAsia="Times New Roman" w:hAnsi="Times New Roman"/>
          <w:i/>
          <w:iCs/>
          <w:sz w:val="20"/>
          <w:szCs w:val="20"/>
        </w:rPr>
        <w:t xml:space="preserve">D. Role of Blockchain</w:t>
      </w:r>
    </w:p>
    <w:p>
      <w:pPr>
        <w:spacing w:after="60" w:before="0" w:line="228"/>
        <w:jc w:val="both"/>
      </w:pPr>
      <w:r>
        <w:rPr>
          <w:rFonts w:ascii="Times New Roman" w:cs="Times New Roman" w:eastAsia="Times New Roman" w:hAnsi="Times New Roman"/>
          <w:sz w:val="20"/>
          <w:szCs w:val="20"/>
        </w:rPr>
        <w:t xml:space="preserve">A permissioned blockchain offers a shared, tamper-evident source of truth among mutually distrusting plant, vendor and integrator domains: a decentralised identity registry, policy and reputation state governed by smart contracts, and an immutable audit trail. Prior work has applied it to zero-trust IoT access </w:t>
      </w:r>
      <w:r>
        <w:rPr>
          <w:rFonts w:ascii="Times New Roman" w:cs="Times New Roman" w:eastAsia="Times New Roman" w:hAnsi="Times New Roman"/>
          <w:sz w:val="20"/>
          <w:szCs w:val="20"/>
        </w:rPr>
        <w:t xml:space="preserve">[11], [12]</w:t>
      </w:r>
      <w:r>
        <w:rPr>
          <w:rFonts w:ascii="Times New Roman" w:cs="Times New Roman" w:eastAsia="Times New Roman" w:hAnsi="Times New Roman"/>
          <w:sz w:val="20"/>
          <w:szCs w:val="20"/>
        </w:rPr>
        <w:t xml:space="preserve">, cross-domain digital-twin access </w:t>
      </w:r>
      <w:r>
        <w:rPr>
          <w:rFonts w:ascii="Times New Roman" w:cs="Times New Roman" w:eastAsia="Times New Roman" w:hAnsi="Times New Roman"/>
          <w:sz w:val="20"/>
          <w:szCs w:val="20"/>
        </w:rPr>
        <w:t xml:space="preserve">[13]</w:t>
      </w:r>
      <w:r>
        <w:rPr>
          <w:rFonts w:ascii="Times New Roman" w:cs="Times New Roman" w:eastAsia="Times New Roman" w:hAnsi="Times New Roman"/>
          <w:sz w:val="20"/>
          <w:szCs w:val="20"/>
        </w:rPr>
        <w:t xml:space="preserve">, IIoT data protection </w:t>
      </w:r>
      <w:r>
        <w:rPr>
          <w:rFonts w:ascii="Times New Roman" w:cs="Times New Roman" w:eastAsia="Times New Roman" w:hAnsi="Times New Roman"/>
          <w:sz w:val="20"/>
          <w:szCs w:val="20"/>
        </w:rPr>
        <w:t xml:space="preserve">[14]</w:t>
      </w:r>
      <w:r>
        <w:rPr>
          <w:rFonts w:ascii="Times New Roman" w:cs="Times New Roman" w:eastAsia="Times New Roman" w:hAnsi="Times New Roman"/>
          <w:sz w:val="20"/>
          <w:szCs w:val="20"/>
        </w:rPr>
        <w:t xml:space="preserve"> and contract-based access control </w:t>
      </w:r>
      <w:r>
        <w:rPr>
          <w:rFonts w:ascii="Times New Roman" w:cs="Times New Roman" w:eastAsia="Times New Roman" w:hAnsi="Times New Roman"/>
          <w:sz w:val="20"/>
          <w:szCs w:val="20"/>
        </w:rPr>
        <w:t xml:space="preserve">[15], [16]</w:t>
      </w:r>
      <w:r>
        <w:rPr>
          <w:rFonts w:ascii="Times New Roman" w:cs="Times New Roman" w:eastAsia="Times New Roman" w:hAnsi="Times New Roman"/>
          <w:sz w:val="20"/>
          <w:szCs w:val="20"/>
        </w:rPr>
        <w:t xml:space="preserve">.</w:t>
      </w:r>
    </w:p>
    <w:p>
      <w:pPr>
        <w:keepNext/>
        <w:spacing w:after="30" w:before="60"/>
        <w:jc w:val="left"/>
      </w:pPr>
      <w:r>
        <w:rPr>
          <w:rFonts w:ascii="Times New Roman" w:cs="Times New Roman" w:eastAsia="Times New Roman" w:hAnsi="Times New Roman"/>
          <w:i/>
          <w:iCs/>
          <w:sz w:val="20"/>
          <w:szCs w:val="20"/>
        </w:rPr>
        <w:t xml:space="preserve">E. Research Gap</w:t>
      </w:r>
    </w:p>
    <w:p>
      <w:pPr>
        <w:spacing w:after="60" w:before="0" w:line="228"/>
        <w:jc w:val="both"/>
      </w:pPr>
      <w:r>
        <w:rPr>
          <w:rFonts w:ascii="Times New Roman" w:cs="Times New Roman" w:eastAsia="Times New Roman" w:hAnsi="Times New Roman"/>
          <w:sz w:val="20"/>
          <w:szCs w:val="20"/>
        </w:rPr>
        <w:t xml:space="preserve">Despite this progress, three gaps remain. First, many designs place the ledger </w:t>
      </w:r>
      <w:r>
        <w:rPr>
          <w:rFonts w:ascii="Times New Roman" w:cs="Times New Roman" w:eastAsia="Times New Roman" w:hAnsi="Times New Roman"/>
          <w:i/>
          <w:iCs/>
          <w:sz w:val="20"/>
          <w:szCs w:val="20"/>
        </w:rPr>
        <w:t xml:space="preserve">on the request path</w:t>
      </w:r>
      <w:r>
        <w:rPr>
          <w:rFonts w:ascii="Times New Roman" w:cs="Times New Roman" w:eastAsia="Times New Roman" w:hAnsi="Times New Roman"/>
          <w:sz w:val="20"/>
          <w:szCs w:val="20"/>
        </w:rPr>
        <w:t xml:space="preserve">; a published Ethereum-based zero-trust framework, for instance, reports latency growing from 49.33 ms to 74.0 ms and throughput falling from 50 to 30.77 req/s </w:t>
      </w:r>
      <w:r>
        <w:rPr>
          <w:rFonts w:ascii="Times New Roman" w:cs="Times New Roman" w:eastAsia="Times New Roman" w:hAnsi="Times New Roman"/>
          <w:sz w:val="20"/>
          <w:szCs w:val="20"/>
        </w:rPr>
        <w:t xml:space="preserve">[17]</w:t>
      </w:r>
      <w:r>
        <w:rPr>
          <w:rFonts w:ascii="Times New Roman" w:cs="Times New Roman" w:eastAsia="Times New Roman" w:hAnsi="Times New Roman"/>
          <w:sz w:val="20"/>
          <w:szCs w:val="20"/>
        </w:rPr>
        <w:t xml:space="preserve">. Second, scalability is seldom evaluated for authentication and authorisation workloads, with notable exceptions that rely on sharding </w:t>
      </w:r>
      <w:r>
        <w:rPr>
          <w:rFonts w:ascii="Times New Roman" w:cs="Times New Roman" w:eastAsia="Times New Roman" w:hAnsi="Times New Roman"/>
          <w:sz w:val="20"/>
          <w:szCs w:val="20"/>
        </w:rPr>
        <w:t xml:space="preserve">[18]</w:t>
      </w:r>
      <w:r>
        <w:rPr>
          <w:rFonts w:ascii="Times New Roman" w:cs="Times New Roman" w:eastAsia="Times New Roman" w:hAnsi="Times New Roman"/>
          <w:sz w:val="20"/>
          <w:szCs w:val="20"/>
        </w:rPr>
        <w:t xml:space="preserve">; most studies evaluate accuracy or encryption cost </w:t>
      </w:r>
      <w:r>
        <w:rPr>
          <w:rFonts w:ascii="Times New Roman" w:cs="Times New Roman" w:eastAsia="Times New Roman" w:hAnsi="Times New Roman"/>
          <w:sz w:val="20"/>
          <w:szCs w:val="20"/>
        </w:rPr>
        <w:t xml:space="preserve">[19], [20]</w:t>
      </w:r>
      <w:r>
        <w:rPr>
          <w:rFonts w:ascii="Times New Roman" w:cs="Times New Roman" w:eastAsia="Times New Roman" w:hAnsi="Times New Roman"/>
          <w:sz w:val="20"/>
          <w:szCs w:val="20"/>
        </w:rPr>
        <w:t xml:space="preserve">. Third, continuous tamper-proof audit logging, repeatedly named as an open gap </w:t>
      </w:r>
      <w:r>
        <w:rPr>
          <w:rFonts w:ascii="Times New Roman" w:cs="Times New Roman" w:eastAsia="Times New Roman" w:hAnsi="Times New Roman"/>
          <w:sz w:val="20"/>
          <w:szCs w:val="20"/>
        </w:rPr>
        <w:t xml:space="preserve">[5]</w:t>
      </w:r>
      <w:r>
        <w:rPr>
          <w:rFonts w:ascii="Times New Roman" w:cs="Times New Roman" w:eastAsia="Times New Roman" w:hAnsi="Times New Roman"/>
          <w:sz w:val="20"/>
          <w:szCs w:val="20"/>
        </w:rPr>
        <w:t xml:space="preserve">, is expensive when every event is written on-chain.</w:t>
      </w:r>
    </w:p>
    <w:p>
      <w:pPr>
        <w:keepNext/>
        <w:spacing w:after="30" w:before="60"/>
        <w:jc w:val="left"/>
      </w:pPr>
      <w:r>
        <w:rPr>
          <w:rFonts w:ascii="Times New Roman" w:cs="Times New Roman" w:eastAsia="Times New Roman" w:hAnsi="Times New Roman"/>
          <w:i/>
          <w:iCs/>
          <w:sz w:val="20"/>
          <w:szCs w:val="20"/>
        </w:rPr>
        <w:t xml:space="preserve">F. Research Objectives</w:t>
      </w:r>
    </w:p>
    <w:p>
      <w:pPr>
        <w:spacing w:after="60" w:before="0" w:line="228"/>
        <w:jc w:val="both"/>
      </w:pPr>
      <w:r>
        <w:rPr>
          <w:rFonts w:ascii="Times New Roman" w:cs="Times New Roman" w:eastAsia="Times New Roman" w:hAnsi="Times New Roman"/>
          <w:sz w:val="20"/>
          <w:szCs w:val="20"/>
        </w:rPr>
        <w:t xml:space="preserve">We aim to (O1) design a blockchain-assisted ZTA whose per-request decisions do not wait for consensus; (O2) bound the resulting staleness of revocation and trust state; (O3) make audit anchoring cost sub-linear in the event rate; and (O4) evaluate latency, on-chain load, gas cost and revocation delay against three baselines.</w:t>
      </w:r>
    </w:p>
    <w:p>
      <w:pPr>
        <w:keepNext/>
        <w:spacing w:after="30" w:before="60"/>
        <w:jc w:val="left"/>
      </w:pPr>
      <w:r>
        <w:rPr>
          <w:rFonts w:ascii="Times New Roman" w:cs="Times New Roman" w:eastAsia="Times New Roman" w:hAnsi="Times New Roman"/>
          <w:i/>
          <w:iCs/>
          <w:sz w:val="20"/>
          <w:szCs w:val="20"/>
        </w:rPr>
        <w:t xml:space="preserve">G. Contributions</w:t>
      </w:r>
    </w:p>
    <w:p>
      <w:pPr>
        <w:spacing w:after="30" w:before="0" w:line="228"/>
        <w:ind w:left="200" w:hanging="200"/>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Architecture.</w:t>
      </w:r>
      <w:r>
        <w:rPr>
          <w:rFonts w:ascii="Times New Roman" w:cs="Times New Roman" w:eastAsia="Times New Roman" w:hAnsi="Times New Roman"/>
          <w:sz w:val="20"/>
          <w:szCs w:val="20"/>
        </w:rPr>
        <w:t xml:space="preserve"> A three-tier BC-ZTA in which the PEP/PDP decide from edge-cached, Merkle-verified ledger state, so the blockchain is </w:t>
      </w:r>
      <w:r>
        <w:rPr>
          <w:rFonts w:ascii="Times New Roman" w:cs="Times New Roman" w:eastAsia="Times New Roman" w:hAnsi="Times New Roman"/>
          <w:i/>
          <w:iCs/>
          <w:sz w:val="20"/>
          <w:szCs w:val="20"/>
        </w:rPr>
        <w:t xml:space="preserve">off</w:t>
      </w:r>
      <w:r>
        <w:rPr>
          <w:rFonts w:ascii="Times New Roman" w:cs="Times New Roman" w:eastAsia="Times New Roman" w:hAnsi="Times New Roman"/>
          <w:sz w:val="20"/>
          <w:szCs w:val="20"/>
        </w:rPr>
        <w:t xml:space="preserve"> the request path (Section III).</w:t>
      </w:r>
    </w:p>
    <w:p>
      <w:pPr>
        <w:spacing w:after="30" w:before="0" w:line="228"/>
        <w:ind w:left="200" w:hanging="200"/>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Smart contracts.</w:t>
      </w:r>
      <w:r>
        <w:rPr>
          <w:rFonts w:ascii="Times New Roman" w:cs="Times New Roman" w:eastAsia="Times New Roman" w:hAnsi="Times New Roman"/>
          <w:sz w:val="20"/>
          <w:szCs w:val="20"/>
        </w:rPr>
        <w:t xml:space="preserve"> Four Solidity contracts (identity registry with epoch commitments, quorum-based trust reputation, ABAC access control, audit log with Merkle batch anchoring), compiled and unit-tested with 15 passing tests.</w:t>
      </w:r>
    </w:p>
    <w:p>
      <w:pPr>
        <w:spacing w:after="30" w:before="0" w:line="228"/>
        <w:ind w:left="200" w:hanging="200"/>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End-to-end prototype and measurements.</w:t>
      </w:r>
      <w:r>
        <w:rPr>
          <w:rFonts w:ascii="Times New Roman" w:cs="Times New Roman" w:eastAsia="Times New Roman" w:hAnsi="Times New Roman"/>
          <w:sz w:val="20"/>
          <w:szCs w:val="20"/>
        </w:rPr>
        <w:t xml:space="preserve"> A running PEP/PDP service, three baselines (centralised PKI-IAM, local ABAC, blockchain-synchronous) and a load generator, evaluated on a four-validator Hyperledger Besu IBFT 2.0 network in three repetitions: latency and goodput up to 200 devices, revocation delay, security tests and gas (Sections 5–6).</w:t>
      </w:r>
    </w:p>
    <w:p>
      <w:pPr>
        <w:spacing w:after="30" w:before="0" w:line="228"/>
        <w:ind w:left="200" w:hanging="200"/>
        <w:jc w:val="both"/>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Bounded-staleness analysis.</w:t>
      </w:r>
      <w:r>
        <w:rPr>
          <w:rFonts w:ascii="Times New Roman" w:cs="Times New Roman" w:eastAsia="Times New Roman" w:hAnsi="Times New Roman"/>
          <w:sz w:val="20"/>
          <w:szCs w:val="20"/>
        </w:rPr>
        <w:t xml:space="preserve"> Event-driven invalidation reduces mean revocation delay from 16.5 s to 1.5 s (Section VI-E).</w:t>
      </w:r>
    </w:p>
    <w:p>
      <w:pPr>
        <w:spacing w:after="60" w:before="30" w:line="228"/>
        <w:jc w:val="both"/>
      </w:pPr>
      <w:r>
        <w:rPr>
          <w:rFonts w:ascii="Times New Roman" w:cs="Times New Roman" w:eastAsia="Times New Roman" w:hAnsi="Times New Roman"/>
          <w:sz w:val="20"/>
          <w:szCs w:val="20"/>
        </w:rPr>
        <w:t xml:space="preserve">The remainder of the paper reviews related work (Section II), presents the architecture (Section III), the use case and threat model (Section IV), the methodology (Section V), results (Section VI) and conclusions (Section VII).</w:t>
      </w:r>
    </w:p>
    <w:p>
      <w:pPr>
        <w:keepNext/>
        <w:spacing w:after="60" w:before="120"/>
        <w:jc w:val="center"/>
      </w:pPr>
      <w:r>
        <w:rPr>
          <w:rFonts w:ascii="Times New Roman" w:cs="Times New Roman" w:eastAsia="Times New Roman" w:hAnsi="Times New Roman"/>
          <w:sz w:val="18"/>
          <w:szCs w:val="18"/>
        </w:rPr>
        <w:t xml:space="preserve">II. RELATED WORK</w:t>
      </w:r>
    </w:p>
    <w:p>
      <w:pPr>
        <w:keepNext/>
        <w:spacing w:after="30" w:before="60"/>
        <w:jc w:val="left"/>
      </w:pPr>
      <w:r>
        <w:rPr>
          <w:rFonts w:ascii="Times New Roman" w:cs="Times New Roman" w:eastAsia="Times New Roman" w:hAnsi="Times New Roman"/>
          <w:i/>
          <w:iCs/>
          <w:sz w:val="20"/>
          <w:szCs w:val="20"/>
        </w:rPr>
        <w:t xml:space="preserve">A. Blockchain-Based IIoT Security</w:t>
      </w:r>
    </w:p>
    <w:p>
      <w:pPr>
        <w:spacing w:after="60" w:before="0" w:line="228"/>
        <w:jc w:val="both"/>
      </w:pPr>
      <w:r>
        <w:rPr>
          <w:rFonts w:ascii="Times New Roman" w:cs="Times New Roman" w:eastAsia="Times New Roman" w:hAnsi="Times New Roman"/>
          <w:sz w:val="20"/>
          <w:szCs w:val="20"/>
        </w:rPr>
        <w:t xml:space="preserve">Essaid and Ju combine blockchain, edge computing and smart contracts for IIoT data integrity and threat detection </w:t>
      </w:r>
      <w:r>
        <w:rPr>
          <w:rFonts w:ascii="Times New Roman" w:cs="Times New Roman" w:eastAsia="Times New Roman" w:hAnsi="Times New Roman"/>
          <w:sz w:val="20"/>
          <w:szCs w:val="20"/>
        </w:rPr>
        <w:t xml:space="preserve">[14]</w:t>
      </w:r>
      <w:r>
        <w:rPr>
          <w:rFonts w:ascii="Times New Roman" w:cs="Times New Roman" w:eastAsia="Times New Roman" w:hAnsi="Times New Roman"/>
          <w:sz w:val="20"/>
          <w:szCs w:val="20"/>
        </w:rPr>
        <w:t xml:space="preserve">. Hyper-IIoT proposes a smart-contract-inspired access-control scheme for resource-constrained devices </w:t>
      </w:r>
      <w:r>
        <w:rPr>
          <w:rFonts w:ascii="Times New Roman" w:cs="Times New Roman" w:eastAsia="Times New Roman" w:hAnsi="Times New Roman"/>
          <w:sz w:val="20"/>
          <w:szCs w:val="20"/>
        </w:rPr>
        <w:t xml:space="preserve">[15]</w:t>
      </w:r>
      <w:r>
        <w:rPr>
          <w:rFonts w:ascii="Times New Roman" w:cs="Times New Roman" w:eastAsia="Times New Roman" w:hAnsi="Times New Roman"/>
          <w:sz w:val="20"/>
          <w:szCs w:val="20"/>
        </w:rPr>
        <w:t xml:space="preserve">, and formal model checking of IoT access-control contracts has been explored </w:t>
      </w:r>
      <w:r>
        <w:rPr>
          <w:rFonts w:ascii="Times New Roman" w:cs="Times New Roman" w:eastAsia="Times New Roman" w:hAnsi="Times New Roman"/>
          <w:sz w:val="20"/>
          <w:szCs w:val="20"/>
        </w:rPr>
        <w:t xml:space="preserve">[16]</w:t>
      </w:r>
      <w:r>
        <w:rPr>
          <w:rFonts w:ascii="Times New Roman" w:cs="Times New Roman" w:eastAsia="Times New Roman" w:hAnsi="Times New Roman"/>
          <w:sz w:val="20"/>
          <w:szCs w:val="20"/>
        </w:rPr>
        <w:t xml:space="preserve">. Lightweight authentication using blockchain and Chebyshev chaotic maps targets cross-domain IIoT </w:t>
      </w:r>
      <w:r>
        <w:rPr>
          <w:rFonts w:ascii="Times New Roman" w:cs="Times New Roman" w:eastAsia="Times New Roman" w:hAnsi="Times New Roman"/>
          <w:sz w:val="20"/>
          <w:szCs w:val="20"/>
        </w:rPr>
        <w:t xml:space="preserve">[21]</w:t>
      </w:r>
      <w:r>
        <w:rPr>
          <w:rFonts w:ascii="Times New Roman" w:cs="Times New Roman" w:eastAsia="Times New Roman" w:hAnsi="Times New Roman"/>
          <w:sz w:val="20"/>
          <w:szCs w:val="20"/>
        </w:rPr>
        <w:t xml:space="preserve">. For identity, Asim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use epoch-based batch registration with sparse Merkle trees to support up to 7,000 devices over 20 fog nodes with under 5 MB on-chain overhead </w:t>
      </w:r>
      <w:r>
        <w:rPr>
          <w:rFonts w:ascii="Times New Roman" w:cs="Times New Roman" w:eastAsia="Times New Roman" w:hAnsi="Times New Roman"/>
          <w:sz w:val="20"/>
          <w:szCs w:val="20"/>
        </w:rPr>
        <w:t xml:space="preserve">[8]</w:t>
      </w:r>
      <w:r>
        <w:rPr>
          <w:rFonts w:ascii="Times New Roman" w:cs="Times New Roman" w:eastAsia="Times New Roman" w:hAnsi="Times New Roman"/>
          <w:sz w:val="20"/>
          <w:szCs w:val="20"/>
        </w:rPr>
        <w:t xml:space="preserve">, and IOTA-based decentralised identifiers have been prototyped on Raspberry Pi 4 devices, with CPU load peaking during DID generation </w:t>
      </w:r>
      <w:r>
        <w:rPr>
          <w:rFonts w:ascii="Times New Roman" w:cs="Times New Roman" w:eastAsia="Times New Roman" w:hAnsi="Times New Roman"/>
          <w:sz w:val="20"/>
          <w:szCs w:val="20"/>
        </w:rPr>
        <w:t xml:space="preserve">[22]</w:t>
      </w:r>
      <w:r>
        <w:rPr>
          <w:rFonts w:ascii="Times New Roman" w:cs="Times New Roman" w:eastAsia="Times New Roman" w:hAnsi="Times New Roman"/>
          <w:sz w:val="20"/>
          <w:szCs w:val="20"/>
        </w:rPr>
        <w:t xml:space="preserve">. DAG ledgers have been proposed for scalability and privacy in intelligent buildings </w:t>
      </w:r>
      <w:r>
        <w:rPr>
          <w:rFonts w:ascii="Times New Roman" w:cs="Times New Roman" w:eastAsia="Times New Roman" w:hAnsi="Times New Roman"/>
          <w:sz w:val="20"/>
          <w:szCs w:val="20"/>
        </w:rPr>
        <w:t xml:space="preserve">[23]</w:t>
      </w:r>
      <w:r>
        <w:rPr>
          <w:rFonts w:ascii="Times New Roman" w:cs="Times New Roman" w:eastAsia="Times New Roman" w:hAnsi="Times New Roman"/>
          <w:sz w:val="20"/>
          <w:szCs w:val="20"/>
        </w:rPr>
        <w:t xml:space="preserve">, and a smart-city trust framework reports 450–500 tps with a lightweight adaptive PoS </w:t>
      </w:r>
      <w:r>
        <w:rPr>
          <w:rFonts w:ascii="Times New Roman" w:cs="Times New Roman" w:eastAsia="Times New Roman" w:hAnsi="Times New Roman"/>
          <w:sz w:val="20"/>
          <w:szCs w:val="20"/>
        </w:rPr>
        <w:t xml:space="preserve">[24]</w:t>
      </w:r>
      <w:r>
        <w:rPr>
          <w:rFonts w:ascii="Times New Roman" w:cs="Times New Roman" w:eastAsia="Times New Roman" w:hAnsi="Times New Roman"/>
          <w:sz w:val="20"/>
          <w:szCs w:val="20"/>
        </w:rPr>
        <w:t xml:space="preserve">.</w:t>
      </w:r>
    </w:p>
    <w:p>
      <w:pPr>
        <w:keepNext/>
        <w:spacing w:after="30" w:before="60"/>
        <w:jc w:val="left"/>
      </w:pPr>
      <w:r>
        <w:rPr>
          <w:rFonts w:ascii="Times New Roman" w:cs="Times New Roman" w:eastAsia="Times New Roman" w:hAnsi="Times New Roman"/>
          <w:i/>
          <w:iCs/>
          <w:sz w:val="20"/>
          <w:szCs w:val="20"/>
        </w:rPr>
        <w:t xml:space="preserve">B. Zero-Trust IIoT Security</w:t>
      </w:r>
    </w:p>
    <w:p>
      <w:pPr>
        <w:spacing w:after="60" w:before="0" w:line="228"/>
        <w:jc w:val="both"/>
      </w:pPr>
      <w:r>
        <w:rPr>
          <w:rFonts w:ascii="Times New Roman" w:cs="Times New Roman" w:eastAsia="Times New Roman" w:hAnsi="Times New Roman"/>
          <w:sz w:val="20"/>
          <w:szCs w:val="20"/>
        </w:rPr>
        <w:t xml:space="preserve">Federici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design a zero-trust remote-access architecture for IIoT </w:t>
      </w:r>
      <w:r>
        <w:rPr>
          <w:rFonts w:ascii="Times New Roman" w:cs="Times New Roman" w:eastAsia="Times New Roman" w:hAnsi="Times New Roman"/>
          <w:sz w:val="20"/>
          <w:szCs w:val="20"/>
        </w:rPr>
        <w:t xml:space="preserve">[1]</w:t>
      </w:r>
      <w:r>
        <w:rPr>
          <w:rFonts w:ascii="Times New Roman" w:cs="Times New Roman" w:eastAsia="Times New Roman" w:hAnsi="Times New Roman"/>
          <w:sz w:val="20"/>
          <w:szCs w:val="20"/>
        </w:rPr>
        <w:t xml:space="preserve">, and Zanasi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a flexible architecture combining micro-segmentation, SDN and a central policy layer </w:t>
      </w:r>
      <w:r>
        <w:rPr>
          <w:rFonts w:ascii="Times New Roman" w:cs="Times New Roman" w:eastAsia="Times New Roman" w:hAnsi="Times New Roman"/>
          <w:sz w:val="20"/>
          <w:szCs w:val="20"/>
        </w:rPr>
        <w:t xml:space="preserve">[2]</w:t>
      </w:r>
      <w:r>
        <w:rPr>
          <w:rFonts w:ascii="Times New Roman" w:cs="Times New Roman" w:eastAsia="Times New Roman" w:hAnsi="Times New Roman"/>
          <w:sz w:val="20"/>
          <w:szCs w:val="20"/>
        </w:rPr>
        <w:t xml:space="preserve">. Ma and Chiu propose a risk-based access-control engine with continuous neighbour-trust assessment for IoT </w:t>
      </w:r>
      <w:r>
        <w:rPr>
          <w:rFonts w:ascii="Times New Roman" w:cs="Times New Roman" w:eastAsia="Times New Roman" w:hAnsi="Times New Roman"/>
          <w:sz w:val="20"/>
          <w:szCs w:val="20"/>
        </w:rPr>
        <w:t xml:space="preserve">[10]</w:t>
      </w:r>
      <w:r>
        <w:rPr>
          <w:rFonts w:ascii="Times New Roman" w:cs="Times New Roman" w:eastAsia="Times New Roman" w:hAnsi="Times New Roman"/>
          <w:sz w:val="20"/>
          <w:szCs w:val="20"/>
        </w:rPr>
        <w:t xml:space="preserve">; Mthethwa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address non-human identities </w:t>
      </w:r>
      <w:r>
        <w:rPr>
          <w:rFonts w:ascii="Times New Roman" w:cs="Times New Roman" w:eastAsia="Times New Roman" w:hAnsi="Times New Roman"/>
          <w:sz w:val="20"/>
          <w:szCs w:val="20"/>
        </w:rPr>
        <w:t xml:space="preserve">[7]</w:t>
      </w:r>
      <w:r>
        <w:rPr>
          <w:rFonts w:ascii="Times New Roman" w:cs="Times New Roman" w:eastAsia="Times New Roman" w:hAnsi="Times New Roman"/>
          <w:sz w:val="20"/>
          <w:szCs w:val="20"/>
        </w:rPr>
        <w:t xml:space="preserve">. Broader treatments include a ZTA framework for next-generation IoT </w:t>
      </w:r>
      <w:r>
        <w:rPr>
          <w:rFonts w:ascii="Times New Roman" w:cs="Times New Roman" w:eastAsia="Times New Roman" w:hAnsi="Times New Roman"/>
          <w:sz w:val="20"/>
          <w:szCs w:val="20"/>
        </w:rPr>
        <w:t xml:space="preserve">[25]</w:t>
      </w:r>
      <w:r>
        <w:rPr>
          <w:rFonts w:ascii="Times New Roman" w:cs="Times New Roman" w:eastAsia="Times New Roman" w:hAnsi="Times New Roman"/>
          <w:sz w:val="20"/>
          <w:szCs w:val="20"/>
        </w:rPr>
        <w:t xml:space="preserve">, trust-driven adaptive edge resource management that lowers latency by 28.7% against cloud processing </w:t>
      </w:r>
      <w:r>
        <w:rPr>
          <w:rFonts w:ascii="Times New Roman" w:cs="Times New Roman" w:eastAsia="Times New Roman" w:hAnsi="Times New Roman"/>
          <w:sz w:val="20"/>
          <w:szCs w:val="20"/>
        </w:rPr>
        <w:t xml:space="preserve">[26]</w:t>
      </w:r>
      <w:r>
        <w:rPr>
          <w:rFonts w:ascii="Times New Roman" w:cs="Times New Roman" w:eastAsia="Times New Roman" w:hAnsi="Times New Roman"/>
          <w:sz w:val="20"/>
          <w:szCs w:val="20"/>
        </w:rPr>
        <w:t xml:space="preserve">, and zero-trust foundation models for IoT AI </w:t>
      </w:r>
      <w:r>
        <w:rPr>
          <w:rFonts w:ascii="Times New Roman" w:cs="Times New Roman" w:eastAsia="Times New Roman" w:hAnsi="Times New Roman"/>
          <w:sz w:val="20"/>
          <w:szCs w:val="20"/>
        </w:rPr>
        <w:t xml:space="preserve">[27]</w:t>
      </w:r>
      <w:r>
        <w:rPr>
          <w:rFonts w:ascii="Times New Roman" w:cs="Times New Roman" w:eastAsia="Times New Roman" w:hAnsi="Times New Roman"/>
          <w:sz w:val="20"/>
          <w:szCs w:val="20"/>
        </w:rPr>
        <w:t xml:space="preserve">. Surveys summarise applications and challenges </w:t>
      </w:r>
      <w:r>
        <w:rPr>
          <w:rFonts w:ascii="Times New Roman" w:cs="Times New Roman" w:eastAsia="Times New Roman" w:hAnsi="Times New Roman"/>
          <w:sz w:val="20"/>
          <w:szCs w:val="20"/>
        </w:rPr>
        <w:t xml:space="preserve">[28]</w:t>
      </w:r>
      <w:r>
        <w:rPr>
          <w:rFonts w:ascii="Times New Roman" w:cs="Times New Roman" w:eastAsia="Times New Roman" w:hAnsi="Times New Roman"/>
          <w:sz w:val="20"/>
          <w:szCs w:val="20"/>
        </w:rPr>
        <w:t xml:space="preserve">.</w:t>
      </w:r>
    </w:p>
    <w:p>
      <w:pPr>
        <w:keepNext/>
        <w:spacing w:after="30" w:before="60"/>
        <w:jc w:val="left"/>
      </w:pPr>
      <w:r>
        <w:rPr>
          <w:rFonts w:ascii="Times New Roman" w:cs="Times New Roman" w:eastAsia="Times New Roman" w:hAnsi="Times New Roman"/>
          <w:i/>
          <w:iCs/>
          <w:sz w:val="20"/>
          <w:szCs w:val="20"/>
        </w:rPr>
        <w:t xml:space="preserve">C. Blockchain-Assisted Zero Trust</w:t>
      </w:r>
    </w:p>
    <w:p>
      <w:pPr>
        <w:spacing w:after="60" w:before="0" w:line="228"/>
        <w:jc w:val="both"/>
      </w:pPr>
      <w:r>
        <w:rPr>
          <w:rFonts w:ascii="Times New Roman" w:cs="Times New Roman" w:eastAsia="Times New Roman" w:hAnsi="Times New Roman"/>
          <w:sz w:val="20"/>
          <w:szCs w:val="20"/>
        </w:rPr>
        <w:t xml:space="preserve">Aleisa couples blockchain-enabled ZTA with post-quantum and zero-knowledge techniques, reporting 98% privacy preservation </w:t>
      </w:r>
      <w:r>
        <w:rPr>
          <w:rFonts w:ascii="Times New Roman" w:cs="Times New Roman" w:eastAsia="Times New Roman" w:hAnsi="Times New Roman"/>
          <w:sz w:val="20"/>
          <w:szCs w:val="20"/>
        </w:rPr>
        <w:t xml:space="preserve">[11]</w:t>
      </w:r>
      <w:r>
        <w:rPr>
          <w:rFonts w:ascii="Times New Roman" w:cs="Times New Roman" w:eastAsia="Times New Roman" w:hAnsi="Times New Roman"/>
          <w:sz w:val="20"/>
          <w:szCs w:val="20"/>
        </w:rPr>
        <w:t xml:space="preserve">. Nie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use smart contracts and inner-product encryption for 6G IoT access control, with 14% higher encryption efficiency and 18% lower access latency </w:t>
      </w:r>
      <w:r>
        <w:rPr>
          <w:rFonts w:ascii="Times New Roman" w:cs="Times New Roman" w:eastAsia="Times New Roman" w:hAnsi="Times New Roman"/>
          <w:sz w:val="20"/>
          <w:szCs w:val="20"/>
        </w:rPr>
        <w:t xml:space="preserve">[12]</w:t>
      </w:r>
      <w:r>
        <w:rPr>
          <w:rFonts w:ascii="Times New Roman" w:cs="Times New Roman" w:eastAsia="Times New Roman" w:hAnsi="Times New Roman"/>
          <w:sz w:val="20"/>
          <w:szCs w:val="20"/>
        </w:rPr>
        <w:t xml:space="preserve">. Sharma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add federated transfer learning for Industry 5.0 </w:t>
      </w:r>
      <w:r>
        <w:rPr>
          <w:rFonts w:ascii="Times New Roman" w:cs="Times New Roman" w:eastAsia="Times New Roman" w:hAnsi="Times New Roman"/>
          <w:sz w:val="20"/>
          <w:szCs w:val="20"/>
        </w:rPr>
        <w:t xml:space="preserve">[19]</w:t>
      </w:r>
      <w:r>
        <w:rPr>
          <w:rFonts w:ascii="Times New Roman" w:cs="Times New Roman" w:eastAsia="Times New Roman" w:hAnsi="Times New Roman"/>
          <w:sz w:val="20"/>
          <w:szCs w:val="20"/>
        </w:rPr>
        <w:t xml:space="preserve">, and Mishra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a zero-trust digital twin with hash-chained lightweight blockchain auditing and deep-learning intrusion detection </w:t>
      </w:r>
      <w:r>
        <w:rPr>
          <w:rFonts w:ascii="Times New Roman" w:cs="Times New Roman" w:eastAsia="Times New Roman" w:hAnsi="Times New Roman"/>
          <w:sz w:val="20"/>
          <w:szCs w:val="20"/>
        </w:rPr>
        <w:t xml:space="preserve">[20]</w:t>
      </w:r>
      <w:r>
        <w:rPr>
          <w:rFonts w:ascii="Times New Roman" w:cs="Times New Roman" w:eastAsia="Times New Roman" w:hAnsi="Times New Roman"/>
          <w:sz w:val="20"/>
          <w:szCs w:val="20"/>
        </w:rPr>
        <w:t xml:space="preserve">. Salim </w:t>
      </w:r>
      <w:r>
        <w:rPr>
          <w:rFonts w:ascii="Times New Roman" w:cs="Times New Roman" w:eastAsia="Times New Roman" w:hAnsi="Times New Roman"/>
          <w:i/>
          <w:iCs/>
          <w:sz w:val="20"/>
          <w:szCs w:val="20"/>
        </w:rPr>
        <w:t xml:space="preserve">et al.</w:t>
      </w:r>
      <w:r>
        <w:rPr>
          <w:rFonts w:ascii="Times New Roman" w:cs="Times New Roman" w:eastAsia="Times New Roman" w:hAnsi="Times New Roman"/>
          <w:sz w:val="20"/>
          <w:szCs w:val="20"/>
        </w:rPr>
        <w:t xml:space="preserve"> reach 2,500 TPS at 700 nodes through DRL-driven sharding </w:t>
      </w:r>
      <w:r>
        <w:rPr>
          <w:rFonts w:ascii="Times New Roman" w:cs="Times New Roman" w:eastAsia="Times New Roman" w:hAnsi="Times New Roman"/>
          <w:sz w:val="20"/>
          <w:szCs w:val="20"/>
        </w:rPr>
        <w:t xml:space="preserve">[18]</w:t>
      </w:r>
      <w:r>
        <w:rPr>
          <w:rFonts w:ascii="Times New Roman" w:cs="Times New Roman" w:eastAsia="Times New Roman" w:hAnsi="Times New Roman"/>
          <w:sz w:val="20"/>
          <w:szCs w:val="20"/>
        </w:rPr>
        <w:t xml:space="preserve">. Domain variants exist for FinTech </w:t>
      </w:r>
      <w:r>
        <w:rPr>
          <w:rFonts w:ascii="Times New Roman" w:cs="Times New Roman" w:eastAsia="Times New Roman" w:hAnsi="Times New Roman"/>
          <w:sz w:val="20"/>
          <w:szCs w:val="20"/>
        </w:rPr>
        <w:t xml:space="preserve">[17]</w:t>
      </w:r>
      <w:r>
        <w:rPr>
          <w:rFonts w:ascii="Times New Roman" w:cs="Times New Roman" w:eastAsia="Times New Roman" w:hAnsi="Times New Roman"/>
          <w:sz w:val="20"/>
          <w:szCs w:val="20"/>
        </w:rPr>
        <w:t xml:space="preserve">, clinical trials with T-PBFT </w:t>
      </w:r>
      <w:r>
        <w:rPr>
          <w:rFonts w:ascii="Times New Roman" w:cs="Times New Roman" w:eastAsia="Times New Roman" w:hAnsi="Times New Roman"/>
          <w:sz w:val="20"/>
          <w:szCs w:val="20"/>
        </w:rPr>
        <w:t xml:space="preserve">[29]</w:t>
      </w:r>
      <w:r>
        <w:rPr>
          <w:rFonts w:ascii="Times New Roman" w:cs="Times New Roman" w:eastAsia="Times New Roman" w:hAnsi="Times New Roman"/>
          <w:sz w:val="20"/>
          <w:szCs w:val="20"/>
        </w:rPr>
        <w:t xml:space="preserve"> and FPGA supply chains </w:t>
      </w:r>
      <w:r>
        <w:rPr>
          <w:rFonts w:ascii="Times New Roman" w:cs="Times New Roman" w:eastAsia="Times New Roman" w:hAnsi="Times New Roman"/>
          <w:sz w:val="20"/>
          <w:szCs w:val="20"/>
        </w:rPr>
        <w:t xml:space="preserve">[30]</w:t>
      </w:r>
      <w:r>
        <w:rPr>
          <w:rFonts w:ascii="Times New Roman" w:cs="Times New Roman" w:eastAsia="Times New Roman" w:hAnsi="Times New Roman"/>
          <w:sz w:val="20"/>
          <w:szCs w:val="20"/>
        </w:rPr>
        <w:t xml:space="preserve">.</w:t>
      </w:r>
    </w:p>
    <w:p>
      <w:pPr>
        <w:keepNext/>
        <w:spacing w:after="30" w:before="60"/>
        <w:jc w:val="left"/>
      </w:pPr>
      <w:r>
        <w:rPr>
          <w:rFonts w:ascii="Times New Roman" w:cs="Times New Roman" w:eastAsia="Times New Roman" w:hAnsi="Times New Roman"/>
          <w:i/>
          <w:iCs/>
          <w:sz w:val="20"/>
          <w:szCs w:val="20"/>
        </w:rPr>
        <w:t xml:space="preserve">D. Comparative Analysis</w:t>
      </w:r>
    </w:p>
    <w:p>
      <w:pPr>
        <w:keepNext/>
        <w:spacing w:after="60" w:before="0" w:line="228"/>
        <w:jc w:val="both"/>
      </w:pPr>
      <w:r>
        <w:rPr>
          <w:rFonts w:ascii="Times New Roman" w:cs="Times New Roman" w:eastAsia="Times New Roman" w:hAnsi="Times New Roman"/>
          <w:sz w:val="20"/>
          <w:szCs w:val="20"/>
        </w:rPr>
        <w:t xml:space="preserve">Table 1 compares representative works on four criteria taken from their reported content.</w:t>
      </w:r>
    </w:p>
    <w:p>
      <w:pPr>
        <w:keepNext/>
        <w:spacing w:after="30" w:before="60"/>
        <w:jc w:val="center"/>
      </w:pPr>
      <w:r>
        <w:rPr>
          <w:rFonts w:ascii="Times New Roman" w:cs="Times New Roman" w:eastAsia="Times New Roman" w:hAnsi="Times New Roman"/>
          <w:sz w:val="16"/>
          <w:szCs w:val="16"/>
        </w:rPr>
        <w:t xml:space="preserve">TABLE 1. COMPARISON OF RELATED WORK</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915"/>
        <w:gridCol w:w="915"/>
        <w:gridCol w:w="915"/>
        <w:gridCol w:w="915"/>
      </w:tblGrid>
      <w:tr>
        <w:trPr>
          <w:cantSplit/>
          <w:tblHeader/>
        </w:trPr>
        <w:tc>
          <w:tcPr>
            <w:tcW w:type="dxa" w:w="12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Work</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bCs/>
                <w:sz w:val="15"/>
                <w:szCs w:val="15"/>
              </w:rPr>
              <w:t xml:space="preserve">Blockchain</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bCs/>
                <w:sz w:val="15"/>
                <w:szCs w:val="15"/>
              </w:rPr>
              <w:t xml:space="preserve">Zero trust</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bCs/>
                <w:sz w:val="15"/>
                <w:szCs w:val="15"/>
              </w:rPr>
              <w:t xml:space="preserve">IIoT focus</w:t>
            </w:r>
          </w:p>
        </w:tc>
        <w:tc>
          <w:tcPr>
            <w:tcW w:type="dxa" w:w="915"/>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bCs/>
                <w:sz w:val="15"/>
                <w:szCs w:val="15"/>
              </w:rPr>
              <w:t xml:space="preserve">Scale eval.</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[18]</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[11]</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[12]</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Part</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[19]</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Part</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[20]</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Part</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[13]</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Part</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Part</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[15]</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[8]</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r>
      <w:tr>
        <w:trPr>
          <w:cantSplit/>
        </w:trPr>
        <w:tc>
          <w:tcPr>
            <w:tcW w:type="dxa" w:w="12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No</w:t>
            </w:r>
          </w:p>
        </w:tc>
      </w:tr>
      <w:tr>
        <w:trPr>
          <w:cantSplit/>
        </w:trPr>
        <w:tc>
          <w:tcPr>
            <w:tcW w:type="dxa" w:w="12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This work</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c>
          <w:tcPr>
            <w:tcW w:type="dxa" w:w="915"/>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center"/>
            </w:pPr>
            <w:r>
              <w:rPr>
                <w:rFonts w:ascii="Times New Roman" w:cs="Times New Roman" w:eastAsia="Times New Roman" w:hAnsi="Times New Roman"/>
                <w:b w:val="false"/>
                <w:bCs w:val="false"/>
                <w:sz w:val="15"/>
                <w:szCs w:val="15"/>
              </w:rPr>
              <w:t xml:space="preserve">Yes</w:t>
            </w:r>
          </w:p>
        </w:tc>
      </w:tr>
    </w:tbl>
    <w:p>
      <w:pPr>
        <w:spacing w:after="80" w:before="20"/>
        <w:jc w:val="both"/>
      </w:pPr>
      <w:r>
        <w:rPr>
          <w:rFonts w:ascii="Times New Roman" w:cs="Times New Roman" w:eastAsia="Times New Roman" w:hAnsi="Times New Roman"/>
          <w:sz w:val="14"/>
          <w:szCs w:val="14"/>
        </w:rPr>
        <w:t xml:space="preserve">Yes = addressed; Part = partly; No = not addressed. Authors’ reading of each paper’s reported content; “Scale eval.” means device/node scaling reported.</w:t>
      </w:r>
    </w:p>
    <w:p>
      <w:pPr>
        <w:spacing w:after="60" w:before="0" w:line="228"/>
        <w:jc w:val="both"/>
      </w:pPr>
      <w:r>
        <w:rPr>
          <w:rFonts w:ascii="Times New Roman" w:cs="Times New Roman" w:eastAsia="Times New Roman" w:hAnsi="Times New Roman"/>
          <w:sz w:val="20"/>
          <w:szCs w:val="20"/>
        </w:rPr>
        <w:t xml:space="preserve">Three observations follow. Most blockchain-based zero-trust designs target generic IoT rather than IIoT; only two of the listed works report device or node scaling </w:t>
      </w:r>
      <w:r>
        <w:rPr>
          <w:rFonts w:ascii="Times New Roman" w:cs="Times New Roman" w:eastAsia="Times New Roman" w:hAnsi="Times New Roman"/>
          <w:sz w:val="20"/>
          <w:szCs w:val="20"/>
        </w:rPr>
        <w:t xml:space="preserve">[8], [18]</w:t>
      </w:r>
      <w:r>
        <w:rPr>
          <w:rFonts w:ascii="Times New Roman" w:cs="Times New Roman" w:eastAsia="Times New Roman" w:hAnsi="Times New Roman"/>
          <w:sz w:val="20"/>
          <w:szCs w:val="20"/>
        </w:rPr>
        <w:t xml:space="preserve">; and none of the listed works both reports scaling and quantifies the staleness introduced by off-path state. The last point is where this paper concentrates its evaluation.</w:t>
      </w:r>
    </w:p>
    <w:p>
      <w:pPr>
        <w:keepNext/>
        <w:spacing w:after="30" w:before="60"/>
        <w:jc w:val="left"/>
      </w:pPr>
      <w:r>
        <w:rPr>
          <w:rFonts w:ascii="Times New Roman" w:cs="Times New Roman" w:eastAsia="Times New Roman" w:hAnsi="Times New Roman"/>
          <w:i/>
          <w:iCs/>
          <w:sz w:val="20"/>
          <w:szCs w:val="20"/>
        </w:rPr>
        <w:t xml:space="preserve">E. Research Gap</w:t>
      </w:r>
    </w:p>
    <w:p>
      <w:pPr>
        <w:spacing w:after="60" w:before="0" w:line="228"/>
        <w:jc w:val="both"/>
      </w:pPr>
      <w:r>
        <w:rPr>
          <w:rFonts w:ascii="Times New Roman" w:cs="Times New Roman" w:eastAsia="Times New Roman" w:hAnsi="Times New Roman"/>
          <w:sz w:val="20"/>
          <w:szCs w:val="20"/>
        </w:rPr>
        <w:t xml:space="preserve">No surveyed work simultaneously (a) keeps the ledger off the per-request path, (b) quantifies the revocation-staleness this causes and how to bound it, and (c) amortises audit cost via Merkle anchoring for an IIoT workload. This paper targets that combination.</w:t>
      </w:r>
    </w:p>
    <w:p>
      <w:pPr>
        <w:keepNext/>
        <w:spacing w:after="60" w:before="120"/>
        <w:jc w:val="center"/>
      </w:pPr>
      <w:r>
        <w:rPr>
          <w:rFonts w:ascii="Times New Roman" w:cs="Times New Roman" w:eastAsia="Times New Roman" w:hAnsi="Times New Roman"/>
          <w:sz w:val="18"/>
          <w:szCs w:val="18"/>
        </w:rPr>
        <w:t xml:space="preserve">III. PROPOSED ARCHITECTURE</w:t>
      </w:r>
    </w:p>
    <w:p>
      <w:pPr>
        <w:keepNext/>
        <w:spacing w:after="30" w:before="60"/>
        <w:jc w:val="left"/>
      </w:pPr>
      <w:r>
        <w:rPr>
          <w:rFonts w:ascii="Times New Roman" w:cs="Times New Roman" w:eastAsia="Times New Roman" w:hAnsi="Times New Roman"/>
          <w:i/>
          <w:iCs/>
          <w:sz w:val="20"/>
          <w:szCs w:val="20"/>
        </w:rPr>
        <w:t xml:space="preserve">A. Design Objectives</w:t>
      </w:r>
    </w:p>
    <w:p>
      <w:pPr>
        <w:spacing w:after="60" w:before="0" w:line="228"/>
        <w:jc w:val="both"/>
      </w:pPr>
      <w:r>
        <w:rPr>
          <w:rFonts w:ascii="Times New Roman" w:cs="Times New Roman" w:eastAsia="Times New Roman" w:hAnsi="Times New Roman"/>
          <w:b/>
          <w:bCs/>
          <w:sz w:val="20"/>
          <w:szCs w:val="20"/>
        </w:rPr>
        <w:t xml:space="preserve">D1</w:t>
      </w:r>
      <w:r>
        <w:rPr>
          <w:rFonts w:ascii="Times New Roman" w:cs="Times New Roman" w:eastAsia="Times New Roman" w:hAnsi="Times New Roman"/>
          <w:sz w:val="20"/>
          <w:szCs w:val="20"/>
        </w:rPr>
        <w:t xml:space="preserve"> decisions from local state in milliseconds; </w:t>
      </w:r>
      <w:r>
        <w:rPr>
          <w:rFonts w:ascii="Times New Roman" w:cs="Times New Roman" w:eastAsia="Times New Roman" w:hAnsi="Times New Roman"/>
          <w:b/>
          <w:bCs/>
          <w:sz w:val="20"/>
          <w:szCs w:val="20"/>
        </w:rPr>
        <w:t xml:space="preserve">D2</w:t>
      </w:r>
      <w:r>
        <w:rPr>
          <w:rFonts w:ascii="Times New Roman" w:cs="Times New Roman" w:eastAsia="Times New Roman" w:hAnsi="Times New Roman"/>
          <w:sz w:val="20"/>
          <w:szCs w:val="20"/>
        </w:rPr>
        <w:t xml:space="preserve"> no single trusted party for identity, policy or logs; </w:t>
      </w:r>
      <w:r>
        <w:rPr>
          <w:rFonts w:ascii="Times New Roman" w:cs="Times New Roman" w:eastAsia="Times New Roman" w:hAnsi="Times New Roman"/>
          <w:b/>
          <w:bCs/>
          <w:sz w:val="20"/>
          <w:szCs w:val="20"/>
        </w:rPr>
        <w:t xml:space="preserve">D3</w:t>
      </w:r>
      <w:r>
        <w:rPr>
          <w:rFonts w:ascii="Times New Roman" w:cs="Times New Roman" w:eastAsia="Times New Roman" w:hAnsi="Times New Roman"/>
          <w:sz w:val="20"/>
          <w:szCs w:val="20"/>
        </w:rPr>
        <w:t xml:space="preserve"> bounded staleness of cached state; </w:t>
      </w:r>
      <w:r>
        <w:rPr>
          <w:rFonts w:ascii="Times New Roman" w:cs="Times New Roman" w:eastAsia="Times New Roman" w:hAnsi="Times New Roman"/>
          <w:b/>
          <w:bCs/>
          <w:sz w:val="20"/>
          <w:szCs w:val="20"/>
        </w:rPr>
        <w:t xml:space="preserve">D4</w:t>
      </w:r>
      <w:r>
        <w:rPr>
          <w:rFonts w:ascii="Times New Roman" w:cs="Times New Roman" w:eastAsia="Times New Roman" w:hAnsi="Times New Roman"/>
          <w:sz w:val="20"/>
          <w:szCs w:val="20"/>
        </w:rPr>
        <w:t xml:space="preserve"> write load that grows slower than the request rate; </w:t>
      </w:r>
      <w:r>
        <w:rPr>
          <w:rFonts w:ascii="Times New Roman" w:cs="Times New Roman" w:eastAsia="Times New Roman" w:hAnsi="Times New Roman"/>
          <w:b/>
          <w:bCs/>
          <w:sz w:val="20"/>
          <w:szCs w:val="20"/>
        </w:rPr>
        <w:t xml:space="preserve">D5</w:t>
      </w:r>
      <w:r>
        <w:rPr>
          <w:rFonts w:ascii="Times New Roman" w:cs="Times New Roman" w:eastAsia="Times New Roman" w:hAnsi="Times New Roman"/>
          <w:sz w:val="20"/>
          <w:szCs w:val="20"/>
        </w:rPr>
        <w:t xml:space="preserve"> compatibility with constrained devices (ECDSA signatures, hash proofs only).</w:t>
      </w:r>
    </w:p>
    <w:p>
      <w:pPr>
        <w:keepNext/>
        <w:spacing w:after="30" w:before="60"/>
        <w:jc w:val="left"/>
      </w:pPr>
      <w:r>
        <w:rPr>
          <w:rFonts w:ascii="Times New Roman" w:cs="Times New Roman" w:eastAsia="Times New Roman" w:hAnsi="Times New Roman"/>
          <w:i/>
          <w:iCs/>
          <w:sz w:val="20"/>
          <w:szCs w:val="20"/>
        </w:rPr>
        <w:t xml:space="preserve">B. Architecture Overview</w:t>
      </w:r>
    </w:p>
    <w:p>
      <w:pPr>
        <w:spacing w:after="60" w:before="0" w:line="228"/>
        <w:jc w:val="both"/>
      </w:pPr>
      <w:r>
        <w:rPr>
          <w:rFonts w:ascii="Times New Roman" w:cs="Times New Roman" w:eastAsia="Times New Roman" w:hAnsi="Times New Roman"/>
          <w:sz w:val="20"/>
          <w:szCs w:val="20"/>
        </w:rPr>
        <w:t xml:space="preserve">Fig. 1 shows three tiers. Devices form Layer I (IIoT and edge). Layer II is the zero-trust security layer at the edge gateway, hosting the PEP, PDP and trust engine. Layer III is the permissioned blockchain, whose identity, trust, access-control and audit services are implemented as smart contracts. Gateways cache Layer III state, so Layer II never waits for consensus.</w:t>
      </w:r>
    </w:p>
    <w:p>
      <w:pPr>
        <w:keepNext/>
        <w:spacing w:after="20" w:before="40"/>
        <w:jc w:val="center"/>
      </w:pPr>
      <w:r>
        <w:drawing>
          <wp:inline distT="0" distB="0" distL="0" distR="0">
            <wp:extent cx="3067050" cy="3876675"/>
            <wp:effectExtent t="0" r="0" b="0" l="0"/>
            <wp:docPr id="1" name="fig1_architecture.png" descr="Fig. 1. Proposed BC-ZTA architecture: devices, edge/ZT layer, blockchain layer and contract services." title="Fig. 1. Proposed BC-ZTA architecture: devices, edge/ZT layer, blockchain layer and contract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67050" cy="3876675"/>
                    </a:xfrm>
                    <a:prstGeom prst="rect">
                      <a:avLst/>
                    </a:prstGeom>
                  </pic:spPr>
                </pic:pic>
              </a:graphicData>
            </a:graphic>
          </wp:inline>
        </w:drawing>
      </w:r>
    </w:p>
    <w:p>
      <w:pPr>
        <w:spacing w:after="80"/>
        <w:jc w:val="center"/>
      </w:pPr>
      <w:r>
        <w:rPr>
          <w:rFonts w:ascii="Times New Roman" w:cs="Times New Roman" w:eastAsia="Times New Roman" w:hAnsi="Times New Roman"/>
          <w:sz w:val="16"/>
          <w:szCs w:val="16"/>
        </w:rPr>
        <w:t xml:space="preserve">Fig. 1. Proposed BC-ZTA architecture: devices, edge/ZT layer, blockchain layer and contract services.</w:t>
      </w:r>
    </w:p>
    <w:p>
      <w:pPr>
        <w:keepNext/>
        <w:spacing w:after="30" w:before="60"/>
        <w:jc w:val="left"/>
      </w:pPr>
      <w:r>
        <w:rPr>
          <w:rFonts w:ascii="Times New Roman" w:cs="Times New Roman" w:eastAsia="Times New Roman" w:hAnsi="Times New Roman"/>
          <w:i/>
          <w:iCs/>
          <w:sz w:val="20"/>
          <w:szCs w:val="20"/>
        </w:rPr>
        <w:t xml:space="preserve">C. IIoT/Edge Layer</w:t>
      </w:r>
    </w:p>
    <w:p>
      <w:pPr>
        <w:spacing w:after="60" w:before="0" w:line="228"/>
        <w:jc w:val="both"/>
      </w:pPr>
      <w:r>
        <w:rPr>
          <w:rFonts w:ascii="Times New Roman" w:cs="Times New Roman" w:eastAsia="Times New Roman" w:hAnsi="Times New Roman"/>
          <w:sz w:val="20"/>
          <w:szCs w:val="20"/>
        </w:rPr>
        <w:t xml:space="preserve">Sensors, actuators and PLCs hold an ECDSA key pair bound to a DID and sign each request with a timestamp and nonce. Edge gateways terminate sessions, host the PEP, keep a local cache of the identity, trust and policy state, and forward anomaly telemetry to the trust engine.</w:t>
      </w:r>
    </w:p>
    <w:p>
      <w:pPr>
        <w:keepNext/>
        <w:spacing w:after="30" w:before="60"/>
        <w:jc w:val="left"/>
      </w:pPr>
      <w:r>
        <w:rPr>
          <w:rFonts w:ascii="Times New Roman" w:cs="Times New Roman" w:eastAsia="Times New Roman" w:hAnsi="Times New Roman"/>
          <w:i/>
          <w:iCs/>
          <w:sz w:val="20"/>
          <w:szCs w:val="20"/>
        </w:rPr>
        <w:t xml:space="preserve">D. Zero-Trust Security Layer</w:t>
      </w:r>
    </w:p>
    <w:p>
      <w:pPr>
        <w:spacing w:after="60" w:before="0" w:line="228"/>
        <w:jc w:val="both"/>
      </w:pPr>
      <w:r>
        <w:rPr>
          <w:rFonts w:ascii="Times New Roman" w:cs="Times New Roman" w:eastAsia="Times New Roman" w:hAnsi="Times New Roman"/>
          <w:sz w:val="20"/>
          <w:szCs w:val="20"/>
        </w:rPr>
        <w:t xml:space="preserve">The PEP intercepts every request. The PDP verifies the signature, checks the DID against a cached Merkle-verified registry entry, retrieves the trust score and policy, and returns allow/deny. Micro-segmentation is enforced by permitting only flows that hold a valid, unexpired session </w:t>
      </w:r>
      <w:r>
        <w:rPr>
          <w:rFonts w:ascii="Times New Roman" w:cs="Times New Roman" w:eastAsia="Times New Roman" w:hAnsi="Times New Roman"/>
          <w:sz w:val="20"/>
          <w:szCs w:val="20"/>
        </w:rPr>
        <w:t xml:space="preserve">[2]</w:t>
      </w:r>
      <w:r>
        <w:rPr>
          <w:rFonts w:ascii="Times New Roman" w:cs="Times New Roman" w:eastAsia="Times New Roman" w:hAnsi="Times New Roman"/>
          <w:sz w:val="20"/>
          <w:szCs w:val="20"/>
        </w:rPr>
        <w:t xml:space="preserve">. A trust engine converts behavioural features (rate, protocol conformance, firmware attestation) into score proposals.</w:t>
      </w:r>
    </w:p>
    <w:p>
      <w:pPr>
        <w:keepNext/>
        <w:spacing w:after="30" w:before="60"/>
        <w:jc w:val="left"/>
      </w:pPr>
      <w:r>
        <w:rPr>
          <w:rFonts w:ascii="Times New Roman" w:cs="Times New Roman" w:eastAsia="Times New Roman" w:hAnsi="Times New Roman"/>
          <w:i/>
          <w:iCs/>
          <w:sz w:val="20"/>
          <w:szCs w:val="20"/>
        </w:rPr>
        <w:t xml:space="preserve">E. Blockchain Layer</w:t>
      </w:r>
    </w:p>
    <w:p>
      <w:pPr>
        <w:spacing w:after="60" w:before="0" w:line="228"/>
        <w:jc w:val="both"/>
      </w:pPr>
      <w:r>
        <w:rPr>
          <w:rFonts w:ascii="Times New Roman" w:cs="Times New Roman" w:eastAsia="Times New Roman" w:hAnsi="Times New Roman"/>
          <w:sz w:val="20"/>
          <w:szCs w:val="20"/>
        </w:rPr>
        <w:t xml:space="preserve">A permissioned Hyperledger Besu network with IBFT 2.0 consensus is operated by plant, integrator and vendor validators; with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validators it tolerates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−1)/3⌋ Byzantine nodes. Gateways are read-only clients that subscribe to events; only authorised registrars, validators and the policy administrator send transactions.</w:t>
      </w:r>
    </w:p>
    <w:p>
      <w:pPr>
        <w:keepNext/>
        <w:spacing w:after="30" w:before="60"/>
        <w:jc w:val="left"/>
      </w:pPr>
      <w:r>
        <w:rPr>
          <w:rFonts w:ascii="Times New Roman" w:cs="Times New Roman" w:eastAsia="Times New Roman" w:hAnsi="Times New Roman"/>
          <w:i/>
          <w:iCs/>
          <w:sz w:val="20"/>
          <w:szCs w:val="20"/>
        </w:rPr>
        <w:t xml:space="preserve">F. Identity Management</w:t>
      </w:r>
    </w:p>
    <w:p>
      <w:pPr>
        <w:spacing w:after="60" w:before="0" w:line="228"/>
        <w:jc w:val="both"/>
      </w:pPr>
      <w:r>
        <w:rPr>
          <w:rFonts w:ascii="Times New Roman" w:cs="Times New Roman" w:eastAsia="Times New Roman" w:hAnsi="Times New Roman"/>
          <w:sz w:val="20"/>
          <w:szCs w:val="20"/>
        </w:rPr>
        <w:t xml:space="preserve">Each device is a DID with a public-key hash and device class. Registrations are submitted by a plant-authorised registrar and may be grouped into </w:t>
      </w:r>
      <w:r>
        <w:rPr>
          <w:rFonts w:ascii="Times New Roman" w:cs="Times New Roman" w:eastAsia="Times New Roman" w:hAnsi="Times New Roman"/>
          <w:i/>
          <w:iCs/>
          <w:sz w:val="20"/>
          <w:szCs w:val="20"/>
        </w:rPr>
        <w:t xml:space="preserve">epochs</w:t>
      </w:r>
      <w:r>
        <w:rPr>
          <w:rFonts w:ascii="Times New Roman" w:cs="Times New Roman" w:eastAsia="Times New Roman" w:hAnsi="Times New Roman"/>
          <w:sz w:val="20"/>
          <w:szCs w:val="20"/>
        </w:rPr>
        <w:t xml:space="preserve">: the registrar commits a Merkle root of an epoch batch and devices later prove membership with a logarithmic-size proof, an approach inspired by epoch-based IIoT identity schemes </w:t>
      </w:r>
      <w:r>
        <w:rPr>
          <w:rFonts w:ascii="Times New Roman" w:cs="Times New Roman" w:eastAsia="Times New Roman" w:hAnsi="Times New Roman"/>
          <w:sz w:val="20"/>
          <w:szCs w:val="20"/>
        </w:rPr>
        <w:t xml:space="preserve">[8]</w:t>
      </w:r>
      <w:r>
        <w:rPr>
          <w:rFonts w:ascii="Times New Roman" w:cs="Times New Roman" w:eastAsia="Times New Roman" w:hAnsi="Times New Roman"/>
          <w:sz w:val="20"/>
          <w:szCs w:val="20"/>
        </w:rPr>
        <w:t xml:space="preserve">. Key rotation and revocation are single transactions that emit events.</w:t>
      </w:r>
    </w:p>
    <w:p>
      <w:pPr>
        <w:keepNext/>
        <w:spacing w:after="30" w:before="60"/>
        <w:jc w:val="left"/>
      </w:pPr>
      <w:r>
        <w:rPr>
          <w:rFonts w:ascii="Times New Roman" w:cs="Times New Roman" w:eastAsia="Times New Roman" w:hAnsi="Times New Roman"/>
          <w:i/>
          <w:iCs/>
          <w:sz w:val="20"/>
          <w:szCs w:val="20"/>
        </w:rPr>
        <w:t xml:space="preserve">G. Trust Management</w:t>
      </w:r>
    </w:p>
    <w:p>
      <w:pPr>
        <w:spacing w:after="60" w:before="0" w:line="228"/>
        <w:jc w:val="both"/>
      </w:pPr>
      <w:r>
        <w:rPr>
          <w:rFonts w:ascii="Times New Roman" w:cs="Times New Roman" w:eastAsia="Times New Roman" w:hAnsi="Times New Roman"/>
          <w:sz w:val="20"/>
          <w:szCs w:val="20"/>
        </w:rPr>
        <w:t xml:space="preserve">Scores lie in [0,100] with an initial value of 70. A score changes only when a quorum of validators proposes the same value, and updates are rate-limited. An anomaly flag immediately subtracts 20 points (floored at 0) pending re-evaluation, giving fast conservative reaction.</w:t>
      </w:r>
    </w:p>
    <w:p>
      <w:pPr>
        <w:keepNext/>
        <w:spacing w:after="30" w:before="60"/>
        <w:jc w:val="left"/>
      </w:pPr>
      <w:r>
        <w:rPr>
          <w:rFonts w:ascii="Times New Roman" w:cs="Times New Roman" w:eastAsia="Times New Roman" w:hAnsi="Times New Roman"/>
          <w:i/>
          <w:iCs/>
          <w:sz w:val="20"/>
          <w:szCs w:val="20"/>
        </w:rPr>
        <w:t xml:space="preserve">H. Access Control</w:t>
      </w:r>
    </w:p>
    <w:p>
      <w:pPr>
        <w:spacing w:after="60" w:before="0" w:line="228"/>
        <w:jc w:val="both"/>
      </w:pPr>
      <w:r>
        <w:rPr>
          <w:rFonts w:ascii="Times New Roman" w:cs="Times New Roman" w:eastAsia="Times New Roman" w:hAnsi="Times New Roman"/>
          <w:sz w:val="20"/>
          <w:szCs w:val="20"/>
        </w:rPr>
        <w:t xml:space="preserve">Policies are attribute-based: for each resource the administrator defines allowed device-class range, minimum trust score and session TTL. A request is granted iff the DID is active, the class is in range and the trust score meets the threshold; the grant yields a session identifier that expires after the TTL or on explicit revocation.</w:t>
      </w:r>
    </w:p>
    <w:p>
      <w:pPr>
        <w:keepNext/>
        <w:spacing w:after="30" w:before="60"/>
        <w:jc w:val="left"/>
      </w:pPr>
      <w:r>
        <w:rPr>
          <w:rFonts w:ascii="Times New Roman" w:cs="Times New Roman" w:eastAsia="Times New Roman" w:hAnsi="Times New Roman"/>
          <w:i/>
          <w:iCs/>
          <w:sz w:val="20"/>
          <w:szCs w:val="20"/>
        </w:rPr>
        <w:t xml:space="preserve">I. Smart Contracts</w:t>
      </w:r>
    </w:p>
    <w:p>
      <w:pPr>
        <w:keepNext/>
        <w:spacing w:after="60" w:before="0" w:line="228"/>
        <w:jc w:val="both"/>
      </w:pPr>
      <w:r>
        <w:rPr>
          <w:rFonts w:ascii="Times New Roman" w:cs="Times New Roman" w:eastAsia="Times New Roman" w:hAnsi="Times New Roman"/>
          <w:i/>
          <w:iCs/>
          <w:sz w:val="20"/>
          <w:szCs w:val="20"/>
        </w:rPr>
        <w:t xml:space="preserve">IdentityRegistry</w:t>
      </w:r>
      <w:r>
        <w:rPr>
          <w:rFonts w:ascii="Times New Roman" w:cs="Times New Roman" w:eastAsia="Times New Roman" w:hAnsi="Times New Roman"/>
          <w:sz w:val="20"/>
          <w:szCs w:val="20"/>
        </w:rPr>
        <w:t xml:space="preserve"> (register, update key, revoke, epoch commit, membership check); </w:t>
      </w:r>
      <w:r>
        <w:rPr>
          <w:rFonts w:ascii="Times New Roman" w:cs="Times New Roman" w:eastAsia="Times New Roman" w:hAnsi="Times New Roman"/>
          <w:i/>
          <w:iCs/>
          <w:sz w:val="20"/>
          <w:szCs w:val="20"/>
        </w:rPr>
        <w:t xml:space="preserve">TrustReputation</w:t>
      </w:r>
      <w:r>
        <w:rPr>
          <w:rFonts w:ascii="Times New Roman" w:cs="Times New Roman" w:eastAsia="Times New Roman" w:hAnsi="Times New Roman"/>
          <w:sz w:val="20"/>
          <w:szCs w:val="20"/>
        </w:rPr>
        <w:t xml:space="preserve"> (quorum voting, anomaly flag); </w:t>
      </w:r>
      <w:r>
        <w:rPr>
          <w:rFonts w:ascii="Times New Roman" w:cs="Times New Roman" w:eastAsia="Times New Roman" w:hAnsi="Times New Roman"/>
          <w:i/>
          <w:iCs/>
          <w:sz w:val="20"/>
          <w:szCs w:val="20"/>
        </w:rPr>
        <w:t xml:space="preserve">AccessControl</w:t>
      </w:r>
      <w:r>
        <w:rPr>
          <w:rFonts w:ascii="Times New Roman" w:cs="Times New Roman" w:eastAsia="Times New Roman" w:hAnsi="Times New Roman"/>
          <w:sz w:val="20"/>
          <w:szCs w:val="20"/>
        </w:rPr>
        <w:t xml:space="preserve"> (policy, evaluate, session grant/revoke); </w:t>
      </w:r>
      <w:r>
        <w:rPr>
          <w:rFonts w:ascii="Times New Roman" w:cs="Times New Roman" w:eastAsia="Times New Roman" w:hAnsi="Times New Roman"/>
          <w:i/>
          <w:iCs/>
          <w:sz w:val="20"/>
          <w:szCs w:val="20"/>
        </w:rPr>
        <w:t xml:space="preserve">AuditLog</w:t>
      </w:r>
      <w:r>
        <w:rPr>
          <w:rFonts w:ascii="Times New Roman" w:cs="Times New Roman" w:eastAsia="Times New Roman" w:hAnsi="Times New Roman"/>
          <w:sz w:val="20"/>
          <w:szCs w:val="20"/>
        </w:rPr>
        <w:t xml:space="preserve"> (per-event log, Merkle batch anchor, inclusion verification). Table 2 lists the interfaces, and source and tests are in the accompanying package.</w:t>
      </w:r>
    </w:p>
    <w:p>
      <w:pPr>
        <w:keepNext/>
        <w:spacing w:after="30" w:before="60"/>
        <w:jc w:val="center"/>
      </w:pPr>
      <w:r>
        <w:rPr>
          <w:rFonts w:ascii="Times New Roman" w:cs="Times New Roman" w:eastAsia="Times New Roman" w:hAnsi="Times New Roman"/>
          <w:sz w:val="16"/>
          <w:szCs w:val="16"/>
        </w:rPr>
        <w:t xml:space="preserve">TABLE 2. SMART-CONTRACT INTERFACES</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2510"/>
        <w:gridCol w:w="1100"/>
      </w:tblGrid>
      <w:tr>
        <w:trPr>
          <w:cantSplit/>
          <w:tblHeader/>
        </w:trPr>
        <w:tc>
          <w:tcPr>
            <w:tcW w:type="dxa" w:w="125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Contract</w:t>
            </w:r>
          </w:p>
        </w:tc>
        <w:tc>
          <w:tcPr>
            <w:tcW w:type="dxa" w:w="251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Main functions</w:t>
            </w:r>
          </w:p>
        </w:tc>
        <w:tc>
          <w:tcPr>
            <w:tcW w:type="dxa" w:w="11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Writer</w:t>
            </w:r>
          </w:p>
        </w:tc>
      </w:tr>
      <w:tr>
        <w:trPr>
          <w:cantSplit/>
        </w:trPr>
        <w:tc>
          <w:tcPr>
            <w:tcW w:type="dxa" w:w="12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IdentityRegistry</w:t>
            </w:r>
          </w:p>
        </w:tc>
        <w:tc>
          <w:tcPr>
            <w:tcW w:type="dxa" w:w="25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registerDID, updateKey, revokeDID, commitEpoch; verifyMembership, isActive (views)</w:t>
            </w:r>
          </w:p>
        </w:tc>
        <w:tc>
          <w:tcPr>
            <w:tcW w:type="dxa" w:w="11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Plant authority</w:t>
            </w:r>
          </w:p>
        </w:tc>
      </w:tr>
      <w:tr>
        <w:trPr>
          <w:cantSplit/>
        </w:trPr>
        <w:tc>
          <w:tcPr>
            <w:tcW w:type="dxa" w:w="12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TrustReputation</w:t>
            </w:r>
          </w:p>
        </w:tc>
        <w:tc>
          <w:tcPr>
            <w:tcW w:type="dxa" w:w="25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updateScore (quorum), flagAnomaly; getScore (view)</w:t>
            </w:r>
          </w:p>
        </w:tc>
        <w:tc>
          <w:tcPr>
            <w:tcW w:type="dxa" w:w="11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Validators</w:t>
            </w:r>
          </w:p>
        </w:tc>
      </w:tr>
      <w:tr>
        <w:trPr>
          <w:cantSplit/>
        </w:trPr>
        <w:tc>
          <w:tcPr>
            <w:tcW w:type="dxa" w:w="12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AccessControl</w:t>
            </w:r>
          </w:p>
        </w:tc>
        <w:tc>
          <w:tcPr>
            <w:tcW w:type="dxa" w:w="25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setPolicy, revokeSession; evaluateRequest (view), grantSession, isSessionValid</w:t>
            </w:r>
          </w:p>
        </w:tc>
        <w:tc>
          <w:tcPr>
            <w:tcW w:type="dxa" w:w="11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Admin; any caller</w:t>
            </w:r>
          </w:p>
        </w:tc>
      </w:tr>
      <w:tr>
        <w:trPr>
          <w:cantSplit/>
        </w:trPr>
        <w:tc>
          <w:tcPr>
            <w:tcW w:type="dxa" w:w="125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AuditLog</w:t>
            </w:r>
          </w:p>
        </w:tc>
        <w:tc>
          <w:tcPr>
            <w:tcW w:type="dxa" w:w="251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logEvent, anchorBatch; verifyInBatch, getAnchor (views)</w:t>
            </w:r>
          </w:p>
        </w:tc>
        <w:tc>
          <w:tcPr>
            <w:tcW w:type="dxa" w:w="11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Open in prototype</w:t>
            </w:r>
          </w:p>
        </w:tc>
      </w:tr>
    </w:tbl>
    <w:p>
      <w:pPr>
        <w:spacing w:after="80" w:before="20"/>
        <w:jc w:val="both"/>
      </w:pPr>
      <w:r>
        <w:rPr>
          <w:rFonts w:ascii="Times New Roman" w:cs="Times New Roman" w:eastAsia="Times New Roman" w:hAnsi="Times New Roman"/>
          <w:sz w:val="14"/>
          <w:szCs w:val="14"/>
        </w:rPr>
        <w:t xml:space="preserve">“Open in prototype” means the function has no caller restriction; a deployment would restrict it to gateway accounts.</w:t>
      </w:r>
    </w:p>
    <w:p>
      <w:pPr>
        <w:keepNext/>
        <w:spacing w:after="30" w:before="60"/>
        <w:jc w:val="left"/>
      </w:pPr>
      <w:r>
        <w:rPr>
          <w:rFonts w:ascii="Times New Roman" w:cs="Times New Roman" w:eastAsia="Times New Roman" w:hAnsi="Times New Roman"/>
          <w:i/>
          <w:iCs/>
          <w:sz w:val="20"/>
          <w:szCs w:val="20"/>
        </w:rPr>
        <w:t xml:space="preserve">J. Continuous Verification</w:t>
      </w:r>
    </w:p>
    <w:p>
      <w:pPr>
        <w:keepNext/>
        <w:spacing w:after="60" w:before="0" w:line="228"/>
        <w:jc w:val="both"/>
      </w:pPr>
      <w:r>
        <w:rPr>
          <w:rFonts w:ascii="Times New Roman" w:cs="Times New Roman" w:eastAsia="Times New Roman" w:hAnsi="Times New Roman"/>
          <w:sz w:val="20"/>
          <w:szCs w:val="20"/>
        </w:rPr>
        <w:t xml:space="preserve">Fig. 2 summarises the workflow. Verification does not end at login: every request is re-evaluated against current cached trust, sessions are short-lived, and the gateway refreshes cached entries every </w:t>
      </w:r>
      <w:r>
        <w:rPr>
          <w:rFonts w:ascii="Times New Roman" w:cs="Times New Roman" w:eastAsia="Times New Roman" w:hAnsi="Times New Roman"/>
          <w:i/>
          <w:iCs/>
          <w:sz w:val="20"/>
          <w:szCs w:val="20"/>
        </w:rPr>
        <w:t xml:space="preserve">TTL</w:t>
      </w:r>
      <w:r>
        <w:rPr>
          <w:rFonts w:ascii="Times New Roman" w:cs="Times New Roman" w:eastAsia="Times New Roman" w:hAnsi="Times New Roman"/>
          <w:sz w:val="20"/>
          <w:szCs w:val="20"/>
        </w:rPr>
        <w:t xml:space="preserve"> seconds or immediately on a </w:t>
      </w:r>
      <w:r>
        <w:rPr>
          <w:rFonts w:ascii="Times New Roman" w:cs="Times New Roman" w:eastAsia="Times New Roman" w:hAnsi="Times New Roman"/>
          <w:i/>
          <w:iCs/>
          <w:sz w:val="20"/>
          <w:szCs w:val="20"/>
        </w:rPr>
        <w:t xml:space="preserve">DIDRevoked</w:t>
      </w:r>
      <w:r>
        <w:rPr>
          <w:rFonts w:ascii="Times New Roman" w:cs="Times New Roman" w:eastAsia="Times New Roman" w:hAnsi="Times New Roman"/>
          <w:sz w:val="20"/>
          <w:szCs w:val="20"/>
        </w:rPr>
        <w:t xml:space="preserve"> or </w:t>
      </w:r>
      <w:r>
        <w:rPr>
          <w:rFonts w:ascii="Times New Roman" w:cs="Times New Roman" w:eastAsia="Times New Roman" w:hAnsi="Times New Roman"/>
          <w:i/>
          <w:iCs/>
          <w:sz w:val="20"/>
          <w:szCs w:val="20"/>
        </w:rPr>
        <w:t xml:space="preserve">ScoreUpdated</w:t>
      </w:r>
      <w:r>
        <w:rPr>
          <w:rFonts w:ascii="Times New Roman" w:cs="Times New Roman" w:eastAsia="Times New Roman" w:hAnsi="Times New Roman"/>
          <w:sz w:val="20"/>
          <w:szCs w:val="20"/>
        </w:rPr>
        <w:t xml:space="preserve"> event. Audit records are hashed into a batch whose Merkle root is anchored on-chain asynchronously (step 7), so logging never delays the response.</w:t>
      </w:r>
    </w:p>
    <w:p>
      <w:pPr>
        <w:keepNext/>
        <w:spacing w:after="20" w:before="40"/>
        <w:jc w:val="center"/>
      </w:pPr>
      <w:r>
        <w:drawing>
          <wp:inline distT="0" distB="0" distL="0" distR="0">
            <wp:extent cx="3067050" cy="4152900"/>
            <wp:effectExtent t="0" r="0" b="0" l="0"/>
            <wp:docPr id="1" name="fig2_workflow.png" descr="Fig. 2. Per-request verification workflow with cached state reads and asynchronous audit anchoring (step 7)." title="Fig. 2. Per-request verification workflow with cached state reads and asynchronous audit anchoring (ste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67050" cy="4152900"/>
                    </a:xfrm>
                    <a:prstGeom prst="rect">
                      <a:avLst/>
                    </a:prstGeom>
                  </pic:spPr>
                </pic:pic>
              </a:graphicData>
            </a:graphic>
          </wp:inline>
        </w:drawing>
      </w:r>
    </w:p>
    <w:p>
      <w:pPr>
        <w:spacing w:after="80"/>
        <w:jc w:val="center"/>
      </w:pPr>
      <w:r>
        <w:rPr>
          <w:rFonts w:ascii="Times New Roman" w:cs="Times New Roman" w:eastAsia="Times New Roman" w:hAnsi="Times New Roman"/>
          <w:sz w:val="16"/>
          <w:szCs w:val="16"/>
        </w:rPr>
        <w:t xml:space="preserve">Fig. 2. Per-request verification workflow with cached state reads and asynchronous audit anchoring (step 7).</w:t>
      </w:r>
    </w:p>
    <w:p>
      <w:pPr>
        <w:spacing w:after="60" w:before="0" w:line="228"/>
        <w:jc w:val="both"/>
      </w:pPr>
      <w:r>
        <w:rPr>
          <w:rFonts w:ascii="Times New Roman" w:cs="Times New Roman" w:eastAsia="Times New Roman" w:hAnsi="Times New Roman"/>
          <w:sz w:val="20"/>
          <w:szCs w:val="20"/>
        </w:rPr>
        <w:t xml:space="preserve">A request is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(DID, resource, operation,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σ), where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is a timestamp,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a nonce and σ the device’s ECDSA signature over the other fields. The PEP accepts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only if (i) |now −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 Δ and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has not been seen within Δ, which bounds replay; (ii) the DID is active in the cached registry, proved by a Merkle path against the latest committed epoch root or by a direct chain read on a cache miss; (iii) σ verifies under the public key whose hash is registered; and (iv) the PDP finds the trust score and policy satisfied. Otherwise the request is denied and an anomaly event is queued. As a fail-closed rule, a gateway whose cached state is older than 2·</w:t>
      </w:r>
      <w:r>
        <w:rPr>
          <w:rFonts w:ascii="Times New Roman" w:cs="Times New Roman" w:eastAsia="Times New Roman" w:hAnsi="Times New Roman"/>
          <w:i/>
          <w:iCs/>
          <w:sz w:val="20"/>
          <w:szCs w:val="20"/>
        </w:rPr>
        <w:t xml:space="preserve">TTL</w:t>
      </w:r>
      <w:r>
        <w:rPr>
          <w:rFonts w:ascii="Times New Roman" w:cs="Times New Roman" w:eastAsia="Times New Roman" w:hAnsi="Times New Roman"/>
          <w:sz w:val="20"/>
          <w:szCs w:val="20"/>
        </w:rPr>
        <w:t xml:space="preserve"> because it lost contact with the ledger refuses new sessions, while existing sessions run to their own expiry.</w:t>
      </w:r>
    </w:p>
    <w:p>
      <w:pPr>
        <w:keepNext/>
        <w:spacing w:after="60" w:before="120"/>
        <w:jc w:val="center"/>
      </w:pPr>
      <w:r>
        <w:rPr>
          <w:rFonts w:ascii="Times New Roman" w:cs="Times New Roman" w:eastAsia="Times New Roman" w:hAnsi="Times New Roman"/>
          <w:sz w:val="18"/>
          <w:szCs w:val="18"/>
        </w:rPr>
        <w:t xml:space="preserve">IV. USE CASE AND THREAT MODEL</w:t>
      </w:r>
    </w:p>
    <w:p>
      <w:pPr>
        <w:keepNext/>
        <w:spacing w:after="30" w:before="60"/>
        <w:jc w:val="left"/>
      </w:pPr>
      <w:r>
        <w:rPr>
          <w:rFonts w:ascii="Times New Roman" w:cs="Times New Roman" w:eastAsia="Times New Roman" w:hAnsi="Times New Roman"/>
          <w:i/>
          <w:iCs/>
          <w:sz w:val="20"/>
          <w:szCs w:val="20"/>
        </w:rPr>
        <w:t xml:space="preserve">A. Use Case</w:t>
      </w:r>
    </w:p>
    <w:p>
      <w:pPr>
        <w:spacing w:after="60" w:before="0" w:line="228"/>
        <w:jc w:val="both"/>
      </w:pPr>
      <w:r>
        <w:rPr>
          <w:rFonts w:ascii="Times New Roman" w:cs="Times New Roman" w:eastAsia="Times New Roman" w:hAnsi="Times New Roman"/>
          <w:sz w:val="20"/>
          <w:szCs w:val="20"/>
        </w:rPr>
        <w:t xml:space="preserve">A smart factory has several production cells, each with PLCs and sensors behind one edge gateway; a remote vendor engineer needs time-limited maintenance access to one PLC class; a SCADA historian consumes sensor data. Cells, vendor and integrator are separate administrative domains that jointly operate validators.</w:t>
      </w:r>
    </w:p>
    <w:p>
      <w:pPr>
        <w:keepNext/>
        <w:spacing w:after="30" w:before="60"/>
        <w:jc w:val="left"/>
      </w:pPr>
      <w:r>
        <w:rPr>
          <w:rFonts w:ascii="Times New Roman" w:cs="Times New Roman" w:eastAsia="Times New Roman" w:hAnsi="Times New Roman"/>
          <w:i/>
          <w:iCs/>
          <w:sz w:val="20"/>
          <w:szCs w:val="20"/>
        </w:rPr>
        <w:t xml:space="preserve">B. Assets and Trust Assumptions</w:t>
      </w:r>
    </w:p>
    <w:p>
      <w:pPr>
        <w:spacing w:after="60" w:before="0" w:line="228"/>
        <w:jc w:val="both"/>
      </w:pPr>
      <w:r>
        <w:rPr>
          <w:rFonts w:ascii="Times New Roman" w:cs="Times New Roman" w:eastAsia="Times New Roman" w:hAnsi="Times New Roman"/>
          <w:sz w:val="20"/>
          <w:szCs w:val="20"/>
        </w:rPr>
        <w:t xml:space="preserve">Assets are device identities, policy and trust state, session tokens and audit records. We assume a majority-honest validator set (at most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Byzantine), secure device key storage, and gateways that are trusted for enforcement but may be compromised individually.</w:t>
      </w:r>
    </w:p>
    <w:p>
      <w:pPr>
        <w:keepNext/>
        <w:spacing w:after="30" w:before="60"/>
        <w:jc w:val="left"/>
      </w:pPr>
      <w:r>
        <w:rPr>
          <w:rFonts w:ascii="Times New Roman" w:cs="Times New Roman" w:eastAsia="Times New Roman" w:hAnsi="Times New Roman"/>
          <w:i/>
          <w:iCs/>
          <w:sz w:val="20"/>
          <w:szCs w:val="20"/>
        </w:rPr>
        <w:t xml:space="preserve">C. Adversary Model</w:t>
      </w:r>
    </w:p>
    <w:p>
      <w:pPr>
        <w:spacing w:after="60" w:before="0" w:line="228"/>
        <w:jc w:val="both"/>
      </w:pPr>
      <w:r>
        <w:rPr>
          <w:rFonts w:ascii="Times New Roman" w:cs="Times New Roman" w:eastAsia="Times New Roman" w:hAnsi="Times New Roman"/>
          <w:sz w:val="20"/>
          <w:szCs w:val="20"/>
        </w:rPr>
        <w:t xml:space="preserve">A Dolev–Yao network adversary can eavesdrop, replay and inject messages; may compromise a subset of devices (including their keys) and one gateway; and may include an insider with administrative credentials in one domain but not in a validator quorum.</w:t>
      </w:r>
    </w:p>
    <w:p>
      <w:pPr>
        <w:keepNext/>
        <w:spacing w:after="30" w:before="60"/>
        <w:jc w:val="left"/>
      </w:pPr>
      <w:r>
        <w:rPr>
          <w:rFonts w:ascii="Times New Roman" w:cs="Times New Roman" w:eastAsia="Times New Roman" w:hAnsi="Times New Roman"/>
          <w:i/>
          <w:iCs/>
          <w:sz w:val="20"/>
          <w:szCs w:val="20"/>
        </w:rPr>
        <w:t xml:space="preserve">D. Threats and Countermeasures</w:t>
      </w:r>
    </w:p>
    <w:p>
      <w:pPr>
        <w:keepNext/>
        <w:spacing w:after="60" w:before="0" w:line="228"/>
        <w:jc w:val="both"/>
      </w:pPr>
      <w:r>
        <w:rPr>
          <w:rFonts w:ascii="Times New Roman" w:cs="Times New Roman" w:eastAsia="Times New Roman" w:hAnsi="Times New Roman"/>
          <w:sz w:val="20"/>
          <w:szCs w:val="20"/>
        </w:rPr>
        <w:t xml:space="preserve">Table 3 maps threats to mechanisms.</w:t>
      </w:r>
    </w:p>
    <w:p>
      <w:pPr>
        <w:keepNext/>
        <w:spacing w:after="30" w:before="60"/>
        <w:jc w:val="center"/>
      </w:pPr>
      <w:r>
        <w:rPr>
          <w:rFonts w:ascii="Times New Roman" w:cs="Times New Roman" w:eastAsia="Times New Roman" w:hAnsi="Times New Roman"/>
          <w:sz w:val="16"/>
          <w:szCs w:val="16"/>
        </w:rPr>
        <w:t xml:space="preserve">TABLE 3. THREATS AND COUNTERMEASURES</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500"/>
        <w:gridCol w:w="2210"/>
      </w:tblGrid>
      <w:tr>
        <w:trPr>
          <w:cantSplit/>
          <w:tblHeader/>
        </w:trPr>
        <w:tc>
          <w:tcPr>
            <w:tcW w:type="dxa" w:w="115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Threat</w:t>
            </w:r>
          </w:p>
        </w:tc>
        <w:tc>
          <w:tcPr>
            <w:tcW w:type="dxa" w:w="15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Attack</w:t>
            </w:r>
          </w:p>
        </w:tc>
        <w:tc>
          <w:tcPr>
            <w:tcW w:type="dxa" w:w="221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Countermeasure</w:t>
            </w:r>
          </w:p>
        </w:tc>
      </w:tr>
      <w:tr>
        <w:trPr>
          <w:cantSplit/>
        </w:trPr>
        <w:tc>
          <w:tcPr>
            <w:tcW w:type="dxa" w:w="11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Spoofing</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Forged device identity</w:t>
            </w:r>
          </w:p>
        </w:tc>
        <w:tc>
          <w:tcPr>
            <w:tcW w:type="dxa" w:w="2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DID + ECDSA signature; Merkle-verified registry entry</w:t>
            </w:r>
          </w:p>
        </w:tc>
      </w:tr>
      <w:tr>
        <w:trPr>
          <w:cantSplit/>
        </w:trPr>
        <w:tc>
          <w:tcPr>
            <w:tcW w:type="dxa" w:w="11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Replay</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Re-sent request</w:t>
            </w:r>
          </w:p>
        </w:tc>
        <w:tc>
          <w:tcPr>
            <w:tcW w:type="dxa" w:w="2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Timestamp + nonce window at PEP; session TTL</w:t>
            </w:r>
          </w:p>
        </w:tc>
      </w:tr>
      <w:tr>
        <w:trPr>
          <w:cantSplit/>
        </w:trPr>
        <w:tc>
          <w:tcPr>
            <w:tcW w:type="dxa" w:w="11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Lateral movement</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Compromised device probes peers</w:t>
            </w:r>
          </w:p>
        </w:tc>
        <w:tc>
          <w:tcPr>
            <w:tcW w:type="dxa" w:w="2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Per-resource ABAC, micro-segmentation, short sessions</w:t>
            </w:r>
          </w:p>
        </w:tc>
      </w:tr>
      <w:tr>
        <w:trPr>
          <w:cantSplit/>
        </w:trPr>
        <w:tc>
          <w:tcPr>
            <w:tcW w:type="dxa" w:w="11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Insider / tamper</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Admin edits policy or logs</w:t>
            </w:r>
          </w:p>
        </w:tc>
        <w:tc>
          <w:tcPr>
            <w:tcW w:type="dxa" w:w="2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On-chain policy and Merkle-anchored audit; validator quorum</w:t>
            </w:r>
          </w:p>
        </w:tc>
      </w:tr>
      <w:tr>
        <w:trPr>
          <w:cantSplit/>
        </w:trPr>
        <w:tc>
          <w:tcPr>
            <w:tcW w:type="dxa" w:w="11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Trust poisoning</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False score votes</w:t>
            </w:r>
          </w:p>
        </w:tc>
        <w:tc>
          <w:tcPr>
            <w:tcW w:type="dxa" w:w="2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Quorum votes, rate limit; non-validators rejected</w:t>
            </w:r>
          </w:p>
        </w:tc>
      </w:tr>
      <w:tr>
        <w:trPr>
          <w:cantSplit/>
        </w:trPr>
        <w:tc>
          <w:tcPr>
            <w:tcW w:type="dxa" w:w="115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Stale state</w:t>
            </w:r>
          </w:p>
        </w:tc>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Use of revoked identity</w:t>
            </w:r>
          </w:p>
        </w:tc>
        <w:tc>
          <w:tcPr>
            <w:tcW w:type="dxa" w:w="221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Event-driven cache invalidation, bounded TTL</w:t>
            </w:r>
          </w:p>
        </w:tc>
      </w:tr>
      <w:tr>
        <w:trPr>
          <w:cantSplit/>
        </w:trPr>
        <w:tc>
          <w:tcPr>
            <w:tcW w:type="dxa" w:w="115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val="false"/>
              <w:spacing w:after="0" w:line="200"/>
              <w:jc w:val="left"/>
            </w:pPr>
            <w:r>
              <w:rPr>
                <w:rFonts w:ascii="Times New Roman" w:cs="Times New Roman" w:eastAsia="Times New Roman" w:hAnsi="Times New Roman"/>
                <w:b w:val="false"/>
                <w:bCs w:val="false"/>
                <w:sz w:val="15"/>
                <w:szCs w:val="15"/>
              </w:rPr>
              <w:t xml:space="preserve">Ledger DoS</w:t>
            </w:r>
          </w:p>
        </w:tc>
        <w:tc>
          <w:tcPr>
            <w:tcW w:type="dxa" w:w="15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val="false"/>
              <w:spacing w:after="0" w:line="200"/>
              <w:jc w:val="left"/>
            </w:pPr>
            <w:r>
              <w:rPr>
                <w:rFonts w:ascii="Times New Roman" w:cs="Times New Roman" w:eastAsia="Times New Roman" w:hAnsi="Times New Roman"/>
                <w:b w:val="false"/>
                <w:bCs w:val="false"/>
                <w:sz w:val="15"/>
                <w:szCs w:val="15"/>
              </w:rPr>
              <w:t xml:space="preserve">Flooding the chain</w:t>
            </w:r>
          </w:p>
        </w:tc>
        <w:tc>
          <w:tcPr>
            <w:tcW w:type="dxa" w:w="221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val="false"/>
              <w:spacing w:after="0" w:line="200"/>
              <w:jc w:val="left"/>
            </w:pPr>
            <w:r>
              <w:rPr>
                <w:rFonts w:ascii="Times New Roman" w:cs="Times New Roman" w:eastAsia="Times New Roman" w:hAnsi="Times New Roman"/>
                <w:b w:val="false"/>
                <w:bCs w:val="false"/>
                <w:sz w:val="15"/>
                <w:szCs w:val="15"/>
              </w:rPr>
              <w:t xml:space="preserve">Off-path reads; batched writes; non-validators cannot write trust</w:t>
            </w:r>
          </w:p>
        </w:tc>
      </w:tr>
    </w:tbl>
    <w:p>
      <w:pPr>
        <w:spacing w:after="60"/>
      </w:pPr>
    </w:p>
    <w:p>
      <w:pPr>
        <w:keepNext/>
        <w:spacing w:after="30" w:before="60"/>
        <w:jc w:val="left"/>
      </w:pPr>
      <w:r>
        <w:rPr>
          <w:rFonts w:ascii="Times New Roman" w:cs="Times New Roman" w:eastAsia="Times New Roman" w:hAnsi="Times New Roman"/>
          <w:i/>
          <w:iCs/>
          <w:sz w:val="20"/>
          <w:szCs w:val="20"/>
        </w:rPr>
        <w:t xml:space="preserve">E. Security Goals</w:t>
      </w:r>
    </w:p>
    <w:p>
      <w:pPr>
        <w:spacing w:after="60" w:before="0" w:line="228"/>
        <w:jc w:val="both"/>
      </w:pPr>
      <w:r>
        <w:rPr>
          <w:rFonts w:ascii="Times New Roman" w:cs="Times New Roman" w:eastAsia="Times New Roman" w:hAnsi="Times New Roman"/>
          <w:sz w:val="20"/>
          <w:szCs w:val="20"/>
        </w:rPr>
        <w:t xml:space="preserve">Authenticity of devices, least-privilege authorisation, revocation within a bounded delay, non-repudiable tamper-evident audit, and availability of access decisions during ledger congestion.</w:t>
      </w:r>
    </w:p>
    <w:p>
      <w:pPr>
        <w:keepNext/>
        <w:spacing w:after="60" w:before="120"/>
        <w:jc w:val="center"/>
      </w:pPr>
      <w:r>
        <w:rPr>
          <w:rFonts w:ascii="Times New Roman" w:cs="Times New Roman" w:eastAsia="Times New Roman" w:hAnsi="Times New Roman"/>
          <w:sz w:val="18"/>
          <w:szCs w:val="18"/>
        </w:rPr>
        <w:t xml:space="preserve">V. IMPLEMENTATION AND EXPERIMENTAL METHODOLOGY</w:t>
      </w:r>
    </w:p>
    <w:p>
      <w:pPr>
        <w:keepNext/>
        <w:spacing w:after="30" w:before="60"/>
        <w:jc w:val="left"/>
      </w:pPr>
      <w:r>
        <w:rPr>
          <w:rFonts w:ascii="Times New Roman" w:cs="Times New Roman" w:eastAsia="Times New Roman" w:hAnsi="Times New Roman"/>
          <w:i/>
          <w:iCs/>
          <w:sz w:val="20"/>
          <w:szCs w:val="20"/>
        </w:rPr>
        <w:t xml:space="preserve">A. Besu Blockchain Network</w:t>
      </w:r>
    </w:p>
    <w:p>
      <w:pPr>
        <w:spacing w:after="60" w:before="0" w:line="228"/>
        <w:jc w:val="both"/>
      </w:pPr>
      <w:r>
        <w:rPr>
          <w:rFonts w:ascii="Times New Roman" w:cs="Times New Roman" w:eastAsia="Times New Roman" w:hAnsi="Times New Roman"/>
          <w:sz w:val="20"/>
          <w:szCs w:val="20"/>
        </w:rPr>
        <w:t xml:space="preserve">We deployed a four-validator Hyperledger Besu v26.9.0 IBFT 2.0 network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 1, block period 2 s, chain ID 2026, zero base fee, London EVM) with Docker on a GitHub-hosted 2-vCPU Linux runner; all validators share that single host, so network delay is negligible and CPU is contended. A fresh network was started for each of 3 repetitions. Contracts were compiled with Solidity 0.8.20 (optimizer 200 runs, EVM “london”). Five scenarios were run with pre-signed transactions from 8 worker wallets: S1 sequential write confirmation, S2 read latency (500 </w:t>
      </w:r>
      <w:r>
        <w:rPr>
          <w:rFonts w:ascii="Times New Roman" w:cs="Times New Roman" w:eastAsia="Times New Roman" w:hAnsi="Times New Roman"/>
          <w:i/>
          <w:iCs/>
          <w:sz w:val="20"/>
          <w:szCs w:val="20"/>
        </w:rPr>
        <w:t xml:space="preserve">eth_call</w:t>
      </w:r>
      <w:r>
        <w:rPr>
          <w:rFonts w:ascii="Times New Roman" w:cs="Times New Roman" w:eastAsia="Times New Roman" w:hAnsi="Times New Roman"/>
          <w:sz w:val="20"/>
          <w:szCs w:val="20"/>
        </w:rPr>
        <w:t xml:space="preserve"> evaluations of </w:t>
      </w:r>
      <w:r>
        <w:rPr>
          <w:rFonts w:ascii="Times New Roman" w:cs="Times New Roman" w:eastAsia="Times New Roman" w:hAnsi="Times New Roman"/>
          <w:i/>
          <w:iCs/>
          <w:sz w:val="20"/>
          <w:szCs w:val="20"/>
        </w:rPr>
        <w:t xml:space="preserve">AccessControl.evaluateRequest</w:t>
      </w:r>
      <w:r>
        <w:rPr>
          <w:rFonts w:ascii="Times New Roman" w:cs="Times New Roman" w:eastAsia="Times New Roman" w:hAnsi="Times New Roman"/>
          <w:sz w:val="20"/>
          <w:szCs w:val="20"/>
        </w:rPr>
        <w:t xml:space="preserve">), S3 per-event logging at 10–200 tx/s offered for 20 s, S4 batch anchoring at 1 tx/s, and S5 revocation visibility. Block observation was polled every 25 ms. The benchmark scripts, contracts and raw results are available from the authors on request.</w:t>
      </w:r>
    </w:p>
    <w:p>
      <w:pPr>
        <w:keepNext/>
        <w:spacing w:after="30" w:before="60"/>
        <w:jc w:val="left"/>
      </w:pPr>
      <w:r>
        <w:rPr>
          <w:rFonts w:ascii="Times New Roman" w:cs="Times New Roman" w:eastAsia="Times New Roman" w:hAnsi="Times New Roman"/>
          <w:i/>
          <w:iCs/>
          <w:sz w:val="20"/>
          <w:szCs w:val="20"/>
        </w:rPr>
        <w:t xml:space="preserve">B. Smart Contracts</w:t>
      </w:r>
    </w:p>
    <w:p>
      <w:pPr>
        <w:spacing w:after="60" w:before="0" w:line="228"/>
        <w:jc w:val="both"/>
      </w:pPr>
      <w:r>
        <w:rPr>
          <w:rFonts w:ascii="Times New Roman" w:cs="Times New Roman" w:eastAsia="Times New Roman" w:hAnsi="Times New Roman"/>
          <w:sz w:val="20"/>
          <w:szCs w:val="20"/>
        </w:rPr>
        <w:t xml:space="preserve">The four contracts total about 370 lines. A Hardhat/Chai suite of 15 tests passes and covers registration, duplicate and unauthorised registration, revocation, key update, quorum scoring, score floor, rate limiting, non-validator rejection, access grant/deny, session expiry, epoch Merkle membership and audit batch inclusion proofs.</w:t>
      </w:r>
    </w:p>
    <w:p>
      <w:pPr>
        <w:keepNext/>
        <w:spacing w:after="30" w:before="60"/>
        <w:jc w:val="left"/>
      </w:pPr>
      <w:r>
        <w:rPr>
          <w:rFonts w:ascii="Times New Roman" w:cs="Times New Roman" w:eastAsia="Times New Roman" w:hAnsi="Times New Roman"/>
          <w:i/>
          <w:iCs/>
          <w:sz w:val="20"/>
          <w:szCs w:val="20"/>
        </w:rPr>
        <w:t xml:space="preserve">C. End-to-End Prototype and Load Generator</w:t>
      </w:r>
    </w:p>
    <w:p>
      <w:pPr>
        <w:spacing w:after="60" w:before="0" w:line="228"/>
        <w:jc w:val="both"/>
      </w:pPr>
      <w:r>
        <w:rPr>
          <w:rFonts w:ascii="Times New Roman" w:cs="Times New Roman" w:eastAsia="Times New Roman" w:hAnsi="Times New Roman"/>
          <w:sz w:val="20"/>
          <w:szCs w:val="20"/>
        </w:rPr>
        <w:t xml:space="preserve">Besides the contract-level tests, we implemented the complete request path as running software (Node.js 20): a PEP/PDP service, a load generator and the baselines of Section V-D. Each device owns a secp256k1 key and signs </w:t>
      </w:r>
      <w:r>
        <w:rPr>
          <w:rFonts w:ascii="Times New Roman" w:cs="Times New Roman" w:eastAsia="Times New Roman" w:hAnsi="Times New Roman"/>
          <w:i/>
          <w:iCs/>
          <w:sz w:val="20"/>
          <w:szCs w:val="20"/>
        </w:rPr>
        <w:t xml:space="preserve">DID | resource | timestamp | nonce</w:t>
      </w:r>
      <w:r>
        <w:rPr>
          <w:rFonts w:ascii="Times New Roman" w:cs="Times New Roman" w:eastAsia="Times New Roman" w:hAnsi="Times New Roman"/>
          <w:sz w:val="20"/>
          <w:szCs w:val="20"/>
        </w:rPr>
        <w:t xml:space="preserve">; its key hash and device class are registered on-chain and its DID is part of one Merkle epoch commitment. The PEP rejects stale timestamps (&gt;5 s) and repeated nonces, recovers the signer, checks it against the registered key hash, verifies the Merkle membership proof against the cached epoch root, and evaluates the ABAC policy (device class 0–1, trust score ≥ 50). In BC-ZTA, identity, trust and policy state are read from Besu with </w:t>
      </w:r>
      <w:r>
        <w:rPr>
          <w:rFonts w:ascii="Times New Roman" w:cs="Times New Roman" w:eastAsia="Times New Roman" w:hAnsi="Times New Roman"/>
          <w:i/>
          <w:iCs/>
          <w:sz w:val="20"/>
          <w:szCs w:val="20"/>
        </w:rPr>
        <w:t xml:space="preserve">eth_call</w:t>
      </w:r>
      <w:r>
        <w:rPr>
          <w:rFonts w:ascii="Times New Roman" w:cs="Times New Roman" w:eastAsia="Times New Roman" w:hAnsi="Times New Roman"/>
          <w:sz w:val="20"/>
          <w:szCs w:val="20"/>
        </w:rPr>
        <w:t xml:space="preserve"> on a cache miss and cached for 30 s; a block-polling subscription (20 ms) invalidates an entry when a </w:t>
      </w:r>
      <w:r>
        <w:rPr>
          <w:rFonts w:ascii="Times New Roman" w:cs="Times New Roman" w:eastAsia="Times New Roman" w:hAnsi="Times New Roman"/>
          <w:i/>
          <w:iCs/>
          <w:sz w:val="20"/>
          <w:szCs w:val="20"/>
        </w:rPr>
        <w:t xml:space="preserve">DIDRevoked</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KeyUpdated</w:t>
      </w:r>
      <w:r>
        <w:rPr>
          <w:rFonts w:ascii="Times New Roman" w:cs="Times New Roman" w:eastAsia="Times New Roman" w:hAnsi="Times New Roman"/>
          <w:sz w:val="20"/>
          <w:szCs w:val="20"/>
        </w:rPr>
        <w:t xml:space="preserve"> or </w:t>
      </w:r>
      <w:r>
        <w:rPr>
          <w:rFonts w:ascii="Times New Roman" w:cs="Times New Roman" w:eastAsia="Times New Roman" w:hAnsi="Times New Roman"/>
          <w:i/>
          <w:iCs/>
          <w:sz w:val="20"/>
          <w:szCs w:val="20"/>
        </w:rPr>
        <w:t xml:space="preserve">ScoreUpdated</w:t>
      </w:r>
      <w:r>
        <w:rPr>
          <w:rFonts w:ascii="Times New Roman" w:cs="Times New Roman" w:eastAsia="Times New Roman" w:hAnsi="Times New Roman"/>
          <w:sz w:val="20"/>
          <w:szCs w:val="20"/>
        </w:rPr>
        <w:t xml:space="preserve"> event is mined; every decision is hashed, and once per second the Merkle root of the pending batch is anchored with </w:t>
      </w:r>
      <w:r>
        <w:rPr>
          <w:rFonts w:ascii="Times New Roman" w:cs="Times New Roman" w:eastAsia="Times New Roman" w:hAnsi="Times New Roman"/>
          <w:i/>
          <w:iCs/>
          <w:sz w:val="20"/>
          <w:szCs w:val="20"/>
        </w:rPr>
        <w:t xml:space="preserve">AuditLog.anchorBatch</w:t>
      </w:r>
      <w:r>
        <w:rPr>
          <w:rFonts w:ascii="Times New Roman" w:cs="Times New Roman" w:eastAsia="Times New Roman" w:hAnsi="Times New Roman"/>
          <w:sz w:val="20"/>
          <w:szCs w:val="20"/>
        </w:rPr>
        <w:t xml:space="preserve">. The load generator emulates N = 10, 25, 50, 100, 200 devices, each sending one request per second with staggered phases, for 5 s of warm-up and a 20 s measurement window; requests are signed before the window so that the generator itself is not the bottleneck. The PEP, the baseline servers, the load generator and all four Besu validators run on the same 2-vCPU host.</w:t>
      </w:r>
    </w:p>
    <w:p>
      <w:pPr>
        <w:keepNext/>
        <w:spacing w:after="30" w:before="60"/>
        <w:jc w:val="left"/>
      </w:pPr>
      <w:r>
        <w:rPr>
          <w:rFonts w:ascii="Times New Roman" w:cs="Times New Roman" w:eastAsia="Times New Roman" w:hAnsi="Times New Roman"/>
          <w:i/>
          <w:iCs/>
          <w:sz w:val="20"/>
          <w:szCs w:val="20"/>
        </w:rPr>
        <w:t xml:space="preserve">D. Baselines</w:t>
      </w:r>
    </w:p>
    <w:p>
      <w:pPr>
        <w:spacing w:after="60" w:before="0" w:line="228"/>
        <w:jc w:val="both"/>
      </w:pPr>
      <w:r>
        <w:rPr>
          <w:rFonts w:ascii="Times New Roman" w:cs="Times New Roman" w:eastAsia="Times New Roman" w:hAnsi="Times New Roman"/>
          <w:sz w:val="20"/>
          <w:szCs w:val="20"/>
        </w:rPr>
        <w:t xml:space="preserve">(B1) </w:t>
      </w:r>
      <w:r>
        <w:rPr>
          <w:rFonts w:ascii="Times New Roman" w:cs="Times New Roman" w:eastAsia="Times New Roman" w:hAnsi="Times New Roman"/>
          <w:i/>
          <w:iCs/>
          <w:sz w:val="20"/>
          <w:szCs w:val="20"/>
        </w:rPr>
        <w:t xml:space="preserve">Centralised PKI-IAM</w:t>
      </w:r>
      <w:r>
        <w:rPr>
          <w:rFonts w:ascii="Times New Roman" w:cs="Times New Roman" w:eastAsia="Times New Roman" w:hAnsi="Times New Roman"/>
          <w:sz w:val="20"/>
          <w:szCs w:val="20"/>
        </w:rPr>
        <w:t xml:space="preserve">: each request makes one lookup at a separate directory server, with an emulated WAN round trip of 40 ms plus 2 ms directory time (an in-process delay, not a real network). (B2) </w:t>
      </w:r>
      <w:r>
        <w:rPr>
          <w:rFonts w:ascii="Times New Roman" w:cs="Times New Roman" w:eastAsia="Times New Roman" w:hAnsi="Times New Roman"/>
          <w:i/>
          <w:iCs/>
          <w:sz w:val="20"/>
          <w:szCs w:val="20"/>
        </w:rPr>
        <w:t xml:space="preserve">ABAC without blockchain</w:t>
      </w:r>
      <w:r>
        <w:rPr>
          <w:rFonts w:ascii="Times New Roman" w:cs="Times New Roman" w:eastAsia="Times New Roman" w:hAnsi="Times New Roman"/>
          <w:sz w:val="20"/>
          <w:szCs w:val="20"/>
        </w:rPr>
        <w:t xml:space="preserve">: a local attribute store at the PEP. (B3) </w:t>
      </w:r>
      <w:r>
        <w:rPr>
          <w:rFonts w:ascii="Times New Roman" w:cs="Times New Roman" w:eastAsia="Times New Roman" w:hAnsi="Times New Roman"/>
          <w:i/>
          <w:iCs/>
          <w:sz w:val="20"/>
          <w:szCs w:val="20"/>
        </w:rPr>
        <w:t xml:space="preserve">Blockchain-only (sync)</w:t>
      </w:r>
      <w:r>
        <w:rPr>
          <w:rFonts w:ascii="Times New Roman" w:cs="Times New Roman" w:eastAsia="Times New Roman" w:hAnsi="Times New Roman"/>
          <w:sz w:val="20"/>
          <w:szCs w:val="20"/>
        </w:rPr>
        <w:t xml:space="preserve">: for every request the PEP reads the state with </w:t>
      </w:r>
      <w:r>
        <w:rPr>
          <w:rFonts w:ascii="Times New Roman" w:cs="Times New Roman" w:eastAsia="Times New Roman" w:hAnsi="Times New Roman"/>
          <w:i/>
          <w:iCs/>
          <w:sz w:val="20"/>
          <w:szCs w:val="20"/>
        </w:rPr>
        <w:t xml:space="preserve">eth_call</w:t>
      </w:r>
      <w:r>
        <w:rPr>
          <w:rFonts w:ascii="Times New Roman" w:cs="Times New Roman" w:eastAsia="Times New Roman" w:hAnsi="Times New Roman"/>
          <w:sz w:val="20"/>
          <w:szCs w:val="20"/>
        </w:rPr>
        <w:t xml:space="preserve"> and sends an </w:t>
      </w:r>
      <w:r>
        <w:rPr>
          <w:rFonts w:ascii="Times New Roman" w:cs="Times New Roman" w:eastAsia="Times New Roman" w:hAnsi="Times New Roman"/>
          <w:i/>
          <w:iCs/>
          <w:sz w:val="20"/>
          <w:szCs w:val="20"/>
        </w:rPr>
        <w:t xml:space="preserve">AuditLog.logEvent</w:t>
      </w:r>
      <w:r>
        <w:rPr>
          <w:rFonts w:ascii="Times New Roman" w:cs="Times New Roman" w:eastAsia="Times New Roman" w:hAnsi="Times New Roman"/>
          <w:sz w:val="20"/>
          <w:szCs w:val="20"/>
        </w:rPr>
        <w:t xml:space="preserve"> transaction (eight sender accounts) and replies only after the block containing it is observed. (P) </w:t>
      </w:r>
      <w:r>
        <w:rPr>
          <w:rFonts w:ascii="Times New Roman" w:cs="Times New Roman" w:eastAsia="Times New Roman" w:hAnsi="Times New Roman"/>
          <w:i/>
          <w:iCs/>
          <w:sz w:val="20"/>
          <w:szCs w:val="20"/>
        </w:rPr>
        <w:t xml:space="preserve">Proposed BC-ZTA</w:t>
      </w:r>
      <w:r>
        <w:rPr>
          <w:rFonts w:ascii="Times New Roman" w:cs="Times New Roman" w:eastAsia="Times New Roman" w:hAnsi="Times New Roman"/>
          <w:sz w:val="20"/>
          <w:szCs w:val="20"/>
        </w:rPr>
        <w:t xml:space="preserve"> as in Section V-C. All four use the same request format, signature check and policy, so differences come from where state is read and written.</w:t>
      </w:r>
    </w:p>
    <w:p>
      <w:pPr>
        <w:keepNext/>
        <w:spacing w:after="30" w:before="60"/>
        <w:jc w:val="left"/>
      </w:pPr>
      <w:r>
        <w:rPr>
          <w:rFonts w:ascii="Times New Roman" w:cs="Times New Roman" w:eastAsia="Times New Roman" w:hAnsi="Times New Roman"/>
          <w:i/>
          <w:iCs/>
          <w:sz w:val="20"/>
          <w:szCs w:val="20"/>
        </w:rPr>
        <w:t xml:space="preserve">E. Experimental Parameters</w:t>
      </w:r>
    </w:p>
    <w:p>
      <w:pPr>
        <w:keepNext/>
        <w:spacing w:after="60" w:before="0" w:line="228"/>
        <w:jc w:val="both"/>
      </w:pPr>
      <w:r>
        <w:rPr>
          <w:rFonts w:ascii="Times New Roman" w:cs="Times New Roman" w:eastAsia="Times New Roman" w:hAnsi="Times New Roman"/>
          <w:sz w:val="20"/>
          <w:szCs w:val="20"/>
        </w:rPr>
        <w:t xml:space="preserve">Table 4 lists the experimental parameters; the PKI delay is an assumption, the other values are configuration of the prototype.</w:t>
      </w:r>
    </w:p>
    <w:p>
      <w:pPr>
        <w:keepNext/>
        <w:spacing w:after="30" w:before="60"/>
        <w:jc w:val="center"/>
      </w:pPr>
      <w:r>
        <w:rPr>
          <w:rFonts w:ascii="Times New Roman" w:cs="Times New Roman" w:eastAsia="Times New Roman" w:hAnsi="Times New Roman"/>
          <w:sz w:val="16"/>
          <w:szCs w:val="16"/>
        </w:rPr>
        <w:t xml:space="preserve">TABLE 4. EXPERIMENTAL PARAMETERS</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2160"/>
      </w:tblGrid>
      <w:tr>
        <w:trPr>
          <w:cantSplit/>
          <w:tblHeader/>
        </w:trPr>
        <w:tc>
          <w:tcPr>
            <w:tcW w:type="dxa" w:w="27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Parameter</w:t>
            </w:r>
          </w:p>
        </w:tc>
        <w:tc>
          <w:tcPr>
            <w:tcW w:type="dxa" w:w="216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Value</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Ledger</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Besu v26.9.0, IBFT 2.0, 4 validators</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Block period</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 s</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Host</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GitHub-hosted, 2 vCPU, 8 GB</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Devices; request rate</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10–200; 1 req/s each</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Warm-up; window; runs</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 s; 20 s; 3</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Cache TTL; anchor interval</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30 s; 1 s</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Emulated WAN RTT (B1)</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40 ms</w:t>
            </w:r>
          </w:p>
        </w:tc>
      </w:tr>
      <w:tr>
        <w:trPr>
          <w:cantSplit/>
        </w:trPr>
        <w:tc>
          <w:tcPr>
            <w:tcW w:type="dxa" w:w="2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Freshness window; policy</w:t>
            </w:r>
          </w:p>
        </w:tc>
        <w:tc>
          <w:tcPr>
            <w:tcW w:type="dxa" w:w="2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 s; class 0–1, trust ≥ 50</w:t>
            </w:r>
          </w:p>
        </w:tc>
      </w:tr>
      <w:tr>
        <w:trPr>
          <w:cantSplit/>
        </w:trPr>
        <w:tc>
          <w:tcPr>
            <w:tcW w:type="dxa" w:w="27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Revocation tests</w:t>
            </w:r>
          </w:p>
        </w:tc>
        <w:tc>
          <w:tcPr>
            <w:tcW w:type="dxa" w:w="216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8 devices × 3 runs per system; TTL 10 s</w:t>
            </w:r>
          </w:p>
        </w:tc>
      </w:tr>
    </w:tbl>
    <w:p>
      <w:pPr>
        <w:spacing w:after="80" w:before="20"/>
        <w:jc w:val="both"/>
      </w:pPr>
      <w:r>
        <w:rPr>
          <w:rFonts w:ascii="Times New Roman" w:cs="Times New Roman" w:eastAsia="Times New Roman" w:hAnsi="Times New Roman"/>
          <w:sz w:val="14"/>
          <w:szCs w:val="14"/>
        </w:rPr>
        <w:t xml:space="preserve">Only the PKI round trip is emulated; everything else is measured on running software.</w:t>
      </w:r>
    </w:p>
    <w:p>
      <w:pPr>
        <w:keepNext/>
        <w:spacing w:after="30" w:before="60"/>
        <w:jc w:val="left"/>
      </w:pPr>
      <w:r>
        <w:rPr>
          <w:rFonts w:ascii="Times New Roman" w:cs="Times New Roman" w:eastAsia="Times New Roman" w:hAnsi="Times New Roman"/>
          <w:i/>
          <w:iCs/>
          <w:sz w:val="20"/>
          <w:szCs w:val="20"/>
        </w:rPr>
        <w:t xml:space="preserve">F. Performance Metrics</w:t>
      </w:r>
    </w:p>
    <w:p>
      <w:pPr>
        <w:spacing w:after="60" w:before="0" w:line="228"/>
        <w:jc w:val="both"/>
      </w:pPr>
      <w:r>
        <w:rPr>
          <w:rFonts w:ascii="Times New Roman" w:cs="Times New Roman" w:eastAsia="Times New Roman" w:hAnsi="Times New Roman"/>
          <w:sz w:val="20"/>
          <w:szCs w:val="20"/>
        </w:rPr>
        <w:t xml:space="preserve">(E1) End-to-end latency (mean, P95) from request send to decision, goodput (accepted requests per second), failures, and on-chain writes per second versus device count. (E2) Revocation enforcement delay: time from the revocation action until the PEP first denies the device. (E3) Security tests with 50 attempts each per run. (E4) Decision latency while the ledger is flooded with transactions. Also gas per operation and, from the micro-benchmark, confirmation latency and ledger throughput.</w:t>
      </w:r>
    </w:p>
    <w:p>
      <w:pPr>
        <w:keepNext/>
        <w:spacing w:after="60" w:before="120"/>
        <w:jc w:val="center"/>
      </w:pPr>
      <w:r>
        <w:rPr>
          <w:rFonts w:ascii="Times New Roman" w:cs="Times New Roman" w:eastAsia="Times New Roman" w:hAnsi="Times New Roman"/>
          <w:sz w:val="18"/>
          <w:szCs w:val="18"/>
        </w:rPr>
        <w:t xml:space="preserve">VI. RESULTS AND DISCUSSION</w:t>
      </w:r>
    </w:p>
    <w:p>
      <w:pPr>
        <w:keepNext/>
        <w:spacing w:after="30" w:before="60"/>
        <w:jc w:val="left"/>
      </w:pPr>
      <w:r>
        <w:rPr>
          <w:rFonts w:ascii="Times New Roman" w:cs="Times New Roman" w:eastAsia="Times New Roman" w:hAnsi="Times New Roman"/>
          <w:i/>
          <w:iCs/>
          <w:sz w:val="20"/>
          <w:szCs w:val="20"/>
        </w:rPr>
        <w:t xml:space="preserve">A. Authentication</w:t>
      </w:r>
    </w:p>
    <w:p>
      <w:pPr>
        <w:keepNext/>
        <w:spacing w:after="60" w:before="0" w:line="228"/>
        <w:jc w:val="both"/>
      </w:pPr>
      <w:r>
        <w:rPr>
          <w:rFonts w:ascii="Times New Roman" w:cs="Times New Roman" w:eastAsia="Times New Roman" w:hAnsi="Times New Roman"/>
          <w:sz w:val="20"/>
          <w:szCs w:val="20"/>
        </w:rPr>
        <w:t xml:space="preserve">Table 5 and Fig. 3 show end-to-end latency (mean of 3 runs). At 50 devices BC-ZTA answers in 7.4 ms on average (P95 22.3 ms), versus 48.2 ms for the centralised PKI-IAM, 4.4 ms for the ledger-free ABAC store and 10257 ms for the synchronous blockchain. BC-ZTA is therefore 85% faster than the centralised baseline, costs about 3.0 ms more than a local store (Merkle verification, hashing and audit bookkeeping), and is about 1381× faster than checking every request on-chain. Even at 10 devices, where the ledger is not saturated, the synchronous design needs 1426 ms because each request waits for a block.</w:t>
      </w:r>
    </w:p>
    <w:p>
      <w:pPr>
        <w:keepNext/>
        <w:spacing w:after="30" w:before="60"/>
        <w:jc w:val="center"/>
      </w:pPr>
      <w:r>
        <w:rPr>
          <w:rFonts w:ascii="Times New Roman" w:cs="Times New Roman" w:eastAsia="Times New Roman" w:hAnsi="Times New Roman"/>
          <w:sz w:val="16"/>
          <w:szCs w:val="16"/>
        </w:rPr>
        <w:t xml:space="preserve">TABLE 5. END-TO-END LATENCY (MS, MEAN OF 3 RUNS)</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840"/>
        <w:gridCol w:w="840"/>
        <w:gridCol w:w="840"/>
        <w:gridCol w:w="840"/>
      </w:tblGrid>
      <w:tr>
        <w:trPr>
          <w:cantSplit/>
          <w:tblHeader/>
        </w:trPr>
        <w:tc>
          <w:tcPr>
            <w:tcW w:type="dxa" w:w="15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System</w:t>
            </w:r>
          </w:p>
        </w:tc>
        <w:tc>
          <w:tcPr>
            <w:tcW w:type="dxa" w:w="84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Mean 50</w:t>
            </w:r>
          </w:p>
        </w:tc>
        <w:tc>
          <w:tcPr>
            <w:tcW w:type="dxa" w:w="84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P95 50</w:t>
            </w:r>
          </w:p>
        </w:tc>
        <w:tc>
          <w:tcPr>
            <w:tcW w:type="dxa" w:w="84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Mean 200</w:t>
            </w:r>
          </w:p>
        </w:tc>
        <w:tc>
          <w:tcPr>
            <w:tcW w:type="dxa" w:w="84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P95 200</w:t>
            </w:r>
          </w:p>
        </w:tc>
      </w:tr>
      <w:tr>
        <w:trPr>
          <w:cantSplit/>
        </w:trPr>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PKI-IAM</w:t>
            </w:r>
          </w:p>
        </w:tc>
        <w:tc>
          <w:tcPr>
            <w:tcW w:type="dxa" w:w="84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48.2</w:t>
            </w:r>
          </w:p>
        </w:tc>
        <w:tc>
          <w:tcPr>
            <w:tcW w:type="dxa" w:w="84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57.1</w:t>
            </w:r>
          </w:p>
        </w:tc>
        <w:tc>
          <w:tcPr>
            <w:tcW w:type="dxa" w:w="84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60.8</w:t>
            </w:r>
          </w:p>
        </w:tc>
        <w:tc>
          <w:tcPr>
            <w:tcW w:type="dxa" w:w="84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126.7</w:t>
            </w:r>
          </w:p>
        </w:tc>
      </w:tr>
      <w:tr>
        <w:trPr>
          <w:cantSplit/>
        </w:trPr>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ABAC</w:t>
            </w:r>
          </w:p>
        </w:tc>
        <w:tc>
          <w:tcPr>
            <w:tcW w:type="dxa" w:w="84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4.4</w:t>
            </w:r>
          </w:p>
        </w:tc>
        <w:tc>
          <w:tcPr>
            <w:tcW w:type="dxa" w:w="84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8.8</w:t>
            </w:r>
          </w:p>
        </w:tc>
        <w:tc>
          <w:tcPr>
            <w:tcW w:type="dxa" w:w="84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12.0</w:t>
            </w:r>
          </w:p>
        </w:tc>
        <w:tc>
          <w:tcPr>
            <w:tcW w:type="dxa" w:w="84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60.5</w:t>
            </w:r>
          </w:p>
        </w:tc>
      </w:tr>
      <w:tr>
        <w:trPr>
          <w:cantSplit/>
        </w:trPr>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BC-only</w:t>
            </w:r>
          </w:p>
        </w:tc>
        <w:tc>
          <w:tcPr>
            <w:tcW w:type="dxa" w:w="84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10257</w:t>
            </w:r>
          </w:p>
        </w:tc>
        <w:tc>
          <w:tcPr>
            <w:tcW w:type="dxa" w:w="84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15847</w:t>
            </w:r>
          </w:p>
        </w:tc>
        <w:tc>
          <w:tcPr>
            <w:tcW w:type="dxa" w:w="84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15047</w:t>
            </w:r>
          </w:p>
        </w:tc>
        <w:tc>
          <w:tcPr>
            <w:tcW w:type="dxa" w:w="84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27169</w:t>
            </w:r>
          </w:p>
        </w:tc>
      </w:tr>
      <w:tr>
        <w:trPr>
          <w:cantSplit/>
        </w:trPr>
        <w:tc>
          <w:tcPr>
            <w:tcW w:type="dxa" w:w="15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BC-ZTA</w:t>
            </w:r>
          </w:p>
        </w:tc>
        <w:tc>
          <w:tcPr>
            <w:tcW w:type="dxa" w:w="84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7.4</w:t>
            </w:r>
          </w:p>
        </w:tc>
        <w:tc>
          <w:tcPr>
            <w:tcW w:type="dxa" w:w="84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22.3</w:t>
            </w:r>
          </w:p>
        </w:tc>
        <w:tc>
          <w:tcPr>
            <w:tcW w:type="dxa" w:w="84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54.7</w:t>
            </w:r>
          </w:p>
        </w:tc>
        <w:tc>
          <w:tcPr>
            <w:tcW w:type="dxa" w:w="84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208.6</w:t>
            </w:r>
          </w:p>
        </w:tc>
      </w:tr>
    </w:tbl>
    <w:p>
      <w:pPr>
        <w:spacing w:after="80" w:before="20"/>
        <w:jc w:val="both"/>
      </w:pPr>
      <w:r>
        <w:rPr>
          <w:rFonts w:ascii="Times New Roman" w:cs="Times New Roman" w:eastAsia="Times New Roman" w:hAnsi="Times New Roman"/>
          <w:sz w:val="14"/>
          <w:szCs w:val="14"/>
        </w:rPr>
        <w:t xml:space="preserve">Columns give the number of devices; PKI-IAM includes an emulated 40 ms WAN round trip.</w:t>
      </w:r>
    </w:p>
    <w:p>
      <w:pPr>
        <w:keepNext/>
        <w:spacing w:after="20" w:before="40"/>
        <w:jc w:val="center"/>
      </w:pPr>
      <w:r>
        <w:drawing>
          <wp:inline distT="0" distB="0" distL="0" distR="0">
            <wp:extent cx="3067050" cy="2705100"/>
            <wp:effectExtent t="0" r="0" b="0" l="0"/>
            <wp:docPr id="1" name="fig3_latency.png" descr="Fig. 3. Mean end-to-end latency versus number of devices (log scale; error bars: standard deviation of 3 runs)." title="Fig. 3. Mean end-to-end latency versus number of devices (log scale; error bars: standard deviation of 3 ru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67050" cy="2705100"/>
                    </a:xfrm>
                    <a:prstGeom prst="rect">
                      <a:avLst/>
                    </a:prstGeom>
                  </pic:spPr>
                </pic:pic>
              </a:graphicData>
            </a:graphic>
          </wp:inline>
        </w:drawing>
      </w:r>
    </w:p>
    <w:p>
      <w:pPr>
        <w:spacing w:after="80"/>
        <w:jc w:val="center"/>
      </w:pPr>
      <w:r>
        <w:rPr>
          <w:rFonts w:ascii="Times New Roman" w:cs="Times New Roman" w:eastAsia="Times New Roman" w:hAnsi="Times New Roman"/>
          <w:sz w:val="16"/>
          <w:szCs w:val="16"/>
        </w:rPr>
        <w:t xml:space="preserve">Fig. 3. Mean end-to-end latency versus number of devices (log scale; error bars: standard deviation of 3 runs).</w:t>
      </w:r>
    </w:p>
    <w:p>
      <w:pPr>
        <w:keepNext/>
        <w:spacing w:after="30" w:before="60"/>
        <w:jc w:val="left"/>
      </w:pPr>
      <w:r>
        <w:rPr>
          <w:rFonts w:ascii="Times New Roman" w:cs="Times New Roman" w:eastAsia="Times New Roman" w:hAnsi="Times New Roman"/>
          <w:i/>
          <w:iCs/>
          <w:sz w:val="20"/>
          <w:szCs w:val="20"/>
        </w:rPr>
        <w:t xml:space="preserve">B. Authorization</w:t>
      </w:r>
    </w:p>
    <w:p>
      <w:pPr>
        <w:spacing w:after="60" w:before="0" w:line="228"/>
        <w:jc w:val="both"/>
      </w:pPr>
      <w:r>
        <w:rPr>
          <w:rFonts w:ascii="Times New Roman" w:cs="Times New Roman" w:eastAsia="Times New Roman" w:hAnsi="Times New Roman"/>
          <w:sz w:val="20"/>
          <w:szCs w:val="20"/>
        </w:rPr>
        <w:t xml:space="preserve">The proposed design makes policy decisions from the edge cache. The measured cache-hit ratio was 96% (one miss per device per 30 s TTL), so 50 devices caused only 50 chain reads for about 1,250 requests; each miss costs one batched </w:t>
      </w:r>
      <w:r>
        <w:rPr>
          <w:rFonts w:ascii="Times New Roman" w:cs="Times New Roman" w:eastAsia="Times New Roman" w:hAnsi="Times New Roman"/>
          <w:i/>
          <w:iCs/>
          <w:sz w:val="20"/>
          <w:szCs w:val="20"/>
        </w:rPr>
        <w:t xml:space="preserve">eth_call</w:t>
      </w:r>
      <w:r>
        <w:rPr>
          <w:rFonts w:ascii="Times New Roman" w:cs="Times New Roman" w:eastAsia="Times New Roman" w:hAnsi="Times New Roman"/>
          <w:sz w:val="20"/>
          <w:szCs w:val="20"/>
        </w:rPr>
        <w:t xml:space="preserve"> of 5.4 ms in the micro-benchmark. The PEP used 0.26 CPU cores at 50 devices and 0.59 at 200, against 0.53 for the local store. Every decision is covered by the audit batch: in the 200-device runs about 5,000 decisions per run were anchored in roughly 25 transactions. On-chain evaluation costs 44,685 gas as an estimate, but because it is a read, no fee or block wait is incurred.</w:t>
      </w:r>
    </w:p>
    <w:p>
      <w:pPr>
        <w:keepNext/>
        <w:spacing w:after="30" w:before="60"/>
        <w:jc w:val="left"/>
      </w:pPr>
      <w:r>
        <w:rPr>
          <w:rFonts w:ascii="Times New Roman" w:cs="Times New Roman" w:eastAsia="Times New Roman" w:hAnsi="Times New Roman"/>
          <w:i/>
          <w:iCs/>
          <w:sz w:val="20"/>
          <w:szCs w:val="20"/>
        </w:rPr>
        <w:t xml:space="preserve">C. Blockchain Throughput</w:t>
      </w:r>
    </w:p>
    <w:p>
      <w:pPr>
        <w:keepNext/>
        <w:spacing w:after="60" w:before="0" w:line="228"/>
        <w:jc w:val="both"/>
      </w:pPr>
      <w:r>
        <w:rPr>
          <w:rFonts w:ascii="Times New Roman" w:cs="Times New Roman" w:eastAsia="Times New Roman" w:hAnsi="Times New Roman"/>
          <w:sz w:val="20"/>
          <w:szCs w:val="20"/>
        </w:rPr>
        <w:t xml:space="preserve">Table 6 summarises the Besu micro-benchmark. Write confirmation takes 1522 ms on average at 10 tx/s (P95 2439 ms), close to the 2 s block period; a transaction submitted just after a block, as in the phase-locked sequential tests S1/S5, waits about 1980 ms. Reads cost 5.4 ms (P95 10.9 ms). Committed throughput tracks the offered load up to 50 tx/s (46.5 tx/s) but saturates near 60 tx/s on this host: at 100 and 200 tx/s offered only 62.7 and 59.1 tx/s commit and 43% of transactions at 200 tx/s were not confirmed within 60 s. Batch anchoring at 1 tx/s confirmed all 60 anchors in 941 ms on average. Because all validators share one 2-vCPU host, 60 tx/s is a lower bound for a dedicated multi-server deployment.</w:t>
      </w:r>
    </w:p>
    <w:p>
      <w:pPr>
        <w:keepNext/>
        <w:spacing w:after="30" w:before="60"/>
        <w:jc w:val="center"/>
      </w:pPr>
      <w:r>
        <w:rPr>
          <w:rFonts w:ascii="Times New Roman" w:cs="Times New Roman" w:eastAsia="Times New Roman" w:hAnsi="Times New Roman"/>
          <w:sz w:val="16"/>
          <w:szCs w:val="16"/>
        </w:rPr>
        <w:t xml:space="preserve">TABLE 6. MEASURED BESU RESULTS (3 RUNS, MEAN)</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900"/>
        <w:gridCol w:w="900"/>
        <w:gridCol w:w="900"/>
        <w:gridCol w:w="660"/>
      </w:tblGrid>
      <w:tr>
        <w:trPr>
          <w:cantSplit/>
          <w:tblHeader/>
        </w:trPr>
        <w:tc>
          <w:tcPr>
            <w:tcW w:type="dxa" w:w="15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Offered (tx/s)</w:t>
            </w:r>
          </w:p>
        </w:tc>
        <w:tc>
          <w:tcPr>
            <w:tcW w:type="dxa" w:w="9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Commit (tx/s)</w:t>
            </w:r>
          </w:p>
        </w:tc>
        <w:tc>
          <w:tcPr>
            <w:tcW w:type="dxa" w:w="9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Mean (ms)</w:t>
            </w:r>
          </w:p>
        </w:tc>
        <w:tc>
          <w:tcPr>
            <w:tcW w:type="dxa" w:w="9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P95 (ms)</w:t>
            </w:r>
          </w:p>
        </w:tc>
        <w:tc>
          <w:tcPr>
            <w:tcW w:type="dxa" w:w="66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Conf.</w:t>
            </w:r>
          </w:p>
        </w:tc>
      </w:tr>
      <w:tr>
        <w:trPr>
          <w:cantSplit/>
        </w:trPr>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9.5</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1522</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2439</w:t>
            </w:r>
          </w:p>
        </w:tc>
        <w:tc>
          <w:tcPr>
            <w:tcW w:type="dxa" w:w="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100%</w:t>
            </w:r>
          </w:p>
        </w:tc>
      </w:tr>
      <w:tr>
        <w:trPr>
          <w:cantSplit/>
        </w:trPr>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25</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23.3</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1706</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2659</w:t>
            </w:r>
          </w:p>
        </w:tc>
        <w:tc>
          <w:tcPr>
            <w:tcW w:type="dxa" w:w="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100%</w:t>
            </w:r>
          </w:p>
        </w:tc>
      </w:tr>
      <w:tr>
        <w:trPr>
          <w:cantSplit/>
        </w:trPr>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50</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46.5</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2330</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3626</w:t>
            </w:r>
          </w:p>
        </w:tc>
        <w:tc>
          <w:tcPr>
            <w:tcW w:type="dxa" w:w="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100%</w:t>
            </w:r>
          </w:p>
        </w:tc>
      </w:tr>
      <w:tr>
        <w:trPr>
          <w:cantSplit/>
        </w:trPr>
        <w:tc>
          <w:tcPr>
            <w:tcW w:type="dxa" w:w="15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100</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62.7</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11601</w:t>
            </w:r>
          </w:p>
        </w:tc>
        <w:tc>
          <w:tcPr>
            <w:tcW w:type="dxa" w:w="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19753</w:t>
            </w:r>
          </w:p>
        </w:tc>
        <w:tc>
          <w:tcPr>
            <w:tcW w:type="dxa" w:w="6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100%</w:t>
            </w:r>
          </w:p>
        </w:tc>
      </w:tr>
      <w:tr>
        <w:trPr>
          <w:cantSplit/>
        </w:trPr>
        <w:tc>
          <w:tcPr>
            <w:tcW w:type="dxa" w:w="15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200</w:t>
            </w:r>
          </w:p>
        </w:tc>
        <w:tc>
          <w:tcPr>
            <w:tcW w:type="dxa" w:w="9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59.1</w:t>
            </w:r>
          </w:p>
        </w:tc>
        <w:tc>
          <w:tcPr>
            <w:tcW w:type="dxa" w:w="9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16424</w:t>
            </w:r>
          </w:p>
        </w:tc>
        <w:tc>
          <w:tcPr>
            <w:tcW w:type="dxa" w:w="9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27044</w:t>
            </w:r>
          </w:p>
        </w:tc>
        <w:tc>
          <w:tcPr>
            <w:tcW w:type="dxa" w:w="66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57%</w:t>
            </w:r>
          </w:p>
        </w:tc>
      </w:tr>
    </w:tbl>
    <w:p>
      <w:pPr>
        <w:spacing w:after="80" w:before="20"/>
        <w:jc w:val="both"/>
      </w:pPr>
      <w:r>
        <w:rPr>
          <w:rFonts w:ascii="Times New Roman" w:cs="Times New Roman" w:eastAsia="Times New Roman" w:hAnsi="Times New Roman"/>
          <w:sz w:val="14"/>
          <w:szCs w:val="14"/>
        </w:rPr>
        <w:t xml:space="preserve">Per-event logging (S3), four IBFT 2.0 validators on one shared 2-vCPU host; Conf. = confirmed fraction.</w:t>
      </w:r>
    </w:p>
    <w:p>
      <w:pPr>
        <w:keepNext/>
        <w:spacing w:after="30" w:before="60"/>
        <w:jc w:val="left"/>
      </w:pPr>
      <w:r>
        <w:rPr>
          <w:rFonts w:ascii="Times New Roman" w:cs="Times New Roman" w:eastAsia="Times New Roman" w:hAnsi="Times New Roman"/>
          <w:i/>
          <w:iCs/>
          <w:sz w:val="20"/>
          <w:szCs w:val="20"/>
        </w:rPr>
        <w:t xml:space="preserve">D. Resource Utilization</w:t>
      </w:r>
    </w:p>
    <w:p>
      <w:pPr>
        <w:keepNext/>
        <w:spacing w:after="60" w:before="0" w:line="228"/>
        <w:jc w:val="both"/>
      </w:pPr>
      <w:r>
        <w:rPr>
          <w:rFonts w:ascii="Times New Roman" w:cs="Times New Roman" w:eastAsia="Times New Roman" w:hAnsi="Times New Roman"/>
          <w:sz w:val="20"/>
          <w:szCs w:val="20"/>
        </w:rPr>
        <w:t xml:space="preserve">Measured gas per operation is listed in Table 7. Registering a device costs 55,682 gas, whereas committing an epoch root costs 75,469 gas independent of batch size. Logging one event on-chain costs 182,008 gas, while anchoring a batch costs 134,747 gas, i.e. about 135 gas per record for a 1,000-record batch (≈1351× cheaper). At 400 devices and 1 event/s the calculation gives 34.6 M events/day: 6636 MB/day of ledger growth with per-event logging (192 B/entry) versus 13.8 MB/day with batch anchoring. Device-side CPU and memory were not measured; prior IOTA-based DID work reports that DID generation can saturate a Raspberry Pi 4 CPU </w:t>
      </w:r>
      <w:r>
        <w:rPr>
          <w:rFonts w:ascii="Times New Roman" w:cs="Times New Roman" w:eastAsia="Times New Roman" w:hAnsi="Times New Roman"/>
          <w:sz w:val="20"/>
          <w:szCs w:val="20"/>
        </w:rPr>
        <w:t xml:space="preserve">[22]</w:t>
      </w:r>
      <w:r>
        <w:rPr>
          <w:rFonts w:ascii="Times New Roman" w:cs="Times New Roman" w:eastAsia="Times New Roman" w:hAnsi="Times New Roman"/>
          <w:sz w:val="20"/>
          <w:szCs w:val="20"/>
        </w:rPr>
        <w:t xml:space="preserve">, which motivates our use of hash proofs only.</w:t>
      </w:r>
    </w:p>
    <w:p>
      <w:pPr>
        <w:keepNext/>
        <w:spacing w:after="30" w:before="60"/>
        <w:jc w:val="center"/>
      </w:pPr>
      <w:r>
        <w:rPr>
          <w:rFonts w:ascii="Times New Roman" w:cs="Times New Roman" w:eastAsia="Times New Roman" w:hAnsi="Times New Roman"/>
          <w:sz w:val="16"/>
          <w:szCs w:val="16"/>
        </w:rPr>
        <w:t xml:space="preserve">TABLE 7. MEASURED GAS PER CONTRACT OPERATION</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60"/>
        <w:gridCol w:w="1700"/>
      </w:tblGrid>
      <w:tr>
        <w:trPr>
          <w:cantSplit/>
          <w:tblHeader/>
        </w:trPr>
        <w:tc>
          <w:tcPr>
            <w:tcW w:type="dxa" w:w="316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Operation</w:t>
            </w:r>
          </w:p>
        </w:tc>
        <w:tc>
          <w:tcPr>
            <w:tcW w:type="dxa" w:w="17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Gas</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IdentityRegistry.registerDID</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55,682</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IdentityRegistry.commitEpoch</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75,469</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IdentityRegistry.revokeDID</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49,550</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AccessControl.setPolicy</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49,731</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AccessControl.grantSession</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71,689</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TrustReputation.updateScore (quorum)</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124,772</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TrustReputation.flagAnomaly</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95,868</w:t>
            </w:r>
          </w:p>
        </w:tc>
      </w:tr>
      <w:tr>
        <w:trPr>
          <w:cantSplit/>
        </w:trPr>
        <w:tc>
          <w:tcPr>
            <w:tcW w:type="dxa" w:w="316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AuditLog.logEvent (per event)</w:t>
            </w:r>
          </w:p>
        </w:tc>
        <w:tc>
          <w:tcPr>
            <w:tcW w:type="dxa" w:w="17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182,008</w:t>
            </w:r>
          </w:p>
        </w:tc>
      </w:tr>
      <w:tr>
        <w:trPr>
          <w:cantSplit/>
        </w:trPr>
        <w:tc>
          <w:tcPr>
            <w:tcW w:type="dxa" w:w="316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AuditLog.anchorBatch (per batch)</w:t>
            </w:r>
          </w:p>
        </w:tc>
        <w:tc>
          <w:tcPr>
            <w:tcW w:type="dxa" w:w="17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134,747</w:t>
            </w:r>
          </w:p>
        </w:tc>
      </w:tr>
    </w:tbl>
    <w:p>
      <w:pPr>
        <w:spacing w:after="80" w:before="20"/>
        <w:jc w:val="both"/>
      </w:pPr>
      <w:r>
        <w:rPr>
          <w:rFonts w:ascii="Times New Roman" w:cs="Times New Roman" w:eastAsia="Times New Roman" w:hAnsi="Times New Roman"/>
          <w:sz w:val="14"/>
          <w:szCs w:val="14"/>
        </w:rPr>
        <w:t xml:space="preserve">Hardhat EVM (london), optimizer 200 runs; first-use storage costs included.</w:t>
      </w:r>
    </w:p>
    <w:p>
      <w:pPr>
        <w:keepNext/>
        <w:spacing w:after="30" w:before="60"/>
        <w:jc w:val="left"/>
      </w:pPr>
      <w:r>
        <w:rPr>
          <w:rFonts w:ascii="Times New Roman" w:cs="Times New Roman" w:eastAsia="Times New Roman" w:hAnsi="Times New Roman"/>
          <w:i/>
          <w:iCs/>
          <w:sz w:val="20"/>
          <w:szCs w:val="20"/>
        </w:rPr>
        <w:t xml:space="preserve">E. Scalability</w:t>
      </w:r>
    </w:p>
    <w:p>
      <w:pPr>
        <w:keepNext/>
        <w:spacing w:after="60" w:before="0" w:line="228"/>
        <w:jc w:val="both"/>
      </w:pPr>
      <w:r>
        <w:rPr>
          <w:rFonts w:ascii="Times New Roman" w:cs="Times New Roman" w:eastAsia="Times New Roman" w:hAnsi="Times New Roman"/>
          <w:sz w:val="20"/>
          <w:szCs w:val="20"/>
        </w:rPr>
        <w:t xml:space="preserve">Fig. 4 shows goodput and on-chain write load against device count. Central PKI-IAM, ABAC and BC-ZTA served every request up to 200 devices with no failures, whereas the synchronous blockchain saturated: its goodput stopped at 47 req/s (37 req/s at 50 devices), only 74% of requests at 50 devices and 21% at 200 devices were answered in time, mean latency rose to 14.0 s and 2158 requests timed out at 200 devices. Its on-chain write rate (47 tx/s) is the measured ledger ceiling, whereas BC-ZTA writes about 1.0 tx/s regardless of the number of devices. At 200 devices all systems slow down because the PEP, the load generator and the four validators compete for two vCPUs: BC-ZTA reaches 55 ms mean (P95 209 ms) against 12 ms for the local store, so CPU rather than the ledger is its limit on this host. For comparison, a sharded design reaches 2,500 TPS at 700 nodes </w:t>
      </w:r>
      <w:r>
        <w:rPr>
          <w:rFonts w:ascii="Times New Roman" w:cs="Times New Roman" w:eastAsia="Times New Roman" w:hAnsi="Times New Roman"/>
          <w:sz w:val="20"/>
          <w:szCs w:val="20"/>
        </w:rPr>
        <w:t xml:space="preserve">[18]</w:t>
      </w:r>
      <w:r>
        <w:rPr>
          <w:rFonts w:ascii="Times New Roman" w:cs="Times New Roman" w:eastAsia="Times New Roman" w:hAnsi="Times New Roman"/>
          <w:sz w:val="20"/>
          <w:szCs w:val="20"/>
        </w:rPr>
        <w:t xml:space="preserve">; our approach instead lowers the required write rate.</w:t>
      </w:r>
    </w:p>
    <w:p>
      <w:pPr>
        <w:keepNext/>
        <w:spacing w:after="20" w:before="40"/>
        <w:jc w:val="center"/>
      </w:pPr>
      <w:r>
        <w:drawing>
          <wp:inline distT="0" distB="0" distL="0" distR="0">
            <wp:extent cx="2762250" cy="2600325"/>
            <wp:effectExtent t="0" r="0" b="0" l="0"/>
            <wp:docPr id="1" name="fig4_scalability.png" descr="Fig. 4. Goodput (top) and on-chain writes per second (bottom) versus number of devices; dotted line: offered load." title="Fig. 4. Goodput (top) and on-chain writes per second (bottom) versus number of devices; dotted line: offered 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62250" cy="2600325"/>
                    </a:xfrm>
                    <a:prstGeom prst="rect">
                      <a:avLst/>
                    </a:prstGeom>
                  </pic:spPr>
                </pic:pic>
              </a:graphicData>
            </a:graphic>
          </wp:inline>
        </w:drawing>
      </w:r>
    </w:p>
    <w:p>
      <w:pPr>
        <w:spacing w:after="80"/>
        <w:jc w:val="center"/>
      </w:pPr>
      <w:r>
        <w:rPr>
          <w:rFonts w:ascii="Times New Roman" w:cs="Times New Roman" w:eastAsia="Times New Roman" w:hAnsi="Times New Roman"/>
          <w:sz w:val="16"/>
          <w:szCs w:val="16"/>
        </w:rPr>
        <w:t xml:space="preserve">Fig. 4. Goodput (top) and on-chain writes per second (bottom) versus number of devices; dotted line: offered load.</w:t>
      </w:r>
    </w:p>
    <w:p>
      <w:pPr>
        <w:keepNext/>
        <w:spacing w:after="30" w:before="60"/>
        <w:jc w:val="left"/>
      </w:pPr>
      <w:r>
        <w:rPr>
          <w:rFonts w:ascii="Times New Roman" w:cs="Times New Roman" w:eastAsia="Times New Roman" w:hAnsi="Times New Roman"/>
          <w:i/>
          <w:iCs/>
          <w:sz w:val="20"/>
          <w:szCs w:val="20"/>
        </w:rPr>
        <w:t xml:space="preserve">F. Attack Resistance</w:t>
      </w:r>
    </w:p>
    <w:p>
      <w:pPr>
        <w:keepNext/>
        <w:spacing w:after="60" w:before="0" w:line="228"/>
        <w:jc w:val="both"/>
      </w:pPr>
      <w:r>
        <w:rPr>
          <w:rFonts w:ascii="Times New Roman" w:cs="Times New Roman" w:eastAsia="Times New Roman" w:hAnsi="Times New Roman"/>
          <w:sz w:val="20"/>
          <w:szCs w:val="20"/>
        </w:rPr>
        <w:t xml:space="preserve">Table 8 lists the security tests run against the BC-ZTA prototype (3 runs, 50 attempts per test and run). All legitimate requests were accepted (no false rejects), and none of the forged, replayed, stale, unregistered, tampered, class-violating or low-trust requests was accepted. For a revoked device, 0 requests were accepted after the revocation transaction was confirmed, and the first denial came 8 ms after confirmation or sooner. Fig. 5 shows the revocation enforcement delay of each system: with event-driven invalidation BC-ZTA enforces a revocation after 1.22 s on average (worst case 2.12 s), about one block period and independent of the TTL, whereas TTL-only refresh with a 10 s TTL needs 5.5 s on average (worst case 11.2 s). The centralised and local baselines revoke in 48 ms and 5 ms because they hold the state in one place; the blockchain-only value (2.03 s) includes the request that was in flight when the revocation was issued.</w:t>
      </w:r>
    </w:p>
    <w:p>
      <w:pPr>
        <w:keepNext/>
        <w:spacing w:after="30" w:before="60"/>
        <w:jc w:val="center"/>
      </w:pPr>
      <w:r>
        <w:rPr>
          <w:rFonts w:ascii="Times New Roman" w:cs="Times New Roman" w:eastAsia="Times New Roman" w:hAnsi="Times New Roman"/>
          <w:sz w:val="16"/>
          <w:szCs w:val="16"/>
        </w:rPr>
        <w:t xml:space="preserve">TABLE 8. SECURITY TESTS ON THE BC-ZTA PROTOTYPE (3 RUNS)</w:t>
      </w:r>
    </w:p>
    <w:tbl>
      <w:tblPr>
        <w:tblW w:type="dxa" w:w="48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980"/>
        <w:gridCol w:w="980"/>
      </w:tblGrid>
      <w:tr>
        <w:trPr>
          <w:cantSplit/>
          <w:tblHeader/>
        </w:trPr>
        <w:tc>
          <w:tcPr>
            <w:tcW w:type="dxa" w:w="290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Test</w:t>
            </w:r>
          </w:p>
        </w:tc>
        <w:tc>
          <w:tcPr>
            <w:tcW w:type="dxa" w:w="98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Attempts</w:t>
            </w:r>
          </w:p>
        </w:tc>
        <w:tc>
          <w:tcPr>
            <w:tcW w:type="dxa" w:w="980"/>
            <w:tcBorders>
              <w:top w:val="single" w:color="000000" w:sz="4"/>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bCs/>
                <w:sz w:val="15"/>
                <w:szCs w:val="15"/>
              </w:rPr>
              <w:t xml:space="preserve">Accepted</w:t>
            </w:r>
          </w:p>
        </w:tc>
      </w:tr>
      <w:tr>
        <w:trPr>
          <w:cantSplit/>
        </w:trPr>
        <w:tc>
          <w:tcPr>
            <w:tcW w:type="dxa" w:w="2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Legitimate requests (control)</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150</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150</w:t>
            </w:r>
          </w:p>
        </w:tc>
      </w:tr>
      <w:tr>
        <w:trPr>
          <w:cantSplit/>
        </w:trPr>
        <w:tc>
          <w:tcPr>
            <w:tcW w:type="dxa" w:w="2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Forged signature</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150</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w:t>
            </w:r>
          </w:p>
        </w:tc>
      </w:tr>
      <w:tr>
        <w:trPr>
          <w:cantSplit/>
        </w:trPr>
        <w:tc>
          <w:tcPr>
            <w:tcW w:type="dxa" w:w="2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Replayed request</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150</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w:t>
            </w:r>
          </w:p>
        </w:tc>
      </w:tr>
      <w:tr>
        <w:trPr>
          <w:cantSplit/>
        </w:trPr>
        <w:tc>
          <w:tcPr>
            <w:tcW w:type="dxa" w:w="2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Stale timestamp</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150</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w:t>
            </w:r>
          </w:p>
        </w:tc>
      </w:tr>
      <w:tr>
        <w:trPr>
          <w:cantSplit/>
        </w:trPr>
        <w:tc>
          <w:tcPr>
            <w:tcW w:type="dxa" w:w="2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Unregistered DID</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150</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w:t>
            </w:r>
          </w:p>
        </w:tc>
      </w:tr>
      <w:tr>
        <w:trPr>
          <w:cantSplit/>
        </w:trPr>
        <w:tc>
          <w:tcPr>
            <w:tcW w:type="dxa" w:w="2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Tampered Merkle proof</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150</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w:t>
            </w:r>
          </w:p>
        </w:tc>
      </w:tr>
      <w:tr>
        <w:trPr>
          <w:cantSplit/>
        </w:trPr>
        <w:tc>
          <w:tcPr>
            <w:tcW w:type="dxa" w:w="290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Class outside policy</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150</w:t>
            </w:r>
          </w:p>
        </w:tc>
        <w:tc>
          <w:tcPr>
            <w:tcW w:type="dxa" w:w="980"/>
            <w:tcBorders>
              <w:top w:val="none" w:color="FFFFFF" w:sz="0"/>
              <w:left w:val="none" w:color="FFFFFF" w:sz="0"/>
              <w:bottom w:val="none" w:color="FFFFFF" w:sz="0"/>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w:t>
            </w:r>
          </w:p>
        </w:tc>
      </w:tr>
      <w:tr>
        <w:trPr>
          <w:cantSplit/>
        </w:trPr>
        <w:tc>
          <w:tcPr>
            <w:tcW w:type="dxa" w:w="290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Trust score below threshold</w:t>
            </w:r>
          </w:p>
        </w:tc>
        <w:tc>
          <w:tcPr>
            <w:tcW w:type="dxa" w:w="98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150</w:t>
            </w:r>
          </w:p>
        </w:tc>
        <w:tc>
          <w:tcPr>
            <w:tcW w:type="dxa" w:w="980"/>
            <w:tcBorders>
              <w:top w:val="none" w:color="FFFFFF" w:sz="0"/>
              <w:left w:val="none" w:color="FFFFFF" w:sz="0"/>
              <w:bottom w:val="single" w:color="000000" w:sz="4"/>
              <w:right w:val="none" w:color="FFFFFF" w:sz="0"/>
            </w:tcBorders>
            <w:tcMar>
              <w:top w:type="dxa" w:w="20"/>
              <w:left w:type="dxa" w:w="40"/>
              <w:bottom w:type="dxa" w:w="20"/>
              <w:right w:type="dxa" w:w="40"/>
            </w:tcMar>
            <w:vAlign w:val="center"/>
          </w:tcPr>
          <w:p>
            <w:pPr>
              <w:keepNext/>
              <w:spacing w:after="0" w:line="200"/>
              <w:jc w:val="left"/>
            </w:pPr>
            <w:r>
              <w:rPr>
                <w:rFonts w:ascii="Times New Roman" w:cs="Times New Roman" w:eastAsia="Times New Roman" w:hAnsi="Times New Roman"/>
                <w:b w:val="false"/>
                <w:bCs w:val="false"/>
                <w:sz w:val="15"/>
                <w:szCs w:val="15"/>
              </w:rPr>
              <w:t xml:space="preserve">0</w:t>
            </w:r>
          </w:p>
        </w:tc>
      </w:tr>
    </w:tbl>
    <w:p>
      <w:pPr>
        <w:spacing w:after="80" w:before="20"/>
        <w:jc w:val="both"/>
      </w:pPr>
      <w:r>
        <w:rPr>
          <w:rFonts w:ascii="Times New Roman" w:cs="Times New Roman" w:eastAsia="Times New Roman" w:hAnsi="Times New Roman"/>
          <w:sz w:val="14"/>
          <w:szCs w:val="14"/>
        </w:rPr>
        <w:t xml:space="preserve">For the control row, Accepted is the desired outcome; for all other rows it must be 0.</w:t>
      </w:r>
    </w:p>
    <w:p>
      <w:pPr>
        <w:keepNext/>
        <w:spacing w:after="20" w:before="40"/>
        <w:jc w:val="center"/>
      </w:pPr>
      <w:r>
        <w:drawing>
          <wp:inline distT="0" distB="0" distL="0" distR="0">
            <wp:extent cx="3067050" cy="2257425"/>
            <wp:effectExtent t="0" r="0" b="0" l="0"/>
            <wp:docPr id="1" name="fig5_revocation.png" descr="Fig. 5. Revocation enforcement delay (mean, log scale; marks: worst case observed)." title="Fig. 5. Revocation enforcement delay (mean, log scale; marks: worst case obser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67050" cy="2257425"/>
                    </a:xfrm>
                    <a:prstGeom prst="rect">
                      <a:avLst/>
                    </a:prstGeom>
                  </pic:spPr>
                </pic:pic>
              </a:graphicData>
            </a:graphic>
          </wp:inline>
        </w:drawing>
      </w:r>
    </w:p>
    <w:p>
      <w:pPr>
        <w:spacing w:after="80"/>
        <w:jc w:val="center"/>
      </w:pPr>
      <w:r>
        <w:rPr>
          <w:rFonts w:ascii="Times New Roman" w:cs="Times New Roman" w:eastAsia="Times New Roman" w:hAnsi="Times New Roman"/>
          <w:sz w:val="16"/>
          <w:szCs w:val="16"/>
        </w:rPr>
        <w:t xml:space="preserve">Fig. 5. Revocation enforcement delay (mean, log scale; marks: worst case observed).</w:t>
      </w:r>
    </w:p>
    <w:p>
      <w:pPr>
        <w:keepNext/>
        <w:spacing w:after="30" w:before="60"/>
        <w:jc w:val="left"/>
      </w:pPr>
      <w:r>
        <w:rPr>
          <w:rFonts w:ascii="Times New Roman" w:cs="Times New Roman" w:eastAsia="Times New Roman" w:hAnsi="Times New Roman"/>
          <w:i/>
          <w:iCs/>
          <w:sz w:val="20"/>
          <w:szCs w:val="20"/>
        </w:rPr>
        <w:t xml:space="preserve">G. Comparison with Baselines</w:t>
      </w:r>
    </w:p>
    <w:p>
      <w:pPr>
        <w:spacing w:after="60" w:before="0" w:line="228"/>
        <w:jc w:val="both"/>
      </w:pPr>
      <w:r>
        <w:rPr>
          <w:rFonts w:ascii="Times New Roman" w:cs="Times New Roman" w:eastAsia="Times New Roman" w:hAnsi="Times New Roman"/>
          <w:sz w:val="20"/>
          <w:szCs w:val="20"/>
        </w:rPr>
        <w:t xml:space="preserve">BC-ZTA is 3.0 ms slower than a ledger-free ABAC store at 50 devices but adds decentralised identity, shared policy and tamper-evident anchored audit that B2 lacks; against the centralised PKI-IAM it is 85% faster at 50 devices (with an emulated 40 ms WAN) and removes the central directory; and against the synchronous blockchain it avoids ~10.3 s per decision at 50 devices and the ledger ceiling. Its price is revocation latency: about 1.2 s with events (one block) instead of milliseconds for a central store. A reported Ethereum-based framework pays about 25 ms extra per request even at small scale </w:t>
      </w:r>
      <w:r>
        <w:rPr>
          <w:rFonts w:ascii="Times New Roman" w:cs="Times New Roman" w:eastAsia="Times New Roman" w:hAnsi="Times New Roman"/>
          <w:sz w:val="20"/>
          <w:szCs w:val="20"/>
        </w:rPr>
        <w:t xml:space="preserve">[17]</w:t>
      </w:r>
      <w:r>
        <w:rPr>
          <w:rFonts w:ascii="Times New Roman" w:cs="Times New Roman" w:eastAsia="Times New Roman" w:hAnsi="Times New Roman"/>
          <w:sz w:val="20"/>
          <w:szCs w:val="20"/>
        </w:rPr>
        <w:t xml:space="preserve">, consistent with our finding that on-path consensus is the bottleneck.</w:t>
      </w:r>
    </w:p>
    <w:p>
      <w:pPr>
        <w:keepNext/>
        <w:spacing w:after="30" w:before="60"/>
        <w:jc w:val="left"/>
      </w:pPr>
      <w:r>
        <w:rPr>
          <w:rFonts w:ascii="Times New Roman" w:cs="Times New Roman" w:eastAsia="Times New Roman" w:hAnsi="Times New Roman"/>
          <w:i/>
          <w:iCs/>
          <w:sz w:val="20"/>
          <w:szCs w:val="20"/>
        </w:rPr>
        <w:t xml:space="preserve">H. Discussion and Limitations</w:t>
      </w:r>
    </w:p>
    <w:p>
      <w:pPr>
        <w:spacing w:after="60" w:before="0" w:line="228"/>
        <w:jc w:val="both"/>
      </w:pPr>
      <w:r>
        <w:rPr>
          <w:rFonts w:ascii="Times New Roman" w:cs="Times New Roman" w:eastAsia="Times New Roman" w:hAnsi="Times New Roman"/>
          <w:sz w:val="20"/>
          <w:szCs w:val="20"/>
        </w:rPr>
        <w:t xml:space="preserve">The key trade-off is bounded revocation staleness for latency. Limitations: (i) all four validators, the PEP and the load generator ran on one shared 2-vCPU CI host, so absolute latencies and throughput are not representative of a multi-server plant and validator network delay is not captured; (ii) the WAN delay of the PKI baseline is emulated, and the baselines are simple re-implementations, not production IAM products; (iii) the device population is emulated: no physical devices, industrial protocols or secure elements were used; (iv) one plant authority key issues registrations and revocations, so authority compromise is out of scope; (v) in the flooding test (E4), when 200 tx/s were sent to Besu while 50 devices were served, BC-ZTA success fell to 55–94% (mean latency 1192–8323 ms, against 4.3 ms without flooding), and every failure was a request rejected as stale; we attribute this to CPU starvation of the PEP by the flooded validators on the shared host, so the test does not demonstrate availability under ledger congestion, which needs separate hosts; and (vi) trust scores are voted values, not yet learned from data. Comparisons with published numbers are indicative only, since workloads and testbeds differ.</w:t>
      </w:r>
    </w:p>
    <w:p>
      <w:pPr>
        <w:spacing w:after="60" w:before="0" w:line="228"/>
        <w:jc w:val="both"/>
      </w:pPr>
      <w:r>
        <w:rPr>
          <w:rFonts w:ascii="Times New Roman" w:cs="Times New Roman" w:eastAsia="Times New Roman" w:hAnsi="Times New Roman"/>
          <w:sz w:val="20"/>
          <w:szCs w:val="20"/>
        </w:rPr>
        <w:t xml:space="preserve">Deployment considerations. First, validators must be run by independent parties (plant, integrator, vendor) for the Byzantine assumption to mean anything. Second, device keys should live in a secure element or TPM, because the architecture’s identity guarantees are only as strong as key custody. Third, on-chain records contain key hashes, scores and event hashes, not process data, which keeps operational data off the shared ledger. Fourth, in the prototype AuditLog and grantSession are callable by any account, and production deployments would restrict them to gateway identities. Fifth, the fail-closed rule of Section III-J trades availability for safety during ledger partitions and should be tuned against plant uptime requirements.</w:t>
      </w:r>
    </w:p>
    <w:p>
      <w:pPr>
        <w:keepNext/>
        <w:spacing w:after="60" w:before="120"/>
        <w:jc w:val="center"/>
      </w:pPr>
      <w:r>
        <w:rPr>
          <w:rFonts w:ascii="Times New Roman" w:cs="Times New Roman" w:eastAsia="Times New Roman" w:hAnsi="Times New Roman"/>
          <w:sz w:val="18"/>
          <w:szCs w:val="18"/>
        </w:rPr>
        <w:t xml:space="preserve">VII. CONCLUSION</w:t>
      </w:r>
    </w:p>
    <w:p>
      <w:pPr>
        <w:spacing w:after="60" w:before="0" w:line="228"/>
        <w:jc w:val="both"/>
      </w:pPr>
      <w:r>
        <w:rPr>
          <w:rFonts w:ascii="Times New Roman" w:cs="Times New Roman" w:eastAsia="Times New Roman" w:hAnsi="Times New Roman"/>
          <w:sz w:val="20"/>
          <w:szCs w:val="20"/>
        </w:rPr>
        <w:t xml:space="preserve">We presented BC-ZTA, a blockchain-assisted zero-trust architecture that keeps consensus off the per-request path through edge-cached, Merkle-verified state and asynchronous batched anchoring. Four Solidity contracts pass 15 unit tests, and measured gas shows batch anchoring is about 1351× cheaper per record than per-event logging. In end-to-end tests on a four-validator Besu network, BC-ZTA decided in 7.4 ms on average at 50 devices and served 200 devices without failures with about one on-chain write per second, while the synchronous design needed 10.3 s and saturated at about 47 requests per second; the price is a revocation delay of about 1.2 s with event-driven invalidation. All forged, replayed, stale, unregistered, tampered and policy-violating requests were rejected. The evaluation used one shared host and an emulated device population and WAN link. Future work includes a multi-host Besu deployment with real network delay, physical devices and industrial protocols, learning-based trust scoring and post-quantum signatures.</w:t>
      </w:r>
    </w:p>
    <w:p>
      <w:pPr>
        <w:keepNext/>
        <w:spacing w:after="60" w:before="120"/>
        <w:jc w:val="center"/>
      </w:pPr>
      <w:r>
        <w:rPr>
          <w:rFonts w:ascii="Times New Roman" w:cs="Times New Roman" w:eastAsia="Times New Roman" w:hAnsi="Times New Roman"/>
          <w:sz w:val="18"/>
          <w:szCs w:val="18"/>
        </w:rPr>
        <w:t xml:space="preserve">ACKNOWLEDGMENT</w:t>
      </w:r>
    </w:p>
    <w:p>
      <w:pPr>
        <w:spacing w:after="60" w:before="0" w:line="228"/>
        <w:jc w:val="both"/>
      </w:pPr>
      <w:r>
        <w:rPr>
          <w:rFonts w:ascii="Times New Roman" w:cs="Times New Roman" w:eastAsia="Times New Roman" w:hAnsi="Times New Roman"/>
          <w:sz w:val="20"/>
          <w:szCs w:val="20"/>
        </w:rPr>
        <w:t xml:space="preserve">[Funding sources and acknowledgments to be added by the authors.]</w:t>
      </w:r>
    </w:p>
    <w:p>
      <w:pPr>
        <w:keepNext/>
        <w:spacing w:after="60" w:before="120"/>
        <w:jc w:val="center"/>
      </w:pPr>
      <w:r>
        <w:rPr>
          <w:rFonts w:ascii="Times New Roman" w:cs="Times New Roman" w:eastAsia="Times New Roman" w:hAnsi="Times New Roman"/>
          <w:sz w:val="18"/>
          <w:szCs w:val="18"/>
        </w:rPr>
        <w:t xml:space="preserve">REFERENCES</w:t>
      </w:r>
    </w:p>
    <w:p>
      <w:pPr>
        <w:tabs>
          <w:tab w:val="left" w:pos="280"/>
        </w:tabs>
        <w:spacing w:after="20" w:line="200"/>
        <w:ind w:left="280" w:hanging="280"/>
        <w:jc w:val="left"/>
      </w:pPr>
      <w:r>
        <w:rPr>
          <w:rFonts w:ascii="Times New Roman" w:cs="Times New Roman" w:eastAsia="Times New Roman" w:hAnsi="Times New Roman"/>
          <w:sz w:val="15"/>
          <w:szCs w:val="15"/>
        </w:rPr>
        <w:t xml:space="preserve">[1]	</w:t>
      </w:r>
      <w:r>
        <w:rPr>
          <w:rFonts w:ascii="Times New Roman" w:cs="Times New Roman" w:eastAsia="Times New Roman" w:hAnsi="Times New Roman"/>
          <w:sz w:val="15"/>
          <w:szCs w:val="15"/>
        </w:rPr>
        <w:t xml:space="preserve">F. Federici, D. Martintoni, and V. Senni, “A zero-trust architecture for remote access in industrial IoT infrastructures,” Electronics, vol. 12, no. 3, Art. no. 566, 2023, </w:t>
      </w:r>
      <w:hyperlink w:history="1" r:id="rIdicx-huvpjufi5tqk7sh4q">
        <w:r>
          <w:rPr>
            <w:rFonts w:ascii="Times New Roman" w:cs="Times New Roman" w:eastAsia="Times New Roman" w:hAnsi="Times New Roman"/>
            <w:color w:val="0563C1"/>
            <w:sz w:val="15"/>
            <w:szCs w:val="15"/>
            <w:u w:val="single"/>
          </w:rPr>
          <w:t xml:space="preserve">doi: 10.3390/electronics12030566.</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	</w:t>
      </w:r>
      <w:r>
        <w:rPr>
          <w:rFonts w:ascii="Times New Roman" w:cs="Times New Roman" w:eastAsia="Times New Roman" w:hAnsi="Times New Roman"/>
          <w:sz w:val="15"/>
          <w:szCs w:val="15"/>
        </w:rPr>
        <w:t xml:space="preserve">C. Zanasi, S. Russo, and M. Colajanni, “Flexible zero trust architecture for the cybersecurity of industrial IoT infrastructures,” Ad Hoc Netw., vol. 156, Art. no. 103414, 2024, </w:t>
      </w:r>
      <w:hyperlink w:history="1" r:id="rIdibn0dl74arzmlfkjoxdnn">
        <w:r>
          <w:rPr>
            <w:rFonts w:ascii="Times New Roman" w:cs="Times New Roman" w:eastAsia="Times New Roman" w:hAnsi="Times New Roman"/>
            <w:color w:val="0563C1"/>
            <w:sz w:val="15"/>
            <w:szCs w:val="15"/>
            <w:u w:val="single"/>
          </w:rPr>
          <w:t xml:space="preserve">doi: 10.1016/j.adhoc.2024.103414.</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[3]	</w:t>
      </w:r>
      <w:r>
        <w:rPr>
          <w:rFonts w:ascii="Times New Roman" w:cs="Times New Roman" w:eastAsia="Times New Roman" w:hAnsi="Times New Roman"/>
          <w:sz w:val="15"/>
          <w:szCs w:val="15"/>
        </w:rPr>
        <w:t xml:space="preserve">S. Rose, O. Borchert, S. Mitchell, and S. Connelly, “Zero trust architecture,” Nat. Inst. Standards Technol., Gaithersburg, MD, USA, Spec. Publ. 800-207, Aug. 2020, </w:t>
      </w:r>
      <w:hyperlink w:history="1" r:id="rIduhkojayxekb_ultzzbf1l">
        <w:r>
          <w:rPr>
            <w:rFonts w:ascii="Times New Roman" w:cs="Times New Roman" w:eastAsia="Times New Roman" w:hAnsi="Times New Roman"/>
            <w:color w:val="0563C1"/>
            <w:sz w:val="15"/>
            <w:szCs w:val="15"/>
            <w:u w:val="single"/>
          </w:rPr>
          <w:t xml:space="preserve">doi: 10.6028/NIST.SP.800-207.</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[4]	</w:t>
      </w:r>
      <w:r>
        <w:rPr>
          <w:rFonts w:ascii="Times New Roman" w:cs="Times New Roman" w:eastAsia="Times New Roman" w:hAnsi="Times New Roman"/>
          <w:sz w:val="15"/>
          <w:szCs w:val="15"/>
        </w:rPr>
        <w:t xml:space="preserve">M. L. Gambo and A. Almulhem, “Zero trust architecture: A systematic literature review,” J. Netw. Syst. Manage., vol. 34, Art. no. 25, 2026, </w:t>
      </w:r>
      <w:hyperlink w:history="1" r:id="rIde9algprg8khqhhrih5j91">
        <w:r>
          <w:rPr>
            <w:rFonts w:ascii="Times New Roman" w:cs="Times New Roman" w:eastAsia="Times New Roman" w:hAnsi="Times New Roman"/>
            <w:color w:val="0563C1"/>
            <w:sz w:val="15"/>
            <w:szCs w:val="15"/>
            <w:u w:val="single"/>
          </w:rPr>
          <w:t xml:space="preserve">doi: 10.1007/s10922-025-09998-x.</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[5]	</w:t>
      </w:r>
      <w:r>
        <w:rPr>
          <w:rFonts w:ascii="Times New Roman" w:cs="Times New Roman" w:eastAsia="Times New Roman" w:hAnsi="Times New Roman"/>
          <w:sz w:val="15"/>
          <w:szCs w:val="15"/>
        </w:rPr>
        <w:t xml:space="preserve">S. Mushtaq, M. Mohsin, and M. M. Mushtaq, “A systematic literature review on the implementation and challenges of zero trust architecture across domains,” Sensors, vol. 25, no. 19, Art. no. 6118, 2025, </w:t>
      </w:r>
      <w:hyperlink w:history="1" r:id="rIdk3vy7yx5wvamef2n_9mrw">
        <w:r>
          <w:rPr>
            <w:rFonts w:ascii="Times New Roman" w:cs="Times New Roman" w:eastAsia="Times New Roman" w:hAnsi="Times New Roman"/>
            <w:color w:val="0563C1"/>
            <w:sz w:val="15"/>
            <w:szCs w:val="15"/>
            <w:u w:val="single"/>
          </w:rPr>
          <w:t xml:space="preserve">doi: 10.3390/s25196118.</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[6]	</w:t>
      </w:r>
      <w:r>
        <w:rPr>
          <w:rFonts w:ascii="Times New Roman" w:cs="Times New Roman" w:eastAsia="Times New Roman" w:hAnsi="Times New Roman"/>
          <w:sz w:val="15"/>
          <w:szCs w:val="15"/>
        </w:rPr>
        <w:t xml:space="preserve">M. A. Azad, S. Abdullah, J. Arshad, H. Lallie, and Y. H. Ahmed, “Verify and trust: A multidimensional survey of zero-trust security in the age of IoT,” Internet Things, vol. 27, Art. no. 101227, 2024, </w:t>
      </w:r>
      <w:hyperlink w:history="1" r:id="rIdzgqihlji6pzeeznajpcdd">
        <w:r>
          <w:rPr>
            <w:rFonts w:ascii="Times New Roman" w:cs="Times New Roman" w:eastAsia="Times New Roman" w:hAnsi="Times New Roman"/>
            <w:color w:val="0563C1"/>
            <w:sz w:val="15"/>
            <w:szCs w:val="15"/>
            <w:u w:val="single"/>
          </w:rPr>
          <w:t xml:space="preserve">doi: 10.1016/j.iot.2024.101227.</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[7]	</w:t>
      </w:r>
      <w:r>
        <w:rPr>
          <w:rFonts w:ascii="Times New Roman" w:cs="Times New Roman" w:eastAsia="Times New Roman" w:hAnsi="Times New Roman"/>
          <w:sz w:val="15"/>
          <w:szCs w:val="15"/>
        </w:rPr>
        <w:t xml:space="preserve">S. Mthethwa, M. T. Dlamini, and E. Jembere, “Zero trust for NHIs based on robust identity and access management for a resilient IoT future,” Sensors, vol. 26, no. 8, Art. no. 2392, 2026, </w:t>
      </w:r>
      <w:hyperlink w:history="1" r:id="rIdqcmx7yjfehgx-btogedez">
        <w:r>
          <w:rPr>
            <w:rFonts w:ascii="Times New Roman" w:cs="Times New Roman" w:eastAsia="Times New Roman" w:hAnsi="Times New Roman"/>
            <w:color w:val="0563C1"/>
            <w:sz w:val="15"/>
            <w:szCs w:val="15"/>
            <w:u w:val="single"/>
          </w:rPr>
          <w:t xml:space="preserve">doi: 10.3390/s26082392.</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[8]	</w:t>
      </w:r>
      <w:r>
        <w:rPr>
          <w:rFonts w:ascii="Times New Roman" w:cs="Times New Roman" w:eastAsia="Times New Roman" w:hAnsi="Times New Roman"/>
          <w:sz w:val="15"/>
          <w:szCs w:val="15"/>
        </w:rPr>
        <w:t xml:space="preserve">M. Asim, N. Tariq, A. I. Awad, F. Waheed, S. Bukhari, A. Rafay, and H. H. Song, “Lightweight and privacy-aware decentralized identity management for Industrial Internet of Things applications,” Future Gener. Comput. Syst., vol. 186, Art. no. 108753, 2027 (online Aug. 2026), </w:t>
      </w:r>
      <w:hyperlink w:history="1" r:id="rId6x8cjcekifgluo9nouswi">
        <w:r>
          <w:rPr>
            <w:rFonts w:ascii="Times New Roman" w:cs="Times New Roman" w:eastAsia="Times New Roman" w:hAnsi="Times New Roman"/>
            <w:color w:val="0563C1"/>
            <w:sz w:val="15"/>
            <w:szCs w:val="15"/>
            <w:u w:val="single"/>
          </w:rPr>
          <w:t xml:space="preserve">doi: 10.1016/j.future.2026.108753.</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[9]	</w:t>
      </w:r>
      <w:r>
        <w:rPr>
          <w:rFonts w:ascii="Times New Roman" w:cs="Times New Roman" w:eastAsia="Times New Roman" w:hAnsi="Times New Roman"/>
          <w:sz w:val="15"/>
          <w:szCs w:val="15"/>
        </w:rPr>
        <w:t xml:space="preserve">E. B. Fernández and A. Brazhuk, “A critical analysis of zero trust architecture (ZTA),” Comput. Stand. Interfaces, vol. 89, Art. no. 103832, 2024, </w:t>
      </w:r>
      <w:hyperlink w:history="1" r:id="rIdntqs5mysjmfveq9sacafr">
        <w:r>
          <w:rPr>
            <w:rFonts w:ascii="Times New Roman" w:cs="Times New Roman" w:eastAsia="Times New Roman" w:hAnsi="Times New Roman"/>
            <w:color w:val="0563C1"/>
            <w:sz w:val="15"/>
            <w:szCs w:val="15"/>
            <w:u w:val="single"/>
          </w:rPr>
          <w:t xml:space="preserve">doi: 10.1016/j.csi.2024.103832.</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[10]	</w:t>
      </w:r>
      <w:r>
        <w:rPr>
          <w:rFonts w:ascii="Times New Roman" w:cs="Times New Roman" w:eastAsia="Times New Roman" w:hAnsi="Times New Roman"/>
          <w:sz w:val="15"/>
          <w:szCs w:val="15"/>
        </w:rPr>
        <w:t xml:space="preserve">Y.-W. Ma and P.-H. Chiu, “A novel risk-based access control engine in zero trust architecture for IoT network,” Int. J. Inf. Secur., vol. 24, Art. no. 124, 2025, </w:t>
      </w:r>
      <w:hyperlink w:history="1" r:id="rIdta8knhxr_hfyx0r038ikw">
        <w:r>
          <w:rPr>
            <w:rFonts w:ascii="Times New Roman" w:cs="Times New Roman" w:eastAsia="Times New Roman" w:hAnsi="Times New Roman"/>
            <w:color w:val="0563C1"/>
            <w:sz w:val="15"/>
            <w:szCs w:val="15"/>
            <w:u w:val="single"/>
          </w:rPr>
          <w:t xml:space="preserve">doi: 10.1007/s10207-025-01030-2.</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[11]	</w:t>
      </w:r>
      <w:r>
        <w:rPr>
          <w:rFonts w:ascii="Times New Roman" w:cs="Times New Roman" w:eastAsia="Times New Roman" w:hAnsi="Times New Roman"/>
          <w:sz w:val="15"/>
          <w:szCs w:val="15"/>
        </w:rPr>
        <w:t xml:space="preserve">M. A. Aleisa, “Blockchain-enabled zero trust architecture for privacy-preserving cybersecurity in IoT environments,” IEEE Access, vol. 13, pp. 18660–18676, 2025, </w:t>
      </w:r>
      <w:hyperlink w:history="1" r:id="rIdfnjlcbh14uwj5odm-tpoz">
        <w:r>
          <w:rPr>
            <w:rFonts w:ascii="Times New Roman" w:cs="Times New Roman" w:eastAsia="Times New Roman" w:hAnsi="Times New Roman"/>
            <w:color w:val="0563C1"/>
            <w:sz w:val="15"/>
            <w:szCs w:val="15"/>
            <w:u w:val="single"/>
          </w:rPr>
          <w:t xml:space="preserve">doi: 10.1109/ACCESS.2025.3529309.</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[12]	</w:t>
      </w:r>
      <w:r>
        <w:rPr>
          <w:rFonts w:ascii="Times New Roman" w:cs="Times New Roman" w:eastAsia="Times New Roman" w:hAnsi="Times New Roman"/>
          <w:sz w:val="15"/>
          <w:szCs w:val="15"/>
        </w:rPr>
        <w:t xml:space="preserve">S. Nie, J. Ren, R. Wu, P. Han, Z. Han, and W. Wan, “Zero-trust access control mechanism based on blockchain and inner-product encryption in the Internet of Things in a 6G environment,” Sensors, vol. 25, no. 2, Art. no. 550, 2025, </w:t>
      </w:r>
      <w:hyperlink w:history="1" r:id="rIdgtyjzbvlf0rfxbpghdbuq">
        <w:r>
          <w:rPr>
            <w:rFonts w:ascii="Times New Roman" w:cs="Times New Roman" w:eastAsia="Times New Roman" w:hAnsi="Times New Roman"/>
            <w:color w:val="0563C1"/>
            <w:sz w:val="15"/>
            <w:szCs w:val="15"/>
            <w:u w:val="single"/>
          </w:rPr>
          <w:t xml:space="preserve">doi: 10.3390/s25020550.</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[13]	</w:t>
      </w:r>
      <w:r>
        <w:rPr>
          <w:rFonts w:ascii="Times New Roman" w:cs="Times New Roman" w:eastAsia="Times New Roman" w:hAnsi="Times New Roman"/>
          <w:sz w:val="15"/>
          <w:szCs w:val="15"/>
        </w:rPr>
        <w:t xml:space="preserve">G. Ali, S. Shah, M. Elaffendi, and N. Ahmad, “Blockchain-based access management framework for interoperable digital twins in industrial IoT,” Front. Blockchain, vol. 8, Art. no. 1693926, 2025, </w:t>
      </w:r>
      <w:hyperlink w:history="1" r:id="rIdptbbhgj81zcs5ntdufj0e">
        <w:r>
          <w:rPr>
            <w:rFonts w:ascii="Times New Roman" w:cs="Times New Roman" w:eastAsia="Times New Roman" w:hAnsi="Times New Roman"/>
            <w:color w:val="0563C1"/>
            <w:sz w:val="15"/>
            <w:szCs w:val="15"/>
            <w:u w:val="single"/>
          </w:rPr>
          <w:t xml:space="preserve">doi: 10.3389/fbloc.2025.1693926.</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[14]	</w:t>
      </w:r>
      <w:r>
        <w:rPr>
          <w:rFonts w:ascii="Times New Roman" w:cs="Times New Roman" w:eastAsia="Times New Roman" w:hAnsi="Times New Roman"/>
          <w:sz w:val="15"/>
          <w:szCs w:val="15"/>
        </w:rPr>
        <w:t xml:space="preserve">M. Essaid and H. Ju, “Blockchain solutions for enhancing security and privacy in Industrial IoT,” Appl. Sci., vol. 15, no. 12, Art. no. 6835, 2025, </w:t>
      </w:r>
      <w:hyperlink w:history="1" r:id="rIddnpi9y7-z4a8owwwjnt09">
        <w:r>
          <w:rPr>
            <w:rFonts w:ascii="Times New Roman" w:cs="Times New Roman" w:eastAsia="Times New Roman" w:hAnsi="Times New Roman"/>
            <w:color w:val="0563C1"/>
            <w:sz w:val="15"/>
            <w:szCs w:val="15"/>
            <w:u w:val="single"/>
          </w:rPr>
          <w:t xml:space="preserve">doi: 10.3390/app15126835.</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[15]	</w:t>
      </w:r>
      <w:r>
        <w:rPr>
          <w:rFonts w:ascii="Times New Roman" w:cs="Times New Roman" w:eastAsia="Times New Roman" w:hAnsi="Times New Roman"/>
          <w:sz w:val="15"/>
          <w:szCs w:val="15"/>
        </w:rPr>
        <w:t xml:space="preserve">D. Li, H. Li, N. Crespi, R. Minerva, M. Li, W. Liang, and K. C. Li, “Hyper-IIoT: A smart contract-inspired access control scheme for resource-constrained Industrial Internet of Things,” IEEE Trans. Sustain. Comput., vol. 10, no. 5, pp. 820–829, 2025, </w:t>
      </w:r>
      <w:hyperlink w:history="1" r:id="rId42uvuso2cn86sbnzhboaf">
        <w:r>
          <w:rPr>
            <w:rFonts w:ascii="Times New Roman" w:cs="Times New Roman" w:eastAsia="Times New Roman" w:hAnsi="Times New Roman"/>
            <w:color w:val="0563C1"/>
            <w:sz w:val="15"/>
            <w:szCs w:val="15"/>
            <w:u w:val="single"/>
          </w:rPr>
          <w:t xml:space="preserve">doi: 10.1109/TSUSC.2025.3542466.</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[16]	</w:t>
      </w:r>
      <w:r>
        <w:rPr>
          <w:rFonts w:ascii="Times New Roman" w:cs="Times New Roman" w:eastAsia="Times New Roman" w:hAnsi="Times New Roman"/>
          <w:sz w:val="15"/>
          <w:szCs w:val="15"/>
        </w:rPr>
        <w:t xml:space="preserve">Z. Guo, “Blockchain-enhanced smart contracts for formal verification of IoT access control mechanisms,” Alexandria Eng. J., vol. 118, pp. 315–324, 2025, </w:t>
      </w:r>
      <w:hyperlink w:history="1" r:id="rIdndxh7yf66de8xd3ubdpvg">
        <w:r>
          <w:rPr>
            <w:rFonts w:ascii="Times New Roman" w:cs="Times New Roman" w:eastAsia="Times New Roman" w:hAnsi="Times New Roman"/>
            <w:color w:val="0563C1"/>
            <w:sz w:val="15"/>
            <w:szCs w:val="15"/>
            <w:u w:val="single"/>
          </w:rPr>
          <w:t xml:space="preserve">doi: 10.1016/j.aej.2024.12.109.</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[17]	</w:t>
      </w:r>
      <w:r>
        <w:rPr>
          <w:rFonts w:ascii="Times New Roman" w:cs="Times New Roman" w:eastAsia="Times New Roman" w:hAnsi="Times New Roman"/>
          <w:sz w:val="15"/>
          <w:szCs w:val="15"/>
        </w:rPr>
        <w:t xml:space="preserve">A. Singh, V. Pareek, and A. Sharma, “Blockchain-enabled zero trust framework for securing FinTech ecosystems against insider threats and cyber attacks,” </w:t>
      </w:r>
      <w:hyperlink w:history="1" r:id="rIdr2_c2m3257k8oihprmdct">
        <w:r>
          <w:rPr>
            <w:rFonts w:ascii="Times New Roman" w:cs="Times New Roman" w:eastAsia="Times New Roman" w:hAnsi="Times New Roman"/>
            <w:color w:val="0563C1"/>
            <w:sz w:val="15"/>
            <w:szCs w:val="15"/>
            <w:u w:val="single"/>
          </w:rPr>
          <w:t xml:space="preserve">arXiv:2507.19976, 2025.</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[18]	</w:t>
      </w:r>
      <w:r>
        <w:rPr>
          <w:rFonts w:ascii="Times New Roman" w:cs="Times New Roman" w:eastAsia="Times New Roman" w:hAnsi="Times New Roman"/>
          <w:sz w:val="15"/>
          <w:szCs w:val="15"/>
        </w:rPr>
        <w:t xml:space="preserve">M. M. Salim, M. Kim, S. K. Singh, and J. H. Park, “Zero-trust blockchain-enabled framework for scalable and secure IoT networks,” Future Gener. Comput. Syst., vol. 175, Art. no. 108093, 2026, </w:t>
      </w:r>
      <w:hyperlink w:history="1" r:id="rIdcmtyrckc1kynhrebw_yp5">
        <w:r>
          <w:rPr>
            <w:rFonts w:ascii="Times New Roman" w:cs="Times New Roman" w:eastAsia="Times New Roman" w:hAnsi="Times New Roman"/>
            <w:color w:val="0563C1"/>
            <w:sz w:val="15"/>
            <w:szCs w:val="15"/>
            <w:u w:val="single"/>
          </w:rPr>
          <w:t xml:space="preserve">doi: 10.1016/j.future.2025.108093.</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[19]	</w:t>
      </w:r>
      <w:r>
        <w:rPr>
          <w:rFonts w:ascii="Times New Roman" w:cs="Times New Roman" w:eastAsia="Times New Roman" w:hAnsi="Times New Roman"/>
          <w:sz w:val="15"/>
          <w:szCs w:val="15"/>
        </w:rPr>
        <w:t xml:space="preserve">A. Sharma, S. Rani, and W. Boulila, “Blockchain-based zero trust networks with federated transfer learning for IoT security in industry 5.0,” PLOS ONE, vol. 20, no. 6, Art. no. e0323241, 2025, </w:t>
      </w:r>
      <w:hyperlink w:history="1" r:id="rIdy5qx00krwizyhxvz2qnkd">
        <w:r>
          <w:rPr>
            <w:rFonts w:ascii="Times New Roman" w:cs="Times New Roman" w:eastAsia="Times New Roman" w:hAnsi="Times New Roman"/>
            <w:color w:val="0563C1"/>
            <w:sz w:val="15"/>
            <w:szCs w:val="15"/>
            <w:u w:val="single"/>
          </w:rPr>
          <w:t xml:space="preserve">doi: 10.1371/journal.pone.0323241.</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[20]	</w:t>
      </w:r>
      <w:r>
        <w:rPr>
          <w:rFonts w:ascii="Times New Roman" w:cs="Times New Roman" w:eastAsia="Times New Roman" w:hAnsi="Times New Roman"/>
          <w:sz w:val="15"/>
          <w:szCs w:val="15"/>
        </w:rPr>
        <w:t xml:space="preserve">S. Mishra, T. S. M. Aldafas, and N. S. Alshammari, “A zero-trust digital twin framework for privacy-preserving multi-dataset intrusion detection in industrial IoT with lightweight blockchain auditing,” Sci. Rep., vol. 16, Art. no. 15236, 2026, </w:t>
      </w:r>
      <w:hyperlink w:history="1" r:id="rId9cusjegfqnwqsjkrfgk94">
        <w:r>
          <w:rPr>
            <w:rFonts w:ascii="Times New Roman" w:cs="Times New Roman" w:eastAsia="Times New Roman" w:hAnsi="Times New Roman"/>
            <w:color w:val="0563C1"/>
            <w:sz w:val="15"/>
            <w:szCs w:val="15"/>
            <w:u w:val="single"/>
          </w:rPr>
          <w:t xml:space="preserve">doi: 10.1038/s41598-026-42041-w.</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[21]	</w:t>
      </w:r>
      <w:r>
        <w:rPr>
          <w:rFonts w:ascii="Times New Roman" w:cs="Times New Roman" w:eastAsia="Times New Roman" w:hAnsi="Times New Roman"/>
          <w:sz w:val="15"/>
          <w:szCs w:val="15"/>
        </w:rPr>
        <w:t xml:space="preserve">Z. Zhai, J. Liu, X. Liu, Y. Mao, X. Zhang, J. Ma, and C. Jin, “A lightweight authentication method for Industrial Internet of Things based on blockchain and Chebyshev chaotic maps,” Future Internet, vol. 17, no. 8, Art. no. 338, 2025, </w:t>
      </w:r>
      <w:hyperlink w:history="1" r:id="rIdmqpivr2acx8i77cbesvqn">
        <w:r>
          <w:rPr>
            <w:rFonts w:ascii="Times New Roman" w:cs="Times New Roman" w:eastAsia="Times New Roman" w:hAnsi="Times New Roman"/>
            <w:color w:val="0563C1"/>
            <w:sz w:val="15"/>
            <w:szCs w:val="15"/>
            <w:u w:val="single"/>
          </w:rPr>
          <w:t xml:space="preserve">doi: 10.3390/fi17080338.</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[22]	</w:t>
      </w:r>
      <w:r>
        <w:rPr>
          <w:rFonts w:ascii="Times New Roman" w:cs="Times New Roman" w:eastAsia="Times New Roman" w:hAnsi="Times New Roman"/>
          <w:sz w:val="15"/>
          <w:szCs w:val="15"/>
        </w:rPr>
        <w:t xml:space="preserve">T. Ramírez-Gordillo, A. Maciá-Lillo, F. A. Pujol, N. García-D’Urso, J. Azorín-López, and H. Mora, “Decentralized identity management for Internet of Things (IoT) devices using IOTA blockchain technology,” Future Internet, vol. 17, no. 1, Art. no. 49, 2025, </w:t>
      </w:r>
      <w:hyperlink w:history="1" r:id="rIddnztb40sjcwolsl1wqaqq">
        <w:r>
          <w:rPr>
            <w:rFonts w:ascii="Times New Roman" w:cs="Times New Roman" w:eastAsia="Times New Roman" w:hAnsi="Times New Roman"/>
            <w:color w:val="0563C1"/>
            <w:sz w:val="15"/>
            <w:szCs w:val="15"/>
            <w:u w:val="single"/>
          </w:rPr>
          <w:t xml:space="preserve">doi: 10.3390/fi17010049.</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[23]	</w:t>
      </w:r>
      <w:r>
        <w:rPr>
          <w:rFonts w:ascii="Times New Roman" w:cs="Times New Roman" w:eastAsia="Times New Roman" w:hAnsi="Times New Roman"/>
          <w:sz w:val="15"/>
          <w:szCs w:val="15"/>
        </w:rPr>
        <w:t xml:space="preserve">S. I. R. Naqvi, Z. J. Bin, A. Mohsin, M. P. Akhter, and M. M. ur Rahman, “DBoT: Enhancing scalability and privacy in intelligent building spaces through a direct acyclic graph blockchain,” in Proc. 17th Int. Conf. Open Source Syst. Technol. (ICOSST), 2023, </w:t>
      </w:r>
      <w:hyperlink w:history="1" r:id="rIdngneldrvdwutgm4etxh_y">
        <w:r>
          <w:rPr>
            <w:rFonts w:ascii="Times New Roman" w:cs="Times New Roman" w:eastAsia="Times New Roman" w:hAnsi="Times New Roman"/>
            <w:color w:val="0563C1"/>
            <w:sz w:val="15"/>
            <w:szCs w:val="15"/>
            <w:u w:val="single"/>
          </w:rPr>
          <w:t xml:space="preserve">doi: 10.1109/ICOSST60641.2023.10414234.</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[24]	</w:t>
      </w:r>
      <w:r>
        <w:rPr>
          <w:rFonts w:ascii="Times New Roman" w:cs="Times New Roman" w:eastAsia="Times New Roman" w:hAnsi="Times New Roman"/>
          <w:sz w:val="15"/>
          <w:szCs w:val="15"/>
        </w:rPr>
        <w:t xml:space="preserve">R. Islam, R. Bose, S. Roy, A. A. Khan, S. Sutradhar, S. Das, F. Ali, and A. A. AlZubi, “Decentralized trust framework for smart cities: A blockchain-enabled cybersecurity and data integrity model,” Sci. Rep., vol. 15, Art. no. 23454, 2025, </w:t>
      </w:r>
      <w:hyperlink w:history="1" r:id="rIdidtucxdogsuopsrwfslwx">
        <w:r>
          <w:rPr>
            <w:rFonts w:ascii="Times New Roman" w:cs="Times New Roman" w:eastAsia="Times New Roman" w:hAnsi="Times New Roman"/>
            <w:color w:val="0563C1"/>
            <w:sz w:val="15"/>
            <w:szCs w:val="15"/>
            <w:u w:val="single"/>
          </w:rPr>
          <w:t xml:space="preserve">doi: 10.1038/s41598-025-06405-y.</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[25]	</w:t>
      </w:r>
      <w:r>
        <w:rPr>
          <w:rFonts w:ascii="Times New Roman" w:cs="Times New Roman" w:eastAsia="Times New Roman" w:hAnsi="Times New Roman"/>
          <w:sz w:val="15"/>
          <w:szCs w:val="15"/>
        </w:rPr>
        <w:t xml:space="preserve">P. Rani, “A zero-trust framework for securing next-generation Internet of Things network,” in New Trends and Applications in Internet of Things (IoT) and Big Data Analytics, vol. 2. Cham, Switzerland: Springer, 2026, pp. 213–225, </w:t>
      </w:r>
      <w:hyperlink w:history="1" r:id="rIdgtod0ynbg3_4mpdnhh0sx">
        <w:r>
          <w:rPr>
            <w:rFonts w:ascii="Times New Roman" w:cs="Times New Roman" w:eastAsia="Times New Roman" w:hAnsi="Times New Roman"/>
            <w:color w:val="0563C1"/>
            <w:sz w:val="15"/>
            <w:szCs w:val="15"/>
            <w:u w:val="single"/>
          </w:rPr>
          <w:t xml:space="preserve">doi: 10.1007/978-3-032-21753-0_12.</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[26]	</w:t>
      </w:r>
      <w:r>
        <w:rPr>
          <w:rFonts w:ascii="Times New Roman" w:cs="Times New Roman" w:eastAsia="Times New Roman" w:hAnsi="Times New Roman"/>
          <w:sz w:val="15"/>
          <w:szCs w:val="15"/>
        </w:rPr>
        <w:t xml:space="preserve">B. Chellaprabha, D. Manohari, and J. J. Justus, “Scalable and secure IoT architecture using trust-driven adaptive resource management and edge intelligence,” in Expert Applications and Security (NICE-TEAS 2025), Lecture Notes in Networks and Systems, vol. 1823. Cham, Switzerland: Springer, 2026, pp. 444–461, </w:t>
      </w:r>
      <w:hyperlink w:history="1" r:id="rIdghzvsygab7lommnr4mjbs">
        <w:r>
          <w:rPr>
            <w:rFonts w:ascii="Times New Roman" w:cs="Times New Roman" w:eastAsia="Times New Roman" w:hAnsi="Times New Roman"/>
            <w:color w:val="0563C1"/>
            <w:sz w:val="15"/>
            <w:szCs w:val="15"/>
            <w:u w:val="single"/>
          </w:rPr>
          <w:t xml:space="preserve">doi: 10.1007/978-3-032-20114-0_40.</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[27]	</w:t>
      </w:r>
      <w:r>
        <w:rPr>
          <w:rFonts w:ascii="Times New Roman" w:cs="Times New Roman" w:eastAsia="Times New Roman" w:hAnsi="Times New Roman"/>
          <w:sz w:val="15"/>
          <w:szCs w:val="15"/>
        </w:rPr>
        <w:t xml:space="preserve">K. Li et al., “Zero-trust foundation models: A new paradigm for secure and collaborative artificial intelligence for Internet of Things,” </w:t>
      </w:r>
      <w:hyperlink w:history="1" r:id="rId0u-riella5xddoexckbq-">
        <w:r>
          <w:rPr>
            <w:rFonts w:ascii="Times New Roman" w:cs="Times New Roman" w:eastAsia="Times New Roman" w:hAnsi="Times New Roman"/>
            <w:color w:val="0563C1"/>
            <w:sz w:val="15"/>
            <w:szCs w:val="15"/>
            <w:u w:val="single"/>
          </w:rPr>
          <w:t xml:space="preserve">arXiv:2505.23792, 2025.</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[28]	</w:t>
      </w:r>
      <w:r>
        <w:rPr>
          <w:rFonts w:ascii="Times New Roman" w:cs="Times New Roman" w:eastAsia="Times New Roman" w:hAnsi="Times New Roman"/>
          <w:sz w:val="15"/>
          <w:szCs w:val="15"/>
        </w:rPr>
        <w:t xml:space="preserve">S. Ghasemshirazi, G. Shirvani, and M. A. Alipour, “Zero trust: Applications, challenges, and opportunities,” </w:t>
      </w:r>
      <w:hyperlink w:history="1" r:id="rIde2un4bvh_-ptdikax0jhr">
        <w:r>
          <w:rPr>
            <w:rFonts w:ascii="Times New Roman" w:cs="Times New Roman" w:eastAsia="Times New Roman" w:hAnsi="Times New Roman"/>
            <w:color w:val="0563C1"/>
            <w:sz w:val="15"/>
            <w:szCs w:val="15"/>
            <w:u w:val="single"/>
          </w:rPr>
          <w:t xml:space="preserve">arXiv:2309.03582, 2023.</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[29]	</w:t>
      </w:r>
      <w:r>
        <w:rPr>
          <w:rFonts w:ascii="Times New Roman" w:cs="Times New Roman" w:eastAsia="Times New Roman" w:hAnsi="Times New Roman"/>
          <w:sz w:val="15"/>
          <w:szCs w:val="15"/>
        </w:rPr>
        <w:t xml:space="preserve">A. K. Peepliwal et al., “A prototype model of zero-trust architecture blockchain with EigenTrust-based practical Byzantine fault tolerance protocol to manage decentralized clinical trials,” </w:t>
      </w:r>
      <w:hyperlink w:history="1" r:id="rIdsi5xviv1z0_shklgdjxna">
        <w:r>
          <w:rPr>
            <w:rFonts w:ascii="Times New Roman" w:cs="Times New Roman" w:eastAsia="Times New Roman" w:hAnsi="Times New Roman"/>
            <w:color w:val="0563C1"/>
            <w:sz w:val="15"/>
            <w:szCs w:val="15"/>
            <w:u w:val="single"/>
          </w:rPr>
          <w:t xml:space="preserve">arXiv:2408.16885, 2024.</w:t>
        </w:r>
      </w:hyperlink>
    </w:p>
    <w:p>
      <w:pPr>
        <w:tabs>
          <w:tab w:val="left" w:pos="280"/>
        </w:tabs>
        <w:spacing w:after="20" w:line="200"/>
        <w:ind w:left="280" w:hanging="280"/>
        <w:jc w:val="left"/>
      </w:pPr>
      <w:r>
        <w:rPr>
          <w:rFonts w:ascii="Times New Roman" w:cs="Times New Roman" w:eastAsia="Times New Roman" w:hAnsi="Times New Roman"/>
          <w:sz w:val="15"/>
          <w:szCs w:val="15"/>
        </w:rPr>
        <w:t xml:space="preserve">[30]	</w:t>
      </w:r>
      <w:r>
        <w:rPr>
          <w:rFonts w:ascii="Times New Roman" w:cs="Times New Roman" w:eastAsia="Times New Roman" w:hAnsi="Times New Roman"/>
          <w:sz w:val="15"/>
          <w:szCs w:val="15"/>
        </w:rPr>
        <w:t xml:space="preserve">A. Kulkarni, N. A. Hazari, and M. Y. Niamat, “A zero trust-based framework employing blockchain technology and ring oscillator physical unclonable functions for security of field programmable gate array supply chain,” IEEE Access, vol. 12, pp. 89322–89338, 2024. [Online]. Available: </w:t>
      </w:r>
      <w:hyperlink w:history="1" r:id="rId-xwse-7e3k-smeesycmbl">
        <w:r>
          <w:rPr>
            <w:rFonts w:ascii="Times New Roman" w:cs="Times New Roman" w:eastAsia="Times New Roman" w:hAnsi="Times New Roman"/>
            <w:color w:val="0563C1"/>
            <w:sz w:val="15"/>
            <w:szCs w:val="15"/>
            <w:u w:val="single"/>
          </w:rPr>
          <w:t xml:space="preserve">https://scholars.utoledo.edu/display/pub-001262650600001</w:t>
        </w:r>
      </w:hyperlink>
    </w:p>
    <w:p>
      <w:pPr>
        <w:keepNext/>
        <w:spacing w:after="60" w:before="120"/>
        <w:jc w:val="center"/>
      </w:pPr>
      <w:r>
        <w:rPr>
          <w:rFonts w:ascii="Times New Roman" w:cs="Times New Roman" w:eastAsia="Times New Roman" w:hAnsi="Times New Roman"/>
          <w:sz w:val="18"/>
          <w:szCs w:val="18"/>
        </w:rPr>
        <w:t xml:space="preserve">AUTHOR BIOGRAPHIES</w:t>
      </w:r>
    </w:p>
    <w:p>
      <w:pPr>
        <w:spacing w:after="60" w:before="0" w:line="228"/>
        <w:jc w:val="both"/>
      </w:pPr>
      <w:r>
        <w:rPr>
          <w:rFonts w:ascii="Times New Roman" w:cs="Times New Roman" w:eastAsia="Times New Roman" w:hAnsi="Times New Roman"/>
          <w:b/>
          <w:bCs/>
          <w:sz w:val="20"/>
          <w:szCs w:val="20"/>
        </w:rPr>
        <w:t xml:space="preserve">[AUTHOR NAME]</w:t>
      </w:r>
      <w:r>
        <w:rPr>
          <w:rFonts w:ascii="Times New Roman" w:cs="Times New Roman" w:eastAsia="Times New Roman" w:hAnsi="Times New Roman"/>
          <w:sz w:val="20"/>
          <w:szCs w:val="20"/>
        </w:rPr>
        <w:t xml:space="preserve"> [Short biography, degrees, current position and research interests to be added; IEEE Access also requires a photo.]</w:t>
      </w:r>
    </w:p>
    <w:sectPr>
      <w:footerReference w:type="default" r:id="rId8"/>
      <w:type w:val="continuous"/>
      <w:pgSz w:w="12240" w:h="15840" w:orient="portrait"/>
      <w:pgMar w:top="1000" w:right="1080" w:bottom="1000" w:left="108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Times New Roman" w:cs="Times New Roman" w:eastAsia="Times New Roman" w:hAnsi="Times New Roman"/>
        <w:i/>
        <w:iCs/>
        <w:sz w:val="15"/>
        <w:szCs w:val="15"/>
      </w:rPr>
      <w:t xml:space="preserve">AUTHOR et al.: Blockchain-Assisted Zero-Trust Architecture for Secure and Scalable IIoT</w:t>
    </w:r>
    <w:r>
      <w:rPr>
        <w:rFonts w:ascii="Times New Roman" w:cs="Times New Roman" w:eastAsia="Times New Roman" w:hAnsi="Times New Roman"/>
        <w:sz w:val="15"/>
        <w:szCs w:val="15"/>
      </w:rPr>
      <w:t xml:space="preserve">	VOLUME XX, 2026  |  </w:t>
    </w:r>
    <w:r>
      <w:rPr>
        <w:rFonts w:ascii="Times New Roman" w:cs="Times New Roman" w:eastAsia="Times New Roman" w:hAnsi="Times New Roman"/>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Times New Roman" w:cs="Times New Roman" w:eastAsia="Times New Roman" w:hAnsi="Times New Roman"/>
        <w:i/>
        <w:iCs/>
        <w:sz w:val="15"/>
        <w:szCs w:val="15"/>
      </w:rPr>
      <w:t xml:space="preserve">AUTHOR et al.: Blockchain-Assisted Zero-Trust Architecture for Secure and Scalable IIoT</w:t>
    </w:r>
    <w:r>
      <w:rPr>
        <w:rFonts w:ascii="Times New Roman" w:cs="Times New Roman" w:eastAsia="Times New Roman" w:hAnsi="Times New Roman"/>
        <w:sz w:val="15"/>
        <w:szCs w:val="15"/>
      </w:rPr>
      <w:t xml:space="preserve">	VOLUME XX, 2026  |  </w:t>
    </w:r>
    <w:r>
      <w:rPr>
        <w:rFonts w:ascii="Times New Roman" w:cs="Times New Roman" w:eastAsia="Times New Roman" w:hAnsi="Times New Roman"/>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icx-huvpjufi5tqk7sh4q" Type="http://schemas.openxmlformats.org/officeDocument/2006/relationships/hyperlink" Target="https://doi.org/10.3390/electronics12030566" TargetMode="External"/><Relationship Id="rIdibn0dl74arzmlfkjoxdnn" Type="http://schemas.openxmlformats.org/officeDocument/2006/relationships/hyperlink" Target="https://doi.org/10.1016/j.adhoc.2024.103414" TargetMode="External"/><Relationship Id="rIduhkojayxekb_ultzzbf1l" Type="http://schemas.openxmlformats.org/officeDocument/2006/relationships/hyperlink" Target="https://doi.org/10.6028/NIST.SP.800-207" TargetMode="External"/><Relationship Id="rIde9algprg8khqhhrih5j91" Type="http://schemas.openxmlformats.org/officeDocument/2006/relationships/hyperlink" Target="https://doi.org/10.1007/s10922-025-09998-x" TargetMode="External"/><Relationship Id="rIdk3vy7yx5wvamef2n_9mrw" Type="http://schemas.openxmlformats.org/officeDocument/2006/relationships/hyperlink" Target="https://doi.org/10.3390/s25196118" TargetMode="External"/><Relationship Id="rIdzgqihlji6pzeeznajpcdd" Type="http://schemas.openxmlformats.org/officeDocument/2006/relationships/hyperlink" Target="https://doi.org/10.1016/j.iot.2024.101227" TargetMode="External"/><Relationship Id="rIdqcmx7yjfehgx-btogedez" Type="http://schemas.openxmlformats.org/officeDocument/2006/relationships/hyperlink" Target="https://doi.org/10.3390/s26082392" TargetMode="External"/><Relationship Id="rId6x8cjcekifgluo9nouswi" Type="http://schemas.openxmlformats.org/officeDocument/2006/relationships/hyperlink" Target="https://doi.org/10.1016/j.future.2026.108753" TargetMode="External"/><Relationship Id="rIdntqs5mysjmfveq9sacafr" Type="http://schemas.openxmlformats.org/officeDocument/2006/relationships/hyperlink" Target="https://doi.org/10.1016/j.csi.2024.103832" TargetMode="External"/><Relationship Id="rIdta8knhxr_hfyx0r038ikw" Type="http://schemas.openxmlformats.org/officeDocument/2006/relationships/hyperlink" Target="https://doi.org/10.1007/s10207-025-01030-2" TargetMode="External"/><Relationship Id="rIdfnjlcbh14uwj5odm-tpoz" Type="http://schemas.openxmlformats.org/officeDocument/2006/relationships/hyperlink" Target="https://doi.org/10.1109/ACCESS.2025.3529309" TargetMode="External"/><Relationship Id="rIdgtyjzbvlf0rfxbpghdbuq" Type="http://schemas.openxmlformats.org/officeDocument/2006/relationships/hyperlink" Target="https://doi.org/10.3390/s25020550" TargetMode="External"/><Relationship Id="rIdptbbhgj81zcs5ntdufj0e" Type="http://schemas.openxmlformats.org/officeDocument/2006/relationships/hyperlink" Target="https://doi.org/10.3389/fbloc.2025.1693926" TargetMode="External"/><Relationship Id="rIddnpi9y7-z4a8owwwjnt09" Type="http://schemas.openxmlformats.org/officeDocument/2006/relationships/hyperlink" Target="https://doi.org/10.3390/app15126835" TargetMode="External"/><Relationship Id="rId42uvuso2cn86sbnzhboaf" Type="http://schemas.openxmlformats.org/officeDocument/2006/relationships/hyperlink" Target="https://doi.org/10.1109/TSUSC.2025.3542466" TargetMode="External"/><Relationship Id="rIdndxh7yf66de8xd3ubdpvg" Type="http://schemas.openxmlformats.org/officeDocument/2006/relationships/hyperlink" Target="https://doi.org/10.1016/j.aej.2024.12.109" TargetMode="External"/><Relationship Id="rIdr2_c2m3257k8oihprmdct" Type="http://schemas.openxmlformats.org/officeDocument/2006/relationships/hyperlink" Target="https://arxiv.org/abs/2507.19976" TargetMode="External"/><Relationship Id="rIdcmtyrckc1kynhrebw_yp5" Type="http://schemas.openxmlformats.org/officeDocument/2006/relationships/hyperlink" Target="https://doi.org/10.1016/j.future.2025.108093" TargetMode="External"/><Relationship Id="rIdy5qx00krwizyhxvz2qnkd" Type="http://schemas.openxmlformats.org/officeDocument/2006/relationships/hyperlink" Target="https://doi.org/10.1371/journal.pone.0323241" TargetMode="External"/><Relationship Id="rId9cusjegfqnwqsjkrfgk94" Type="http://schemas.openxmlformats.org/officeDocument/2006/relationships/hyperlink" Target="https://doi.org/10.1038/s41598-026-42041-w" TargetMode="External"/><Relationship Id="rIdmqpivr2acx8i77cbesvqn" Type="http://schemas.openxmlformats.org/officeDocument/2006/relationships/hyperlink" Target="https://doi.org/10.3390/fi17080338" TargetMode="External"/><Relationship Id="rIddnztb40sjcwolsl1wqaqq" Type="http://schemas.openxmlformats.org/officeDocument/2006/relationships/hyperlink" Target="https://doi.org/10.3390/fi17010049" TargetMode="External"/><Relationship Id="rIdngneldrvdwutgm4etxh_y" Type="http://schemas.openxmlformats.org/officeDocument/2006/relationships/hyperlink" Target="https://doi.org/10.1109/ICOSST60641.2023.10414234" TargetMode="External"/><Relationship Id="rIdidtucxdogsuopsrwfslwx" Type="http://schemas.openxmlformats.org/officeDocument/2006/relationships/hyperlink" Target="https://doi.org/10.1038/s41598-025-06405-y" TargetMode="External"/><Relationship Id="rIdgtod0ynbg3_4mpdnhh0sx" Type="http://schemas.openxmlformats.org/officeDocument/2006/relationships/hyperlink" Target="https://doi.org/10.1007/978-3-032-21753-0_12" TargetMode="External"/><Relationship Id="rIdghzvsygab7lommnr4mjbs" Type="http://schemas.openxmlformats.org/officeDocument/2006/relationships/hyperlink" Target="https://doi.org/10.1007/978-3-032-20114-0_40" TargetMode="External"/><Relationship Id="rId0u-riella5xddoexckbq-" Type="http://schemas.openxmlformats.org/officeDocument/2006/relationships/hyperlink" Target="https://arxiv.org/abs/2505.23792" TargetMode="External"/><Relationship Id="rIde2un4bvh_-ptdikax0jhr" Type="http://schemas.openxmlformats.org/officeDocument/2006/relationships/hyperlink" Target="https://arxiv.org/abs/2309.03582" TargetMode="External"/><Relationship Id="rIdsi5xviv1z0_shklgdjxna" Type="http://schemas.openxmlformats.org/officeDocument/2006/relationships/hyperlink" Target="https://arxiv.org/abs/2408.16885" TargetMode="External"/><Relationship Id="rId-xwse-7e3k-smeesycmbl" Type="http://schemas.openxmlformats.org/officeDocument/2006/relationships/hyperlink" Target="https://scholars.utoledo.edu/display/pub-001262650600001" TargetMode="External"/><Relationship Id="rId9" Type="http://schemas.openxmlformats.org/officeDocument/2006/relationships/image" Target="media/4ae30d7223bdae3078d894ef8ecd41678d0bec10.png"/><Relationship Id="rId10" Type="http://schemas.openxmlformats.org/officeDocument/2006/relationships/image" Target="media/71140bd44d835bf7e13b4ecb3281d4e84df3e6f8.png"/><Relationship Id="rId11" Type="http://schemas.openxmlformats.org/officeDocument/2006/relationships/image" Target="media/e355428d5100d616c471485af3c0d6c3fcdd4f35.png"/><Relationship Id="rId12" Type="http://schemas.openxmlformats.org/officeDocument/2006/relationships/image" Target="media/788a893d402b3cf6fad09d0c933711c6742643c0.png"/><Relationship Id="rId13" Type="http://schemas.openxmlformats.org/officeDocument/2006/relationships/image" Target="media/cc7bf6c1aaca64d1a8377798d9afae13b6463a78.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Blockchain-Assisted Zero-Trust Architecture for Secure and Scalable IIoT</dc:title>
  <dc:creator>Author</dc:creator>
  <cp:lastModifiedBy>Un-named</cp:lastModifiedBy>
  <cp:revision>1</cp:revision>
  <dcterms:created xsi:type="dcterms:W3CDTF">2026-10-07T18:52:02.318Z</dcterms:created>
  <dcterms:modified xsi:type="dcterms:W3CDTF">2026-10-07T18:52:02.318Z</dcterms:modified>
</cp:coreProperties>
</file>

<file path=docProps/custom.xml><?xml version="1.0" encoding="utf-8"?>
<Properties xmlns="http://schemas.openxmlformats.org/officeDocument/2006/custom-properties" xmlns:vt="http://schemas.openxmlformats.org/officeDocument/2006/docPropsVTypes"/>
</file>