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24"/>
        </w:rPr>
        <w:t>KEMENTERIAN KOMUNIKASI DAN DIGITAL REPUBLIK INDONESIA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INSPEKTORAT JENDERAL — INSPEKTORAT II</w:t>
      </w:r>
    </w:p>
    <w:p/>
    <w:p>
      <w:pPr>
        <w:jc w:val="center"/>
      </w:pPr>
      <w:r>
        <w:rPr>
          <w:rFonts w:ascii="Arial" w:hAnsi="Arial"/>
          <w:b/>
          <w:sz w:val="28"/>
          <w:u w:val="single"/>
        </w:rPr>
        <w:t>MEMO KONSULTASI PENGADAAN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Nomor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{{NOMOR_MEMO}}</w:t>
            </w:r>
          </w:p>
        </w:tc>
      </w:tr>
      <w:tr>
        <w:tc>
          <w:tcPr>
            <w:tcW w:type="dxa" w:w="3230"/>
          </w:tcPr>
          <w:p>
            <w:r>
              <w:t>Perihal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{{HAL_LHR}}</w:t>
            </w:r>
          </w:p>
        </w:tc>
      </w:tr>
      <w:tr>
        <w:tc>
          <w:tcPr>
            <w:tcW w:type="dxa" w:w="3230"/>
          </w:tcPr>
          <w:p>
            <w:r>
              <w:t>Kepada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{{PENERIMA_LHP}}</w:t>
            </w:r>
          </w:p>
        </w:tc>
      </w:tr>
      <w:tr>
        <w:tc>
          <w:tcPr>
            <w:tcW w:type="dxa" w:w="3230"/>
          </w:tcPr>
          <w:p>
            <w:r>
              <w:t>Dari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Inspektorat II — Inspektorat Jenderal Kementerian Komunikasi dan Digital</w:t>
            </w:r>
          </w:p>
        </w:tc>
      </w:tr>
      <w:tr>
        <w:tc>
          <w:tcPr>
            <w:tcW w:type="dxa" w:w="3230"/>
          </w:tcPr>
          <w:p>
            <w:r>
              <w:t>Tanggal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{{TANGGAL_NOTA_DINAS}}</w:t>
            </w:r>
          </w:p>
        </w:tc>
      </w:tr>
      <w:tr>
        <w:tc>
          <w:tcPr>
            <w:tcW w:type="dxa" w:w="3230"/>
          </w:tcPr>
          <w:p>
            <w:r>
              <w:t>Surat Tugas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{{NOMOR_ST}} tanggal {{TANGGAL_ST}}</w:t>
            </w:r>
          </w:p>
        </w:tc>
      </w:tr>
    </w:tbl>
    <w:p/>
    <w:p>
      <w:r>
        <w:rPr>
          <w:rFonts w:ascii="Arial" w:hAnsi="Arial"/>
          <w:b/>
          <w:i w:val="0"/>
          <w:sz w:val="24"/>
        </w:rPr>
        <w:t>I. PERTANYAAN / PERMASALAHAN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{{PERTANYAAN_KONSULTASI}}</w:t>
      </w:r>
    </w:p>
    <w:p/>
    <w:p>
      <w:r>
        <w:rPr>
          <w:rFonts w:ascii="Arial" w:hAnsi="Arial"/>
          <w:b/>
          <w:i w:val="0"/>
          <w:sz w:val="24"/>
        </w:rPr>
        <w:t>II. DASAR HUKUM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{{DASAR_HUKUM_LIST}}</w:t>
      </w:r>
    </w:p>
    <w:p/>
    <w:p>
      <w:r>
        <w:rPr>
          <w:rFonts w:ascii="Arial" w:hAnsi="Arial"/>
          <w:b/>
          <w:i w:val="0"/>
          <w:sz w:val="24"/>
        </w:rPr>
        <w:t>III. ANALISIS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{{ANALISIS_KONSULTASI}}</w:t>
      </w:r>
    </w:p>
    <w:p/>
    <w:p>
      <w:r>
        <w:rPr>
          <w:rFonts w:ascii="Arial" w:hAnsi="Arial"/>
          <w:b/>
          <w:i w:val="0"/>
          <w:sz w:val="24"/>
        </w:rPr>
        <w:t>IV. KESIMPULAN DAN REKOMENDASI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{{SIMPULAN_REVIU}}</w:t>
      </w:r>
    </w:p>
    <w:p/>
    <w:p>
      <w:r>
        <w:rPr>
          <w:rFonts w:ascii="Arial" w:hAnsi="Arial"/>
          <w:b/>
          <w:i w:val="0"/>
          <w:sz w:val="24"/>
        </w:rPr>
        <w:t>V. CATATAN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Memo konsultasi ini bersifat advisory dan tidak mengikat secara hukum. Pelaksanaan keputusan akhir tetap menjadi tanggung jawab Pejabat Pembuat Komitmen / Unit Kerja yang mengajukan pertanyaan.</w:t>
      </w:r>
    </w:p>
    <w:p/>
    <w:p>
      <w:pPr>
        <w:jc w:val="right"/>
      </w:pPr>
      <w:r>
        <w:rPr>
          <w:rFonts w:ascii="Arial" w:hAnsi="Arial"/>
          <w:b w:val="0"/>
          <w:i w:val="0"/>
          <w:sz w:val="22"/>
        </w:rPr>
        <w:t>Inspektur II,</w:t>
      </w:r>
    </w:p>
    <w:p/>
    <w:p/>
    <w:p/>
    <w:p/>
    <w:p>
      <w:pPr>
        <w:jc w:val="right"/>
      </w:pPr>
      <w:r>
        <w:rPr>
          <w:rFonts w:ascii="Arial" w:hAnsi="Arial"/>
          <w:b w:val="0"/>
          <w:i/>
          <w:sz w:val="22"/>
        </w:rPr>
        <w:t>{{TTD_INSPEKTUR}}</w:t>
      </w:r>
    </w:p>
    <w:p>
      <w:pPr>
        <w:jc w:val="right"/>
      </w:pPr>
      <w:r>
        <w:rPr>
          <w:rFonts w:ascii="Arial" w:hAnsi="Arial"/>
          <w:b/>
          <w:i w:val="0"/>
          <w:sz w:val="22"/>
        </w:rPr>
        <w:t>{{NAMA_INSPEKTUR}}</w:t>
      </w:r>
    </w:p>
    <w:p>
      <w:pPr>
        <w:jc w:val="right"/>
      </w:pPr>
      <w:r>
        <w:rPr>
          <w:rFonts w:ascii="Arial" w:hAnsi="Arial"/>
          <w:b w:val="0"/>
          <w:i w:val="0"/>
          <w:sz w:val="22"/>
        </w:rPr>
        <w:t>NIP. {{NIP_INSPEKTUR}}</w:t>
      </w:r>
    </w:p>
    <w:p/>
    <w:p>
      <w:r>
        <w:rPr>
          <w:rFonts w:ascii="Arial" w:hAnsi="Arial"/>
          <w:b/>
          <w:i w:val="0"/>
          <w:sz w:val="20"/>
        </w:rPr>
        <w:t>Tembusan:</w:t>
      </w:r>
    </w:p>
    <w:p>
      <w:r>
        <w:rPr>
          <w:rFonts w:ascii="Arial" w:hAnsi="Arial"/>
          <w:b w:val="0"/>
          <w:i w:val="0"/>
          <w:sz w:val="20"/>
        </w:rPr>
        <w:t>{{TEMBUSAN_LIST}}</w:t>
      </w:r>
    </w:p>
    <w:sectPr w:rsidR="00FC693F" w:rsidRPr="0006063C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