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00"/>
      </w:pPr>
      <w:r>
        <w:rPr>
          <w:rFonts w:ascii="Arial" w:hAnsi="Arial"/>
          <w:color w:val="1F3A5F"/>
          <w:sz w:val="48"/>
        </w:rPr>
        <w:t>Market Analysis — Kuala Lumpur Short-Term Rental Market</w:t>
      </w:r>
    </w:p>
    <w:p>
      <w:pPr>
        <w:spacing w:after="140" w:line="276" w:lineRule="auto"/>
      </w:pPr>
      <w:r>
        <w:rPr>
          <w:b w:val="0"/>
          <w:i w:val="0"/>
          <w:sz w:val="21"/>
        </w:rPr>
        <w:t>Recorded output of the Market Intelligence Agent – Kuala Lumpur, run against the Quick Space "Market Intelligence – Kuala Lumpur" on 21 October 2026. The agent had, at the time of the run, exactly one knowledge source: that Space. This document preserves the agent's analysis; the interpretation and recommendation sit in the Market Intelligence Brief.</w:t>
      </w:r>
    </w:p>
    <w:p>
      <w:pPr>
        <w:pStyle w:val="Heading1"/>
        <w:keepNext/>
        <w:spacing w:before="360" w:after="140"/>
      </w:pPr>
      <w:r>
        <w:rPr>
          <w:rFonts w:ascii="Arial" w:hAnsi="Arial"/>
          <w:color w:val="1F3A5F"/>
          <w:sz w:val="30"/>
        </w:rPr>
        <w:t>Research objective</w:t>
      </w:r>
    </w:p>
    <w:p>
      <w:pPr>
        <w:spacing w:after="140" w:line="276" w:lineRule="auto"/>
      </w:pPr>
      <w:r>
        <w:rPr>
          <w:b w:val="0"/>
          <w:i w:val="0"/>
          <w:sz w:val="21"/>
        </w:rPr>
        <w:t>Characterise the competitive structure, key trends, opportunities and risks of the Kuala Lumpur short-term rental market by triangulating the 303-listing AirROI sample (trailing twelve months to ~Q1 2026) against the external evidence base covering 2025–2026.</w:t>
      </w:r>
    </w:p>
    <w:p>
      <w:pPr>
        <w:spacing w:after="140" w:line="276" w:lineRule="auto"/>
      </w:pPr>
      <w:r>
        <w:rPr>
          <w:b w:val="0"/>
          <w:i w:val="0"/>
          <w:sz w:val="21"/>
        </w:rPr>
        <w:t>Out of scope: absolute market sizing, market share, and forward revenue forecasting.</w:t>
      </w:r>
    </w:p>
    <w:p>
      <w:pPr>
        <w:pStyle w:val="Heading1"/>
        <w:keepNext/>
        <w:spacing w:before="360" w:after="140"/>
      </w:pPr>
      <w:r>
        <w:rPr>
          <w:rFonts w:ascii="Arial" w:hAnsi="Arial"/>
          <w:color w:val="1F3A5F"/>
          <w:sz w:val="30"/>
        </w:rPr>
        <w:t>1. Competitive landscape</w:t>
      </w:r>
    </w:p>
    <w:p>
      <w:pPr>
        <w:pStyle w:val="Heading2"/>
        <w:keepNext/>
        <w:spacing w:before="260" w:after="100"/>
      </w:pPr>
      <w:r>
        <w:rPr>
          <w:rFonts w:ascii="Arial" w:hAnsi="Arial"/>
          <w:color w:val="1F3A5F"/>
          <w:sz w:val="23"/>
        </w:rPr>
        <w:t>Host portfolio bands (dataset, n = 298 with portfolio data)</w:t>
      </w:r>
    </w:p>
    <w:tbl>
      <w:tblPr>
        <w:tblStyle w:val="LightGrid-Accent1"/>
        <w:tblW w:type="auto" w:w="0"/>
        <w:jc w:val="center"/>
        <w:tblLayout w:type="autofit"/>
        <w:tblLook w:firstColumn="1" w:firstRow="1" w:lastColumn="0" w:lastRow="0" w:noHBand="0" w:noVBand="1" w:val="04A0"/>
      </w:tblPr>
      <w:tblGrid>
        <w:gridCol w:w="2010"/>
        <w:gridCol w:w="2010"/>
        <w:gridCol w:w="2010"/>
        <w:gridCol w:w="2010"/>
        <w:gridCol w:w="2010"/>
      </w:tblGrid>
      <w:tr>
        <w:tc>
          <w:tcPr>
            <w:tcW w:type="dxa" w:w="2010"/>
          </w:tcPr>
          <w:p>
            <w:r/>
            <w:r>
              <w:rPr>
                <w:b/>
                <w:sz w:val="17"/>
              </w:rPr>
              <w:t>Band</w:t>
            </w:r>
          </w:p>
        </w:tc>
        <w:tc>
          <w:tcPr>
            <w:tcW w:type="dxa" w:w="2010"/>
          </w:tcPr>
          <w:p>
            <w:r/>
            <w:r>
              <w:rPr>
                <w:b/>
                <w:sz w:val="17"/>
              </w:rPr>
              <w:t>Listings</w:t>
            </w:r>
          </w:p>
        </w:tc>
        <w:tc>
          <w:tcPr>
            <w:tcW w:type="dxa" w:w="2010"/>
          </w:tcPr>
          <w:p>
            <w:r/>
            <w:r>
              <w:rPr>
                <w:b/>
                <w:sz w:val="17"/>
              </w:rPr>
              <w:t>Share of sample</w:t>
            </w:r>
          </w:p>
        </w:tc>
        <w:tc>
          <w:tcPr>
            <w:tcW w:type="dxa" w:w="2010"/>
          </w:tcPr>
          <w:p>
            <w:r/>
            <w:r>
              <w:rPr>
                <w:b/>
                <w:sz w:val="17"/>
              </w:rPr>
              <w:t>Median ADR</w:t>
            </w:r>
          </w:p>
        </w:tc>
        <w:tc>
          <w:tcPr>
            <w:tcW w:type="dxa" w:w="2010"/>
          </w:tcPr>
          <w:p>
            <w:r/>
            <w:r>
              <w:rPr>
                <w:b/>
                <w:sz w:val="17"/>
              </w:rPr>
              <w:t>Median occupancy</w:t>
            </w:r>
          </w:p>
        </w:tc>
      </w:tr>
      <w:tr>
        <w:tc>
          <w:tcPr>
            <w:tcW w:type="dxa" w:w="2010"/>
          </w:tcPr>
          <w:p>
            <w:r/>
            <w:r>
              <w:rPr>
                <w:sz w:val="17"/>
              </w:rPr>
              <w:t>Casual (1 listing)</w:t>
            </w:r>
          </w:p>
        </w:tc>
        <w:tc>
          <w:tcPr>
            <w:tcW w:type="dxa" w:w="2010"/>
          </w:tcPr>
          <w:p>
            <w:r/>
            <w:r>
              <w:rPr>
                <w:sz w:val="17"/>
              </w:rPr>
              <w:t>158</w:t>
            </w:r>
          </w:p>
        </w:tc>
        <w:tc>
          <w:tcPr>
            <w:tcW w:type="dxa" w:w="2010"/>
          </w:tcPr>
          <w:p>
            <w:r/>
            <w:r>
              <w:rPr>
                <w:sz w:val="17"/>
              </w:rPr>
              <w:t>52%</w:t>
            </w:r>
          </w:p>
        </w:tc>
        <w:tc>
          <w:tcPr>
            <w:tcW w:type="dxa" w:w="2010"/>
          </w:tcPr>
          <w:p>
            <w:r/>
            <w:r>
              <w:rPr>
                <w:sz w:val="17"/>
              </w:rPr>
              <w:t>USD 43.85</w:t>
            </w:r>
          </w:p>
        </w:tc>
        <w:tc>
          <w:tcPr>
            <w:tcW w:type="dxa" w:w="2010"/>
          </w:tcPr>
          <w:p>
            <w:r/>
            <w:r>
              <w:rPr>
                <w:sz w:val="17"/>
              </w:rPr>
              <w:t>20.2%</w:t>
            </w:r>
          </w:p>
        </w:tc>
      </w:tr>
      <w:tr>
        <w:tc>
          <w:tcPr>
            <w:tcW w:type="dxa" w:w="2010"/>
          </w:tcPr>
          <w:p>
            <w:r/>
            <w:r>
              <w:rPr>
                <w:sz w:val="17"/>
              </w:rPr>
              <w:t>Small (2 listings)</w:t>
            </w:r>
          </w:p>
        </w:tc>
        <w:tc>
          <w:tcPr>
            <w:tcW w:type="dxa" w:w="2010"/>
          </w:tcPr>
          <w:p>
            <w:r/>
            <w:r>
              <w:rPr>
                <w:sz w:val="17"/>
              </w:rPr>
              <w:t>52</w:t>
            </w:r>
          </w:p>
        </w:tc>
        <w:tc>
          <w:tcPr>
            <w:tcW w:type="dxa" w:w="2010"/>
          </w:tcPr>
          <w:p>
            <w:r/>
            <w:r>
              <w:rPr>
                <w:sz w:val="17"/>
              </w:rPr>
              <w:t>17%</w:t>
            </w:r>
          </w:p>
        </w:tc>
        <w:tc>
          <w:tcPr>
            <w:tcW w:type="dxa" w:w="2010"/>
          </w:tcPr>
          <w:p>
            <w:r/>
            <w:r>
              <w:rPr>
                <w:sz w:val="17"/>
              </w:rPr>
              <w:t>USD 47.30</w:t>
            </w:r>
          </w:p>
        </w:tc>
        <w:tc>
          <w:tcPr>
            <w:tcW w:type="dxa" w:w="2010"/>
          </w:tcPr>
          <w:p>
            <w:r/>
            <w:r>
              <w:rPr>
                <w:sz w:val="17"/>
              </w:rPr>
              <w:t>17.0%</w:t>
            </w:r>
          </w:p>
        </w:tc>
      </w:tr>
      <w:tr>
        <w:tc>
          <w:tcPr>
            <w:tcW w:type="dxa" w:w="2010"/>
          </w:tcPr>
          <w:p>
            <w:r/>
            <w:r>
              <w:rPr>
                <w:sz w:val="17"/>
              </w:rPr>
              <w:t>Mid (3–4 listings)</w:t>
            </w:r>
          </w:p>
        </w:tc>
        <w:tc>
          <w:tcPr>
            <w:tcW w:type="dxa" w:w="2010"/>
          </w:tcPr>
          <w:p>
            <w:r/>
            <w:r>
              <w:rPr>
                <w:sz w:val="17"/>
              </w:rPr>
              <w:t>35</w:t>
            </w:r>
          </w:p>
        </w:tc>
        <w:tc>
          <w:tcPr>
            <w:tcW w:type="dxa" w:w="2010"/>
          </w:tcPr>
          <w:p>
            <w:r/>
            <w:r>
              <w:rPr>
                <w:sz w:val="17"/>
              </w:rPr>
              <w:t>12%</w:t>
            </w:r>
          </w:p>
        </w:tc>
        <w:tc>
          <w:tcPr>
            <w:tcW w:type="dxa" w:w="2010"/>
          </w:tcPr>
          <w:p>
            <w:r/>
            <w:r>
              <w:rPr>
                <w:sz w:val="17"/>
              </w:rPr>
              <w:t>USD 43.50</w:t>
            </w:r>
          </w:p>
        </w:tc>
        <w:tc>
          <w:tcPr>
            <w:tcW w:type="dxa" w:w="2010"/>
          </w:tcPr>
          <w:p>
            <w:r/>
            <w:r>
              <w:rPr>
                <w:sz w:val="17"/>
              </w:rPr>
              <w:t>20.0%</w:t>
            </w:r>
          </w:p>
        </w:tc>
      </w:tr>
      <w:tr>
        <w:tc>
          <w:tcPr>
            <w:tcW w:type="dxa" w:w="2010"/>
          </w:tcPr>
          <w:p>
            <w:r/>
            <w:r>
              <w:rPr>
                <w:sz w:val="17"/>
              </w:rPr>
              <w:t>Professional (5+ listings)</w:t>
            </w:r>
          </w:p>
        </w:tc>
        <w:tc>
          <w:tcPr>
            <w:tcW w:type="dxa" w:w="2010"/>
          </w:tcPr>
          <w:p>
            <w:r/>
            <w:r>
              <w:rPr>
                <w:sz w:val="17"/>
              </w:rPr>
              <w:t>53</w:t>
            </w:r>
          </w:p>
        </w:tc>
        <w:tc>
          <w:tcPr>
            <w:tcW w:type="dxa" w:w="2010"/>
          </w:tcPr>
          <w:p>
            <w:r/>
            <w:r>
              <w:rPr>
                <w:sz w:val="17"/>
              </w:rPr>
              <w:t>18%</w:t>
            </w:r>
          </w:p>
        </w:tc>
        <w:tc>
          <w:tcPr>
            <w:tcW w:type="dxa" w:w="2010"/>
          </w:tcPr>
          <w:p>
            <w:r/>
            <w:r>
              <w:rPr>
                <w:sz w:val="17"/>
              </w:rPr>
              <w:t>USD 57.50</w:t>
            </w:r>
          </w:p>
        </w:tc>
        <w:tc>
          <w:tcPr>
            <w:tcW w:type="dxa" w:w="2010"/>
          </w:tcPr>
          <w:p>
            <w:r/>
            <w:r>
              <w:rPr>
                <w:sz w:val="17"/>
              </w:rPr>
              <w:t>19.2%</w:t>
            </w:r>
          </w:p>
        </w:tc>
      </w:tr>
    </w:tbl>
    <w:p>
      <w:pPr>
        <w:spacing w:after="80"/>
      </w:pPr>
    </w:p>
    <w:p>
      <w:pPr>
        <w:spacing w:after="140" w:line="276" w:lineRule="auto"/>
      </w:pPr>
      <w:r>
        <w:rPr>
          <w:b w:val="0"/>
          <w:i w:val="0"/>
          <w:sz w:val="21"/>
        </w:rPr>
        <w:t>Single-listing hosts dominate the sample numerically. Professional hosts command a 31% ADR premium over casual hosts without materially higher occupancy. Portfolio counts are truncated by the ~300-listing sample cap, so the professional share is a floor, not a ceiling.</w:t>
      </w:r>
    </w:p>
    <w:p>
      <w:pPr>
        <w:pStyle w:val="Heading2"/>
        <w:keepNext/>
        <w:spacing w:before="260" w:after="100"/>
      </w:pPr>
      <w:r>
        <w:rPr>
          <w:rFonts w:ascii="Arial" w:hAnsi="Arial"/>
          <w:color w:val="1F3A5F"/>
          <w:sz w:val="23"/>
        </w:rPr>
        <w:t>Product types (dataset)</w:t>
      </w:r>
    </w:p>
    <w:p>
      <w:pPr>
        <w:tabs>
          <w:tab w:pos="403" w:val="left"/>
        </w:tabs>
        <w:spacing w:after="100" w:line="276" w:lineRule="auto"/>
        <w:ind w:left="403" w:hanging="274"/>
      </w:pPr>
      <w:r>
        <w:rPr>
          <w:rFonts w:ascii="Arial" w:hAnsi="Arial"/>
          <w:sz w:val="21"/>
        </w:rPr>
        <w:t>•</w:t>
        <w:tab/>
      </w:r>
      <w:r>
        <w:rPr>
          <w:b w:val="0"/>
          <w:i w:val="0"/>
          <w:sz w:val="21"/>
        </w:rPr>
        <w:t>Entire-home listings: 254 of 303 listings (84%), median ADR USD 49.25, median occupancy 20.4%.</w:t>
      </w:r>
    </w:p>
    <w:p>
      <w:pPr>
        <w:tabs>
          <w:tab w:pos="403" w:val="left"/>
        </w:tabs>
        <w:spacing w:after="100" w:line="276" w:lineRule="auto"/>
        <w:ind w:left="403" w:hanging="274"/>
      </w:pPr>
      <w:r>
        <w:rPr>
          <w:rFonts w:ascii="Arial" w:hAnsi="Arial"/>
          <w:sz w:val="21"/>
        </w:rPr>
        <w:t>•</w:t>
        <w:tab/>
      </w:r>
      <w:r>
        <w:rPr>
          <w:b w:val="0"/>
          <w:i w:val="0"/>
          <w:sz w:val="21"/>
        </w:rPr>
        <w:t>Within entire-home, condos (n = 100, ADR USD 45.40, occupancy 21.8%) and rental units (n = 97, ADR USD 46.00, occupancy 18.9%) make up 78% of supply.</w:t>
      </w:r>
    </w:p>
    <w:p>
      <w:pPr>
        <w:tabs>
          <w:tab w:pos="403" w:val="left"/>
        </w:tabs>
        <w:spacing w:after="100" w:line="276" w:lineRule="auto"/>
        <w:ind w:left="403" w:hanging="274"/>
      </w:pPr>
      <w:r>
        <w:rPr>
          <w:rFonts w:ascii="Arial" w:hAnsi="Arial"/>
          <w:sz w:val="21"/>
        </w:rPr>
        <w:t>•</w:t>
        <w:tab/>
      </w:r>
      <w:r>
        <w:rPr>
          <w:b w:val="0"/>
          <w:i w:val="0"/>
          <w:sz w:val="21"/>
        </w:rPr>
        <w:t>Serviced apartments (n = 37): median ADR USD 60.10 but occupancy 15.9% — the highest rate in the sample paired with the weakest conversion.</w:t>
      </w:r>
    </w:p>
    <w:p>
      <w:pPr>
        <w:tabs>
          <w:tab w:pos="403" w:val="left"/>
        </w:tabs>
        <w:spacing w:after="100" w:line="276" w:lineRule="auto"/>
        <w:ind w:left="403" w:hanging="274"/>
      </w:pPr>
      <w:r>
        <w:rPr>
          <w:rFonts w:ascii="Arial" w:hAnsi="Arial"/>
          <w:sz w:val="21"/>
        </w:rPr>
        <w:t>•</w:t>
        <w:tab/>
      </w:r>
      <w:r>
        <w:rPr>
          <w:b w:val="0"/>
          <w:i w:val="0"/>
          <w:sz w:val="21"/>
        </w:rPr>
        <w:t>Private rooms (n = 32): median ADR USD 21.45, occupancy 17.6%.</w:t>
      </w:r>
    </w:p>
    <w:p>
      <w:pPr>
        <w:tabs>
          <w:tab w:pos="403" w:val="left"/>
        </w:tabs>
        <w:spacing w:after="100" w:line="276" w:lineRule="auto"/>
        <w:ind w:left="403" w:hanging="274"/>
      </w:pPr>
      <w:r>
        <w:rPr>
          <w:rFonts w:ascii="Arial" w:hAnsi="Arial"/>
          <w:sz w:val="21"/>
        </w:rPr>
        <w:t>•</w:t>
        <w:tab/>
      </w:r>
      <w:r>
        <w:rPr>
          <w:b w:val="0"/>
          <w:i w:val="0"/>
          <w:sz w:val="21"/>
        </w:rPr>
        <w:t>Hotel rooms (n = 12): too small a sample to support any conclusion.</w:t>
      </w:r>
    </w:p>
    <w:p>
      <w:pPr>
        <w:pStyle w:val="Heading2"/>
        <w:keepNext/>
        <w:spacing w:before="260" w:after="100"/>
      </w:pPr>
      <w:r>
        <w:rPr>
          <w:rFonts w:ascii="Arial" w:hAnsi="Arial"/>
          <w:color w:val="1F3A5F"/>
          <w:sz w:val="23"/>
        </w:rPr>
        <w:t>Kuala Lumpur against 18 Asia-Pacific peers (dataset, ~300 listings per city)</w:t>
      </w:r>
    </w:p>
    <w:p>
      <w:pPr>
        <w:spacing w:after="140" w:line="276" w:lineRule="auto"/>
      </w:pPr>
      <w:r>
        <w:rPr>
          <w:b w:val="0"/>
          <w:i w:val="0"/>
          <w:sz w:val="21"/>
        </w:rPr>
        <w:t>Kuala Lumpur sits in the lower-middle tier: tenth of eighteen on ADR (USD 45.15), twelfth on occupancy (19.2%) and eleventh on RevPAR (USD 8.65) — bottom half on both of the levers that determine revenue. Among the six Malaysian markets in the sample, KL's ADR trails Malacca City (USD 76.00), George Town (USD 63.90), Johor Bahru (USD 55.30) and Iskandar Puteri (USD 53.80), and sits above Petaling Jaya (USD 36.80), while its occupancy is third of the six behind George Town (21.4%) and Petaling Jaya (20.3%). Tokyo is the outlier that matters: the only market combining high rate (USD 103.40) with high occupancy (57.0%), producing a RevPAR nearly six times KL's.</w:t>
      </w:r>
    </w:p>
    <w:p>
      <w:pPr>
        <w:spacing w:after="140" w:line="276" w:lineRule="auto"/>
      </w:pPr>
      <w:r>
        <w:rPr>
          <w:b w:val="0"/>
          <w:i w:val="0"/>
          <w:sz w:val="21"/>
        </w:rPr>
        <w:t>Singapore is the instructive contrast in the other direction — the highest ADR in the sample (USD 128.30) against the lowest occupancy (9.3%), consistent with a market where a near-ban on private short-term letting has removed most of the supply that would otherwise compete on price.</w:t>
      </w:r>
    </w:p>
    <w:p>
      <w:pPr>
        <w:pStyle w:val="Heading1"/>
        <w:keepNext/>
        <w:spacing w:before="360" w:after="140"/>
      </w:pPr>
      <w:r>
        <w:rPr>
          <w:rFonts w:ascii="Arial" w:hAnsi="Arial"/>
          <w:color w:val="1F3A5F"/>
          <w:sz w:val="30"/>
        </w:rPr>
        <w:t>2. Key trends and signals</w:t>
      </w:r>
    </w:p>
    <w:p>
      <w:pPr>
        <w:pStyle w:val="Heading2"/>
        <w:keepNext/>
        <w:spacing w:before="260" w:after="100"/>
      </w:pPr>
      <w:r>
        <w:rPr>
          <w:rFonts w:ascii="Arial" w:hAnsi="Arial"/>
          <w:color w:val="1F3A5F"/>
          <w:sz w:val="23"/>
        </w:rPr>
        <w:t>Trend 1 — Supply consolidation is already underway</w:t>
      </w:r>
    </w:p>
    <w:p>
      <w:pPr>
        <w:spacing w:after="140" w:line="276" w:lineRule="auto"/>
      </w:pPr>
      <w:r>
        <w:rPr>
          <w:b w:val="0"/>
          <w:i w:val="0"/>
          <w:sz w:val="21"/>
        </w:rPr>
        <w:t>Internal signal: listings reporting in the monthly series fell from 299 in February 2025 to 293 by November 2025 and stayed there through January 2026 — a modest decline within a fixed sample. The median TTM occupancy of 19.2% implies a median of about 70 reserved nights a year.</w:t>
      </w:r>
    </w:p>
    <w:p>
      <w:pPr>
        <w:spacing w:after="140" w:line="276" w:lineRule="auto"/>
      </w:pPr>
      <w:r>
        <w:rPr>
          <w:b w:val="0"/>
          <w:i w:val="0"/>
          <w:sz w:val="21"/>
        </w:rPr>
        <w:t>External signal: from August 2025 to August 2026, active KL listings fell 29% year on year while revenue per listing rose 110%.</w:t>
      </w:r>
    </w:p>
    <w:p>
      <w:pPr>
        <w:spacing w:after="140" w:line="276" w:lineRule="auto"/>
      </w:pPr>
      <w:r>
        <w:rPr>
          <w:b w:val="0"/>
          <w:i w:val="0"/>
          <w:sz w:val="21"/>
        </w:rPr>
        <w:t>Reading: fewer operators capturing materially higher returns is the signature of consolidation, and it is happening before formal enforcement begins.</w:t>
      </w:r>
    </w:p>
    <w:p>
      <w:pPr>
        <w:spacing w:after="140" w:line="276" w:lineRule="auto"/>
      </w:pPr>
      <w:r>
        <w:rPr>
          <w:b w:val="0"/>
          <w:i w:val="0"/>
          <w:sz w:val="21"/>
        </w:rPr>
        <w:t>Confidence: source quality Medium (the external figure has no named primary source); consistency Medium (the fixed internal sample cannot confirm a market-wide decline); timeliness High. Overall: Medium.</w:t>
      </w:r>
    </w:p>
    <w:p>
      <w:pPr>
        <w:pStyle w:val="Heading2"/>
        <w:keepNext/>
        <w:spacing w:before="260" w:after="100"/>
      </w:pPr>
      <w:r>
        <w:rPr>
          <w:rFonts w:ascii="Arial" w:hAnsi="Arial"/>
          <w:color w:val="1F3A5F"/>
          <w:sz w:val="23"/>
        </w:rPr>
        <w:t>Trend 2 — The occupancy measurement gap</w:t>
      </w:r>
    </w:p>
    <w:p>
      <w:pPr>
        <w:spacing w:after="140" w:line="276" w:lineRule="auto"/>
      </w:pPr>
      <w:r>
        <w:rPr>
          <w:b w:val="0"/>
          <w:i w:val="0"/>
          <w:sz w:val="21"/>
        </w:rPr>
        <w:t>Internal signal: median TTM occupancy is 19.2% (n = 303), defined as reserved nights divided by 365 calendar days — including days the listing may have been blocked or inactive.</w:t>
      </w:r>
    </w:p>
    <w:p>
      <w:pPr>
        <w:spacing w:after="140" w:line="276" w:lineRule="auto"/>
      </w:pPr>
      <w:r>
        <w:rPr>
          <w:b w:val="0"/>
          <w:i w:val="0"/>
          <w:sz w:val="21"/>
        </w:rPr>
        <w:t>External signal: AirDNA and Airbtics report 57–59% for the same city in the same period, computed as reserved nights divided by nights actually available.</w:t>
      </w:r>
    </w:p>
    <w:p>
      <w:pPr>
        <w:spacing w:after="140" w:line="276" w:lineRule="auto"/>
      </w:pPr>
      <w:r>
        <w:rPr>
          <w:b w:val="0"/>
          <w:i w:val="0"/>
          <w:sz w:val="21"/>
        </w:rPr>
        <w:t>Why they differ, and why neither is wrong: a listing that blocks 200 days and books 70 of the remaining 165 is reported as 70/365 = 19.2% by the dataset and 70/165 = 42.4% by an availability-based tracker. The gap widens with calendar blocking, which is common in a condo-dominated market where owners also use units personally. The two figures measure different things and must not be averaged. The dataset figure is valid for comparisons across the eighteen peer markets, which are computed identically; the external figure is valid against industry norms.</w:t>
      </w:r>
    </w:p>
    <w:p>
      <w:pPr>
        <w:spacing w:after="140" w:line="276" w:lineRule="auto"/>
      </w:pPr>
      <w:r>
        <w:rPr>
          <w:b w:val="0"/>
          <w:i w:val="0"/>
          <w:sz w:val="21"/>
        </w:rPr>
        <w:t>Confidence: source quality Medium (the dataset field is modelled by the provider, not observed); consistency Low (definitionally incompatible); timeliness High. Overall: Low for any single occupancy figure used in isolation.</w:t>
      </w:r>
    </w:p>
    <w:p>
      <w:pPr>
        <w:pStyle w:val="Heading2"/>
        <w:keepNext/>
        <w:spacing w:before="260" w:after="100"/>
      </w:pPr>
      <w:r>
        <w:rPr>
          <w:rFonts w:ascii="Arial" w:hAnsi="Arial"/>
          <w:color w:val="1F3A5F"/>
          <w:sz w:val="23"/>
        </w:rPr>
        <w:t>Trend 3 — Hotel pricing power is widening the STR value gap</w:t>
      </w:r>
    </w:p>
    <w:p>
      <w:pPr>
        <w:spacing w:after="140" w:line="276" w:lineRule="auto"/>
      </w:pPr>
      <w:r>
        <w:rPr>
          <w:b w:val="0"/>
          <w:i w:val="0"/>
          <w:sz w:val="21"/>
        </w:rPr>
        <w:t>Internal signal: median STR ADR USD 45.15 (≈ RM 194), n = 303 — flat across twelve months. Professional hosts reach USD 57.50 (≈ RM 247), n = 53.</w:t>
      </w:r>
    </w:p>
    <w:p>
      <w:pPr>
        <w:spacing w:after="140" w:line="276" w:lineRule="auto"/>
      </w:pPr>
      <w:r>
        <w:rPr>
          <w:b w:val="0"/>
          <w:i w:val="0"/>
          <w:sz w:val="21"/>
        </w:rPr>
        <w:t>External signal: KL hotel ADR rose 42% year on year to RM 393.4 in Q1 2026 while hotel occupancy softened from 73.6% to 70.5%.</w:t>
      </w:r>
    </w:p>
    <w:p>
      <w:pPr>
        <w:spacing w:after="140" w:line="276" w:lineRule="auto"/>
      </w:pPr>
      <w:r>
        <w:rPr>
          <w:b w:val="0"/>
          <w:i w:val="0"/>
          <w:sz w:val="21"/>
        </w:rPr>
        <w:t>Reading: the STR market prices at roughly half the hotel rate, and the discount is widening.</w:t>
      </w:r>
    </w:p>
    <w:p>
      <w:pPr>
        <w:spacing w:after="140" w:line="276" w:lineRule="auto"/>
      </w:pPr>
      <w:r>
        <w:rPr>
          <w:b w:val="0"/>
          <w:i w:val="0"/>
          <w:sz w:val="21"/>
        </w:rPr>
        <w:t>Confidence: source quality High; consistency High; timeliness High. Overall: High.</w:t>
      </w:r>
    </w:p>
    <w:p>
      <w:pPr>
        <w:pStyle w:val="Heading2"/>
        <w:keepNext/>
        <w:spacing w:before="260" w:after="100"/>
      </w:pPr>
      <w:r>
        <w:rPr>
          <w:rFonts w:ascii="Arial" w:hAnsi="Arial"/>
          <w:color w:val="1F3A5F"/>
          <w:sz w:val="23"/>
        </w:rPr>
        <w:t>Trend 4 — Strong demand fundamentals meeting early deceleration</w:t>
      </w:r>
    </w:p>
    <w:p>
      <w:pPr>
        <w:spacing w:after="140" w:line="276" w:lineRule="auto"/>
      </w:pPr>
      <w:r>
        <w:rPr>
          <w:b w:val="0"/>
          <w:i w:val="0"/>
          <w:sz w:val="21"/>
        </w:rPr>
        <w:t>Internal signal: sample revenue peaked in July 2025 at RM 202,256 (n = 299) with a secondary peak in December 2025 at RM 196,900 (n = 293), and fell to RM 137,509 in January 2026.</w:t>
      </w:r>
    </w:p>
    <w:p>
      <w:pPr>
        <w:spacing w:after="140" w:line="276" w:lineRule="auto"/>
      </w:pPr>
      <w:r>
        <w:rPr>
          <w:b w:val="0"/>
          <w:i w:val="0"/>
          <w:sz w:val="21"/>
        </w:rPr>
        <w:t>External signal: 26.6 million international arrivals in 2025, above the 2019 benchmark, with Chinese arrivals up 25.1% to 4.7 million — but Q1 2026 arrivals fell 2.5% year on year to 6.53 million, and Bank Islam calls the VMY2026 target of 47 million increasingly challenging.</w:t>
      </w:r>
    </w:p>
    <w:p>
      <w:pPr>
        <w:spacing w:after="140" w:line="276" w:lineRule="auto"/>
      </w:pPr>
      <w:r>
        <w:rPr>
          <w:b w:val="0"/>
          <w:i w:val="0"/>
          <w:sz w:val="21"/>
        </w:rPr>
        <w:t>Confidence: source quality High (government tourism statistics); consistency High (internal revenue dip and external arrival decline point the same way); timeliness High. Overall: High.</w:t>
      </w:r>
    </w:p>
    <w:p>
      <w:pPr>
        <w:pStyle w:val="Heading2"/>
        <w:keepNext/>
        <w:spacing w:before="260" w:after="100"/>
      </w:pPr>
      <w:r>
        <w:rPr>
          <w:rFonts w:ascii="Arial" w:hAnsi="Arial"/>
          <w:color w:val="1F3A5F"/>
          <w:sz w:val="23"/>
        </w:rPr>
        <w:t>Trend 5 — Rate and occupancy are uncorrelated in Kuala Lumpur</w:t>
      </w:r>
    </w:p>
    <w:p>
      <w:pPr>
        <w:spacing w:after="140" w:line="276" w:lineRule="auto"/>
      </w:pPr>
      <w:r>
        <w:rPr>
          <w:b w:val="0"/>
          <w:i w:val="0"/>
          <w:sz w:val="21"/>
        </w:rPr>
        <w:t>Internal signal: correlation between ADR and occupancy across 303 listings is −0.011 — indistinguishable from zero. Revenue correlates with rate (r = 0.63) and with occupancy (r = 0.53) roughly equally, but rate and occupancy do not trade off against each other.</w:t>
      </w:r>
    </w:p>
    <w:p>
      <w:pPr>
        <w:spacing w:after="140" w:line="276" w:lineRule="auto"/>
      </w:pPr>
      <w:r>
        <w:rPr>
          <w:b w:val="0"/>
          <w:i w:val="0"/>
          <w:sz w:val="21"/>
        </w:rPr>
        <w:t>External signal: hotel ADR rose 42% while hotel occupancy fell only 3.1 percentage points — the same rate-led rather than volume-led pattern in the adjacent market.</w:t>
      </w:r>
    </w:p>
    <w:p>
      <w:pPr>
        <w:spacing w:after="140" w:line="276" w:lineRule="auto"/>
      </w:pPr>
      <w:r>
        <w:rPr>
          <w:b w:val="0"/>
          <w:i w:val="0"/>
          <w:sz w:val="21"/>
        </w:rPr>
        <w:t>Confidence: source quality High; consistency High; timeliness High. Overall: High.</w:t>
      </w:r>
    </w:p>
    <w:p>
      <w:pPr>
        <w:pStyle w:val="Heading1"/>
        <w:keepNext/>
        <w:spacing w:before="360" w:after="140"/>
      </w:pPr>
      <w:r>
        <w:rPr>
          <w:rFonts w:ascii="Arial" w:hAnsi="Arial"/>
          <w:color w:val="1F3A5F"/>
          <w:sz w:val="30"/>
        </w:rPr>
        <w:t>3. Opportunities</w:t>
      </w:r>
    </w:p>
    <w:p>
      <w:pPr>
        <w:tabs>
          <w:tab w:pos="403" w:val="left"/>
        </w:tabs>
        <w:spacing w:after="100" w:line="276" w:lineRule="auto"/>
        <w:ind w:left="403" w:hanging="274"/>
      </w:pPr>
      <w:r>
        <w:rPr>
          <w:rFonts w:ascii="Arial" w:hAnsi="Arial"/>
          <w:sz w:val="21"/>
        </w:rPr>
        <w:t>•</w:t>
        <w:tab/>
      </w:r>
      <w:r>
        <w:rPr>
          <w:b w:val="0"/>
          <w:i w:val="0"/>
          <w:sz w:val="21"/>
        </w:rPr>
        <w:t>The hotel–STR price gap is the product. STRs price at about half the hotel rate, and hotel rates are rising. Price-sensitive segments — families, extended-stay business travellers — have a growing incentive to shift.</w:t>
      </w:r>
    </w:p>
    <w:p>
      <w:pPr>
        <w:tabs>
          <w:tab w:pos="403" w:val="left"/>
        </w:tabs>
        <w:spacing w:after="100" w:line="276" w:lineRule="auto"/>
        <w:ind w:left="403" w:hanging="274"/>
      </w:pPr>
      <w:r>
        <w:rPr>
          <w:rFonts w:ascii="Arial" w:hAnsi="Arial"/>
          <w:sz w:val="21"/>
        </w:rPr>
        <w:t>•</w:t>
        <w:tab/>
      </w:r>
      <w:r>
        <w:rPr>
          <w:b w:val="0"/>
          <w:i w:val="0"/>
          <w:sz w:val="21"/>
        </w:rPr>
        <w:t>Regulatory thinning benefits compliant survivors. Listings are down 29% while revenue per listing is up 110%; with 0% of listings licensed, the first operators to hold compliant status face no established competition for it.</w:t>
      </w:r>
    </w:p>
    <w:p>
      <w:pPr>
        <w:tabs>
          <w:tab w:pos="403" w:val="left"/>
        </w:tabs>
        <w:spacing w:after="100" w:line="276" w:lineRule="auto"/>
        <w:ind w:left="403" w:hanging="274"/>
      </w:pPr>
      <w:r>
        <w:rPr>
          <w:rFonts w:ascii="Arial" w:hAnsi="Arial"/>
          <w:sz w:val="21"/>
        </w:rPr>
        <w:t>•</w:t>
        <w:tab/>
      </w:r>
      <w:r>
        <w:rPr>
          <w:b w:val="0"/>
          <w:i w:val="0"/>
          <w:sz w:val="21"/>
        </w:rPr>
        <w:t>Superhost status is a measurable, achievable uplift. Superhosts (n = 125) reach median occupancy of 23.8% against 13.7% and median revenue of USD 4,639 against USD 2,575 — an 80% revenue premium at a 3% rate difference.</w:t>
      </w:r>
    </w:p>
    <w:p>
      <w:pPr>
        <w:tabs>
          <w:tab w:pos="403" w:val="left"/>
        </w:tabs>
        <w:spacing w:after="100" w:line="276" w:lineRule="auto"/>
        <w:ind w:left="403" w:hanging="274"/>
      </w:pPr>
      <w:r>
        <w:rPr>
          <w:rFonts w:ascii="Arial" w:hAnsi="Arial"/>
          <w:sz w:val="21"/>
        </w:rPr>
        <w:t>•</w:t>
        <w:tab/>
      </w:r>
      <w:r>
        <w:rPr>
          <w:b w:val="0"/>
          <w:i w:val="0"/>
          <w:sz w:val="21"/>
        </w:rPr>
        <w:t>Chinese inbound demand is structurally expanding: 4.7 million arrivals in 2025, +25.1%, supported by mutual visa-free entry from July 2025 and six new China routes in January 2026 alone.</w:t>
      </w:r>
    </w:p>
    <w:p>
      <w:pPr>
        <w:tabs>
          <w:tab w:pos="403" w:val="left"/>
        </w:tabs>
        <w:spacing w:after="100" w:line="276" w:lineRule="auto"/>
        <w:ind w:left="403" w:hanging="274"/>
      </w:pPr>
      <w:r>
        <w:rPr>
          <w:rFonts w:ascii="Arial" w:hAnsi="Arial"/>
          <w:sz w:val="21"/>
        </w:rPr>
        <w:t>•</w:t>
        <w:tab/>
      </w:r>
      <w:r>
        <w:rPr>
          <w:b w:val="0"/>
          <w:i w:val="0"/>
          <w:sz w:val="21"/>
        </w:rPr>
        <w:t>Regional permissiveness is a temporary advantage. Singapore bans private short-term letting under three months, Bangkok is tightening Hotel Act enforcement, and Indonesia set a March 2026 licensing deadline.</w:t>
      </w:r>
    </w:p>
    <w:p>
      <w:pPr>
        <w:pStyle w:val="Heading1"/>
        <w:keepNext/>
        <w:spacing w:before="360" w:after="140"/>
      </w:pPr>
      <w:r>
        <w:rPr>
          <w:rFonts w:ascii="Arial" w:hAnsi="Arial"/>
          <w:color w:val="1F3A5F"/>
          <w:sz w:val="30"/>
        </w:rPr>
        <w:t>4. Risks</w:t>
      </w:r>
    </w:p>
    <w:p>
      <w:pPr>
        <w:tabs>
          <w:tab w:pos="403" w:val="left"/>
        </w:tabs>
        <w:spacing w:after="100" w:line="276" w:lineRule="auto"/>
        <w:ind w:left="403" w:hanging="274"/>
      </w:pPr>
      <w:r>
        <w:rPr>
          <w:rFonts w:ascii="Arial" w:hAnsi="Arial"/>
          <w:sz w:val="21"/>
        </w:rPr>
        <w:t>•</w:t>
        <w:tab/>
      </w:r>
      <w:r>
        <w:rPr>
          <w:b w:val="0"/>
          <w:i w:val="0"/>
          <w:sz w:val="21"/>
        </w:rPr>
        <w:t>Imminent enforcement could compress margins by 15–20%. The two-step licensing regime announced in August 2025, the 6% service tax effective January 2026 (RM 1 million threshold), the RM 10 per night tourism tax from five rooms, and a Penang precedent of about RM 2,850 per unit per year all point one way.</w:t>
      </w:r>
    </w:p>
    <w:p>
      <w:pPr>
        <w:tabs>
          <w:tab w:pos="403" w:val="left"/>
        </w:tabs>
        <w:spacing w:after="100" w:line="276" w:lineRule="auto"/>
        <w:ind w:left="403" w:hanging="274"/>
      </w:pPr>
      <w:r>
        <w:rPr>
          <w:rFonts w:ascii="Arial" w:hAnsi="Arial"/>
          <w:sz w:val="21"/>
        </w:rPr>
        <w:t>•</w:t>
        <w:tab/>
      </w:r>
      <w:r>
        <w:rPr>
          <w:b w:val="0"/>
          <w:i w:val="0"/>
          <w:sz w:val="21"/>
        </w:rPr>
        <w:t>Demand deceleration is already visible: Q1 2026 arrivals −2.5% year on year, with January 2026 the second-weakest month in the internal revenue series.</w:t>
      </w:r>
    </w:p>
    <w:p>
      <w:pPr>
        <w:tabs>
          <w:tab w:pos="403" w:val="left"/>
        </w:tabs>
        <w:spacing w:after="100" w:line="276" w:lineRule="auto"/>
        <w:ind w:left="403" w:hanging="274"/>
      </w:pPr>
      <w:r>
        <w:rPr>
          <w:rFonts w:ascii="Arial" w:hAnsi="Arial"/>
          <w:sz w:val="21"/>
        </w:rPr>
        <w:t>•</w:t>
        <w:tab/>
      </w:r>
      <w:r>
        <w:rPr>
          <w:b w:val="0"/>
          <w:i w:val="0"/>
          <w:sz w:val="21"/>
        </w:rPr>
        <w:t>The luxury pipeline intensifies competition at the top: over 6,200 hotel rooms under construction, one-third luxury, with Waldorf Astoria (Q3 2026), Conrad (488 rooms), Regent (2026) and Langham (2027).</w:t>
      </w:r>
    </w:p>
    <w:p>
      <w:pPr>
        <w:tabs>
          <w:tab w:pos="403" w:val="left"/>
        </w:tabs>
        <w:spacing w:after="100" w:line="276" w:lineRule="auto"/>
        <w:ind w:left="403" w:hanging="274"/>
      </w:pPr>
      <w:r>
        <w:rPr>
          <w:rFonts w:ascii="Arial" w:hAnsi="Arial"/>
          <w:sz w:val="21"/>
        </w:rPr>
        <w:t>•</w:t>
        <w:tab/>
      </w:r>
      <w:r>
        <w:rPr>
          <w:b w:val="0"/>
          <w:i w:val="0"/>
          <w:sz w:val="21"/>
        </w:rPr>
        <w:t>The sample is not a census. Absolute market size, total revenue and share cannot be computed, and portfolio counts are truncated at the sample cap.</w:t>
      </w:r>
    </w:p>
    <w:p>
      <w:pPr>
        <w:tabs>
          <w:tab w:pos="403" w:val="left"/>
        </w:tabs>
        <w:spacing w:after="100" w:line="276" w:lineRule="auto"/>
        <w:ind w:left="403" w:hanging="274"/>
      </w:pPr>
      <w:r>
        <w:rPr>
          <w:rFonts w:ascii="Arial" w:hAnsi="Arial"/>
          <w:sz w:val="21"/>
        </w:rPr>
        <w:t>•</w:t>
        <w:tab/>
      </w:r>
      <w:r>
        <w:rPr>
          <w:b w:val="0"/>
          <w:i w:val="0"/>
          <w:sz w:val="21"/>
        </w:rPr>
        <w:t>Geopolitical risk to source markets. The external research flags Middle East tensions as a threat to key source markets, which would affect KL disproportionately.</w:t>
      </w:r>
    </w:p>
    <w:p>
      <w:pPr>
        <w:pStyle w:val="Heading1"/>
        <w:keepNext/>
        <w:spacing w:before="360" w:after="140"/>
      </w:pPr>
      <w:r>
        <w:rPr>
          <w:rFonts w:ascii="Arial" w:hAnsi="Arial"/>
          <w:color w:val="1F3A5F"/>
          <w:sz w:val="30"/>
        </w:rPr>
        <w:t>5. What this analysis does not support</w:t>
      </w:r>
    </w:p>
    <w:p>
      <w:pPr>
        <w:tabs>
          <w:tab w:pos="403" w:val="left"/>
        </w:tabs>
        <w:spacing w:after="100" w:line="276" w:lineRule="auto"/>
        <w:ind w:left="403" w:hanging="274"/>
      </w:pPr>
      <w:r>
        <w:rPr>
          <w:rFonts w:ascii="Arial" w:hAnsi="Arial"/>
          <w:sz w:val="21"/>
        </w:rPr>
        <w:t>•</w:t>
        <w:tab/>
      </w:r>
      <w:r>
        <w:rPr>
          <w:b w:val="0"/>
          <w:i w:val="0"/>
          <w:sz w:val="21"/>
        </w:rPr>
        <w:t>That cutting rate would raise occupancy. The ADR-to-occupancy correlation is −0.011 (n = 303).</w:t>
      </w:r>
    </w:p>
    <w:p>
      <w:pPr>
        <w:tabs>
          <w:tab w:pos="403" w:val="left"/>
        </w:tabs>
        <w:spacing w:after="100" w:line="276" w:lineRule="auto"/>
        <w:ind w:left="403" w:hanging="274"/>
      </w:pPr>
      <w:r>
        <w:rPr>
          <w:rFonts w:ascii="Arial" w:hAnsi="Arial"/>
          <w:sz w:val="21"/>
        </w:rPr>
        <w:t>•</w:t>
        <w:tab/>
      </w:r>
      <w:r>
        <w:rPr>
          <w:b w:val="0"/>
          <w:i w:val="0"/>
          <w:sz w:val="21"/>
        </w:rPr>
        <w:t>That KL holds a definable market share or generates a definable total revenue. The sample is capped.</w:t>
      </w:r>
    </w:p>
    <w:p>
      <w:pPr>
        <w:tabs>
          <w:tab w:pos="403" w:val="left"/>
        </w:tabs>
        <w:spacing w:after="100" w:line="276" w:lineRule="auto"/>
        <w:ind w:left="403" w:hanging="274"/>
      </w:pPr>
      <w:r>
        <w:rPr>
          <w:rFonts w:ascii="Arial" w:hAnsi="Arial"/>
          <w:sz w:val="21"/>
        </w:rPr>
        <w:t>•</w:t>
        <w:tab/>
      </w:r>
      <w:r>
        <w:rPr>
          <w:b w:val="0"/>
          <w:i w:val="0"/>
          <w:sz w:val="21"/>
        </w:rPr>
        <w:t>That 19.2% means listings are empty five nights in six in the industry sense of the word. The denominator is calendar days, not available nights.</w:t>
      </w:r>
    </w:p>
    <w:p>
      <w:pPr>
        <w:tabs>
          <w:tab w:pos="403" w:val="left"/>
        </w:tabs>
        <w:spacing w:after="100" w:line="276" w:lineRule="auto"/>
        <w:ind w:left="403" w:hanging="274"/>
      </w:pPr>
      <w:r>
        <w:rPr>
          <w:rFonts w:ascii="Arial" w:hAnsi="Arial"/>
          <w:sz w:val="21"/>
        </w:rPr>
        <w:t>•</w:t>
        <w:tab/>
      </w:r>
      <w:r>
        <w:rPr>
          <w:b w:val="0"/>
          <w:i w:val="0"/>
          <w:sz w:val="21"/>
        </w:rPr>
        <w:t>That the announced licensing regime will be enforced at the announced intensity. It is an announcement, not an enforcement record.</w:t>
      </w:r>
    </w:p>
    <w:sectPr w:rsidR="00FC693F" w:rsidRPr="0006063C" w:rsidSect="00034616">
      <w:pgSz w:w="12240" w:h="15840"/>
      <w:pgMar w:top="1109" w:right="1094" w:bottom="103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