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v14.1 Policy Lever Support Memo</w:t>
      </w:r>
    </w:p>
    <w:p>
      <w:pPr>
        <w:jc w:val="left"/>
      </w:pPr>
      <w:r>
        <w:t>Data vintage: 2026-05-28.</w:t>
      </w:r>
    </w:p>
    <w:p>
      <w:pPr>
        <w:jc w:val="left"/>
      </w:pPr>
      <w:r>
        <w:t xml:space="preserve">This companion memo documents the policy-lever ceilings and annual accounting profiles used in </w:t>
      </w:r>
      <w:r>
        <w:rPr>
          <w:rFonts w:ascii="Courier New" w:hAnsi="Courier New"/>
        </w:rPr>
        <w:t>gsl-simulator-v14.1.html</w:t>
      </w:r>
      <w:r>
        <w:t>. It does not change simulator behavior. Its purpose is to make the simulator's policy-water assumptions reviewable by humans, future AI tools, and scientific/policy reviewers.</w:t>
      </w:r>
    </w:p>
    <w:p>
      <w:pPr>
        <w:jc w:val="left"/>
      </w:pPr>
      <w:r>
        <w:t>The key accounting distinction is:</w:t>
      </w:r>
    </w:p>
    <w:p>
      <w:pPr>
        <w:spacing w:after="160"/>
        <w:ind w:left="360"/>
      </w:pPr>
      <w:r>
        <w:rPr>
          <w:rFonts w:ascii="Courier New" w:hAnsi="Courier New"/>
          <w:sz w:val="18"/>
        </w:rPr>
        <w:t>annual modeled policy water = lever ceiling * annual availability/profile fraction</w:t>
      </w:r>
    </w:p>
    <w:p>
      <w:pPr>
        <w:jc w:val="left"/>
      </w:pPr>
      <w:r>
        <w:t>The annual values are scenario assumptions, not claims that every year/lever value is independently observed or guaranteed. A ceiling may be well supported while annual availability remains episodic, conditional, or institutionally uncertain.</w:t>
      </w:r>
    </w:p>
    <w:p>
      <w:pPr>
        <w:pStyle w:val="Heading1"/>
      </w:pPr>
      <w:r>
        <w:t>Executive Accounting Guidance</w:t>
      </w:r>
    </w:p>
    <w:p>
      <w:pPr>
        <w:pStyle w:val="ListNumber"/>
      </w:pPr>
      <w:r>
        <w:t>Keep the simulator file clean. Do not embed this whole memo in the UI.</w:t>
      </w:r>
    </w:p>
    <w:p>
      <w:pPr>
        <w:pStyle w:val="ListNumber"/>
      </w:pPr>
      <w:r>
        <w:t>Keep annual accounting editable in the simulator, but document default profiles here.</w:t>
      </w:r>
    </w:p>
    <w:p>
      <w:pPr>
        <w:pStyle w:val="ListNumber"/>
      </w:pPr>
      <w:r>
        <w:t>Treat reductions in depletion as lake-balance equivalents, not literal new inflow.</w:t>
      </w:r>
    </w:p>
    <w:p>
      <w:pPr>
        <w:pStyle w:val="ListNumber"/>
      </w:pPr>
      <w:r>
        <w:t>Separate already-realized structural gains from new policy water.</w:t>
      </w:r>
    </w:p>
    <w:p>
      <w:pPr>
        <w:pStyle w:val="ListNumber"/>
      </w:pPr>
      <w:r>
        <w:t>Do not double-count US Magnesium-type gains if the forecast baseline already reflects reduced operations or state acquisition.</w:t>
      </w:r>
    </w:p>
    <w:p>
      <w:pPr>
        <w:pStyle w:val="ListNumber"/>
      </w:pPr>
      <w:r>
        <w:t>Keep augmentation outside the Strike Team policy-lever bibliography unless a specific augmentation project is being modeled.</w:t>
      </w:r>
    </w:p>
    <w:p>
      <w:pPr>
        <w:pStyle w:val="Heading1"/>
      </w:pPr>
      <w:r>
        <w:t>Current Simulator Controls and Accounting Items</w:t>
      </w:r>
    </w:p>
    <w:tbl>
      <w:tblPr>
        <w:tblStyle w:val="TableGrid"/>
        <w:tblW w:type="auto" w:w="0"/>
        <w:tblLayout w:type="fixed"/>
        <w:tblLook w:firstColumn="1" w:firstRow="1" w:lastColumn="0" w:lastRow="0" w:noHBand="0" w:noVBand="1" w:val="04A0"/>
        <w:jc w:val="center"/>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340"/>
        <w:gridCol w:w="2340"/>
        <w:gridCol w:w="2340"/>
        <w:gridCol w:w="2340"/>
      </w:tblGrid>
      <w:tr>
        <w:tc>
          <w:tcPr>
            <w:tcW w:type="dxa" w:w="2016"/>
            <w:tcMar>
              <w:top w:w="80" w:type="dxa"/>
              <w:bottom w:w="80" w:type="dxa"/>
              <w:start w:w="120" w:type="dxa"/>
              <w:end w:w="120" w:type="dxa"/>
            </w:tcMar>
            <w:vAlign w:val="center"/>
            <w:shd w:fill="F2F4F7"/>
          </w:tcPr>
          <w:p>
            <w:pPr>
              <w:jc w:val="left"/>
            </w:pPr>
            <w:r>
              <w:rPr>
                <w:rFonts w:ascii="Calibri" w:hAnsi="Calibri"/>
                <w:b/>
                <w:sz w:val="18"/>
              </w:rPr>
              <w:t>Lever</w:t>
            </w:r>
          </w:p>
        </w:tc>
        <w:tc>
          <w:tcPr>
            <w:tcW w:type="dxa" w:w="1584"/>
            <w:tcMar>
              <w:top w:w="80" w:type="dxa"/>
              <w:bottom w:w="80" w:type="dxa"/>
              <w:start w:w="120" w:type="dxa"/>
              <w:end w:w="120" w:type="dxa"/>
            </w:tcMar>
            <w:vAlign w:val="center"/>
            <w:shd w:fill="F2F4F7"/>
          </w:tcPr>
          <w:p>
            <w:pPr>
              <w:jc w:val="center"/>
            </w:pPr>
            <w:r>
              <w:rPr>
                <w:rFonts w:ascii="Calibri" w:hAnsi="Calibri"/>
                <w:b/>
                <w:sz w:val="18"/>
              </w:rPr>
              <w:t>Simulator ceiling</w:t>
            </w:r>
          </w:p>
        </w:tc>
        <w:tc>
          <w:tcPr>
            <w:tcW w:type="dxa" w:w="2448"/>
            <w:tcMar>
              <w:top w:w="80" w:type="dxa"/>
              <w:bottom w:w="80" w:type="dxa"/>
              <w:start w:w="120" w:type="dxa"/>
              <w:end w:w="120" w:type="dxa"/>
            </w:tcMar>
            <w:vAlign w:val="center"/>
            <w:shd w:fill="F2F4F7"/>
          </w:tcPr>
          <w:p>
            <w:pPr>
              <w:jc w:val="center"/>
            </w:pPr>
            <w:r>
              <w:rPr>
                <w:rFonts w:ascii="Calibri" w:hAnsi="Calibri"/>
                <w:b/>
                <w:sz w:val="18"/>
              </w:rPr>
              <w:t>Accounting category</w:t>
            </w:r>
          </w:p>
        </w:tc>
        <w:tc>
          <w:tcPr>
            <w:tcW w:type="dxa" w:w="3312"/>
            <w:tcMar>
              <w:top w:w="80" w:type="dxa"/>
              <w:bottom w:w="80" w:type="dxa"/>
              <w:start w:w="120" w:type="dxa"/>
              <w:end w:w="120" w:type="dxa"/>
            </w:tcMar>
            <w:vAlign w:val="center"/>
            <w:shd w:fill="F2F4F7"/>
          </w:tcPr>
          <w:p>
            <w:pPr>
              <w:jc w:val="center"/>
            </w:pPr>
            <w:r>
              <w:rPr>
                <w:rFonts w:ascii="Calibri" w:hAnsi="Calibri"/>
                <w:b/>
                <w:sz w:val="18"/>
              </w:rPr>
              <w:t>Current support status</w:t>
            </w:r>
          </w:p>
        </w:tc>
      </w:tr>
      <w:tr>
        <w:tc>
          <w:tcPr>
            <w:tcW w:type="dxa" w:w="2016"/>
            <w:tcMar>
              <w:top w:w="80" w:type="dxa"/>
              <w:bottom w:w="80" w:type="dxa"/>
              <w:start w:w="120" w:type="dxa"/>
              <w:end w:w="120" w:type="dxa"/>
            </w:tcMar>
            <w:vAlign w:val="center"/>
          </w:tcPr>
          <w:p>
            <w:pPr>
              <w:jc w:val="left"/>
            </w:pPr>
            <w:r>
              <w:rPr>
                <w:rFonts w:ascii="Calibri" w:hAnsi="Calibri"/>
                <w:sz w:val="18"/>
              </w:rPr>
              <w:t>Agricultural optimization and leasing</w:t>
            </w:r>
          </w:p>
        </w:tc>
        <w:tc>
          <w:tcPr>
            <w:tcW w:type="dxa" w:w="1584"/>
            <w:tcMar>
              <w:top w:w="80" w:type="dxa"/>
              <w:bottom w:w="80" w:type="dxa"/>
              <w:start w:w="120" w:type="dxa"/>
              <w:end w:w="120" w:type="dxa"/>
            </w:tcMar>
            <w:vAlign w:val="center"/>
          </w:tcPr>
          <w:p>
            <w:pPr>
              <w:jc w:val="center"/>
            </w:pPr>
            <w:r>
              <w:rPr>
                <w:rFonts w:ascii="Calibri" w:hAnsi="Calibri"/>
                <w:sz w:val="18"/>
              </w:rPr>
              <w:t>180 kAf/yr</w:t>
            </w:r>
          </w:p>
        </w:tc>
        <w:tc>
          <w:tcPr>
            <w:tcW w:type="dxa" w:w="2448"/>
            <w:tcMar>
              <w:top w:w="80" w:type="dxa"/>
              <w:bottom w:w="80" w:type="dxa"/>
              <w:start w:w="120" w:type="dxa"/>
              <w:end w:w="120" w:type="dxa"/>
            </w:tcMar>
            <w:vAlign w:val="center"/>
          </w:tcPr>
          <w:p>
            <w:pPr>
              <w:jc w:val="center"/>
            </w:pPr>
            <w:r>
              <w:rPr>
                <w:rFonts w:ascii="Calibri" w:hAnsi="Calibri"/>
                <w:sz w:val="18"/>
              </w:rPr>
              <w:t>Wet-year dependent / participation-limited</w:t>
            </w:r>
          </w:p>
        </w:tc>
        <w:tc>
          <w:tcPr>
            <w:tcW w:type="dxa" w:w="3312"/>
            <w:tcMar>
              <w:top w:w="80" w:type="dxa"/>
              <w:bottom w:w="80" w:type="dxa"/>
              <w:start w:w="120" w:type="dxa"/>
              <w:end w:w="120" w:type="dxa"/>
            </w:tcMar>
            <w:vAlign w:val="center"/>
          </w:tcPr>
          <w:p>
            <w:pPr>
              <w:jc w:val="center"/>
            </w:pPr>
            <w:r>
              <w:rPr>
                <w:rFonts w:ascii="Calibri" w:hAnsi="Calibri"/>
                <w:sz w:val="18"/>
              </w:rPr>
              <w:t>Supported as an aggressive but plausible scenario relative to published Utah agricultural depletion-savings studies; final GSL-basin-specific ceiling still needs basin apportionment</w:t>
            </w:r>
          </w:p>
        </w:tc>
      </w:tr>
      <w:tr>
        <w:tc>
          <w:tcPr>
            <w:tcW w:type="dxa" w:w="2016"/>
            <w:tcMar>
              <w:top w:w="80" w:type="dxa"/>
              <w:bottom w:w="80" w:type="dxa"/>
              <w:start w:w="120" w:type="dxa"/>
              <w:end w:w="120" w:type="dxa"/>
            </w:tcMar>
            <w:vAlign w:val="center"/>
          </w:tcPr>
          <w:p>
            <w:pPr>
              <w:jc w:val="left"/>
            </w:pPr>
            <w:r>
              <w:rPr>
                <w:rFonts w:ascii="Calibri" w:hAnsi="Calibri"/>
                <w:sz w:val="18"/>
              </w:rPr>
              <w:t>M&amp;I conservation</w:t>
            </w:r>
          </w:p>
        </w:tc>
        <w:tc>
          <w:tcPr>
            <w:tcW w:type="dxa" w:w="1584"/>
            <w:tcMar>
              <w:top w:w="80" w:type="dxa"/>
              <w:bottom w:w="80" w:type="dxa"/>
              <w:start w:w="120" w:type="dxa"/>
              <w:end w:w="120" w:type="dxa"/>
            </w:tcMar>
            <w:vAlign w:val="center"/>
          </w:tcPr>
          <w:p>
            <w:pPr>
              <w:jc w:val="center"/>
            </w:pPr>
            <w:r>
              <w:rPr>
                <w:rFonts w:ascii="Calibri" w:hAnsi="Calibri"/>
                <w:sz w:val="18"/>
              </w:rPr>
              <w:t>100 kAf/yr</w:t>
            </w:r>
          </w:p>
        </w:tc>
        <w:tc>
          <w:tcPr>
            <w:tcW w:type="dxa" w:w="2448"/>
            <w:tcMar>
              <w:top w:w="80" w:type="dxa"/>
              <w:bottom w:w="80" w:type="dxa"/>
              <w:start w:w="120" w:type="dxa"/>
              <w:end w:w="120" w:type="dxa"/>
            </w:tcMar>
            <w:vAlign w:val="center"/>
          </w:tcPr>
          <w:p>
            <w:pPr>
              <w:jc w:val="center"/>
            </w:pPr>
            <w:r>
              <w:rPr>
                <w:rFonts w:ascii="Calibri" w:hAnsi="Calibri"/>
                <w:sz w:val="18"/>
              </w:rPr>
              <w:t>Stable recurring after adoption ramp</w:t>
            </w:r>
          </w:p>
        </w:tc>
        <w:tc>
          <w:tcPr>
            <w:tcW w:type="dxa" w:w="3312"/>
            <w:tcMar>
              <w:top w:w="80" w:type="dxa"/>
              <w:bottom w:w="80" w:type="dxa"/>
              <w:start w:w="120" w:type="dxa"/>
              <w:end w:w="120" w:type="dxa"/>
            </w:tcMar>
            <w:vAlign w:val="center"/>
          </w:tcPr>
          <w:p>
            <w:pPr>
              <w:jc w:val="center"/>
            </w:pPr>
            <w:r>
              <w:rPr>
                <w:rFonts w:ascii="Calibri" w:hAnsi="Calibri"/>
                <w:sz w:val="18"/>
              </w:rPr>
              <w:t>Supported as plausible within published M&amp;I conservation opportunity ranges</w:t>
            </w:r>
          </w:p>
        </w:tc>
      </w:tr>
      <w:tr>
        <w:tc>
          <w:tcPr>
            <w:tcW w:type="dxa" w:w="2016"/>
            <w:tcMar>
              <w:top w:w="80" w:type="dxa"/>
              <w:bottom w:w="80" w:type="dxa"/>
              <w:start w:w="120" w:type="dxa"/>
              <w:end w:w="120" w:type="dxa"/>
            </w:tcMar>
            <w:vAlign w:val="center"/>
          </w:tcPr>
          <w:p>
            <w:pPr>
              <w:jc w:val="left"/>
            </w:pPr>
            <w:r>
              <w:rPr>
                <w:rFonts w:ascii="Calibri" w:hAnsi="Calibri"/>
                <w:sz w:val="18"/>
              </w:rPr>
              <w:t>Phragmites management</w:t>
            </w:r>
          </w:p>
        </w:tc>
        <w:tc>
          <w:tcPr>
            <w:tcW w:type="dxa" w:w="1584"/>
            <w:tcMar>
              <w:top w:w="80" w:type="dxa"/>
              <w:bottom w:w="80" w:type="dxa"/>
              <w:start w:w="120" w:type="dxa"/>
              <w:end w:w="120" w:type="dxa"/>
            </w:tcMar>
            <w:vAlign w:val="center"/>
          </w:tcPr>
          <w:p>
            <w:pPr>
              <w:jc w:val="center"/>
            </w:pPr>
            <w:r>
              <w:rPr>
                <w:rFonts w:ascii="Calibri" w:hAnsi="Calibri"/>
                <w:sz w:val="18"/>
              </w:rPr>
              <w:t>50 kAf/yr</w:t>
            </w:r>
          </w:p>
        </w:tc>
        <w:tc>
          <w:tcPr>
            <w:tcW w:type="dxa" w:w="2448"/>
            <w:tcMar>
              <w:top w:w="80" w:type="dxa"/>
              <w:bottom w:w="80" w:type="dxa"/>
              <w:start w:w="120" w:type="dxa"/>
              <w:end w:w="120" w:type="dxa"/>
            </w:tcMar>
            <w:vAlign w:val="center"/>
          </w:tcPr>
          <w:p>
            <w:pPr>
              <w:jc w:val="center"/>
            </w:pPr>
            <w:r>
              <w:rPr>
                <w:rFonts w:ascii="Calibri" w:hAnsi="Calibri"/>
                <w:sz w:val="18"/>
              </w:rPr>
              <w:t>Buildout trajectory with maintenance</w:t>
            </w:r>
          </w:p>
        </w:tc>
        <w:tc>
          <w:tcPr>
            <w:tcW w:type="dxa" w:w="3312"/>
            <w:tcMar>
              <w:top w:w="80" w:type="dxa"/>
              <w:bottom w:w="80" w:type="dxa"/>
              <w:start w:w="120" w:type="dxa"/>
              <w:end w:w="120" w:type="dxa"/>
            </w:tcMar>
            <w:vAlign w:val="center"/>
          </w:tcPr>
          <w:p>
            <w:pPr>
              <w:jc w:val="center"/>
            </w:pPr>
            <w:r>
              <w:rPr>
                <w:rFonts w:ascii="Calibri" w:hAnsi="Calibri"/>
                <w:sz w:val="18"/>
              </w:rPr>
              <w:t>Supported within published 17-57 kAf/yr savings estimate; still method-sensitive</w:t>
            </w:r>
          </w:p>
        </w:tc>
      </w:tr>
      <w:tr>
        <w:tc>
          <w:tcPr>
            <w:tcW w:type="dxa" w:w="2016"/>
            <w:tcMar>
              <w:top w:w="80" w:type="dxa"/>
              <w:bottom w:w="80" w:type="dxa"/>
              <w:start w:w="120" w:type="dxa"/>
              <w:end w:w="120" w:type="dxa"/>
            </w:tcMar>
            <w:vAlign w:val="center"/>
          </w:tcPr>
          <w:p>
            <w:pPr>
              <w:jc w:val="left"/>
            </w:pPr>
            <w:r>
              <w:rPr>
                <w:rFonts w:ascii="Calibri" w:hAnsi="Calibri"/>
                <w:sz w:val="18"/>
              </w:rPr>
              <w:t>Newfoundland evaporation basin</w:t>
            </w:r>
          </w:p>
        </w:tc>
        <w:tc>
          <w:tcPr>
            <w:tcW w:type="dxa" w:w="1584"/>
            <w:tcMar>
              <w:top w:w="80" w:type="dxa"/>
              <w:bottom w:w="80" w:type="dxa"/>
              <w:start w:w="120" w:type="dxa"/>
              <w:end w:w="120" w:type="dxa"/>
            </w:tcMar>
            <w:vAlign w:val="center"/>
          </w:tcPr>
          <w:p>
            <w:pPr>
              <w:jc w:val="center"/>
            </w:pPr>
            <w:r>
              <w:rPr>
                <w:rFonts w:ascii="Calibri" w:hAnsi="Calibri"/>
                <w:sz w:val="18"/>
              </w:rPr>
              <w:t>50 kAf/yr</w:t>
            </w:r>
          </w:p>
        </w:tc>
        <w:tc>
          <w:tcPr>
            <w:tcW w:type="dxa" w:w="2448"/>
            <w:tcMar>
              <w:top w:w="80" w:type="dxa"/>
              <w:bottom w:w="80" w:type="dxa"/>
              <w:start w:w="120" w:type="dxa"/>
              <w:end w:w="120" w:type="dxa"/>
            </w:tcMar>
            <w:vAlign w:val="center"/>
          </w:tcPr>
          <w:p>
            <w:pPr>
              <w:jc w:val="center"/>
            </w:pPr>
            <w:r>
              <w:rPr>
                <w:rFonts w:ascii="Calibri" w:hAnsi="Calibri"/>
                <w:sz w:val="18"/>
              </w:rPr>
              <w:t>One-time or refillable stock transfer</w:t>
            </w:r>
          </w:p>
        </w:tc>
        <w:tc>
          <w:tcPr>
            <w:tcW w:type="dxa" w:w="3312"/>
            <w:tcMar>
              <w:top w:w="80" w:type="dxa"/>
              <w:bottom w:w="80" w:type="dxa"/>
              <w:start w:w="120" w:type="dxa"/>
              <w:end w:w="120" w:type="dxa"/>
            </w:tcMar>
            <w:vAlign w:val="center"/>
          </w:tcPr>
          <w:p>
            <w:pPr>
              <w:jc w:val="center"/>
            </w:pPr>
            <w:r>
              <w:rPr>
                <w:rFonts w:ascii="Calibri" w:hAnsi="Calibri"/>
                <w:sz w:val="18"/>
              </w:rPr>
              <w:t>Directly supported as high end of 20-50 kAf/yr practical diversion estimate</w:t>
            </w:r>
          </w:p>
        </w:tc>
      </w:tr>
      <w:tr>
        <w:tc>
          <w:tcPr>
            <w:tcW w:type="dxa" w:w="2016"/>
            <w:tcMar>
              <w:top w:w="80" w:type="dxa"/>
              <w:bottom w:w="80" w:type="dxa"/>
              <w:start w:w="120" w:type="dxa"/>
              <w:end w:w="120" w:type="dxa"/>
            </w:tcMar>
            <w:vAlign w:val="center"/>
          </w:tcPr>
          <w:p>
            <w:pPr>
              <w:jc w:val="left"/>
            </w:pPr>
            <w:r>
              <w:rPr>
                <w:rFonts w:ascii="Calibri" w:hAnsi="Calibri"/>
                <w:sz w:val="18"/>
              </w:rPr>
              <w:t>Mineral extraction reduction</w:t>
            </w:r>
          </w:p>
        </w:tc>
        <w:tc>
          <w:tcPr>
            <w:tcW w:type="dxa" w:w="1584"/>
            <w:tcMar>
              <w:top w:w="80" w:type="dxa"/>
              <w:bottom w:w="80" w:type="dxa"/>
              <w:start w:w="120" w:type="dxa"/>
              <w:end w:w="120" w:type="dxa"/>
            </w:tcMar>
            <w:vAlign w:val="center"/>
          </w:tcPr>
          <w:p>
            <w:pPr>
              <w:jc w:val="center"/>
            </w:pPr>
            <w:r>
              <w:rPr>
                <w:rFonts w:ascii="Calibri" w:hAnsi="Calibri"/>
                <w:sz w:val="18"/>
              </w:rPr>
              <w:t>150 kAf/yr</w:t>
            </w:r>
          </w:p>
        </w:tc>
        <w:tc>
          <w:tcPr>
            <w:tcW w:type="dxa" w:w="2448"/>
            <w:tcMar>
              <w:top w:w="80" w:type="dxa"/>
              <w:bottom w:w="80" w:type="dxa"/>
              <w:start w:w="120" w:type="dxa"/>
              <w:end w:w="120" w:type="dxa"/>
            </w:tcMar>
            <w:vAlign w:val="center"/>
          </w:tcPr>
          <w:p>
            <w:pPr>
              <w:jc w:val="center"/>
            </w:pPr>
            <w:r>
              <w:rPr>
                <w:rFonts w:ascii="Calibri" w:hAnsi="Calibri"/>
                <w:sz w:val="18"/>
              </w:rPr>
              <w:t>Industrial depletion-reduction scenario</w:t>
            </w:r>
          </w:p>
        </w:tc>
        <w:tc>
          <w:tcPr>
            <w:tcW w:type="dxa" w:w="3312"/>
            <w:tcMar>
              <w:top w:w="80" w:type="dxa"/>
              <w:bottom w:w="80" w:type="dxa"/>
              <w:start w:w="120" w:type="dxa"/>
              <w:end w:w="120" w:type="dxa"/>
            </w:tcMar>
            <w:vAlign w:val="center"/>
          </w:tcPr>
          <w:p>
            <w:pPr>
              <w:jc w:val="center"/>
            </w:pPr>
            <w:r>
              <w:rPr>
                <w:rFonts w:ascii="Calibri" w:hAnsi="Calibri"/>
                <w:sz w:val="18"/>
              </w:rPr>
              <w:t>Too high if treated as additive to separate US Magnesium avoided depletion; defensible only as an aggressive historical-counterfactual ceiling</w:t>
            </w:r>
          </w:p>
        </w:tc>
      </w:tr>
      <w:tr>
        <w:tc>
          <w:tcPr>
            <w:tcW w:type="dxa" w:w="2016"/>
            <w:tcMar>
              <w:top w:w="80" w:type="dxa"/>
              <w:bottom w:w="80" w:type="dxa"/>
              <w:start w:w="120" w:type="dxa"/>
              <w:end w:w="120" w:type="dxa"/>
            </w:tcMar>
            <w:vAlign w:val="center"/>
          </w:tcPr>
          <w:p>
            <w:pPr>
              <w:jc w:val="left"/>
            </w:pPr>
            <w:r>
              <w:rPr>
                <w:rFonts w:ascii="Calibri" w:hAnsi="Calibri"/>
                <w:sz w:val="18"/>
              </w:rPr>
              <w:t>Reservoir operations/releases</w:t>
            </w:r>
          </w:p>
        </w:tc>
        <w:tc>
          <w:tcPr>
            <w:tcW w:type="dxa" w:w="1584"/>
            <w:tcMar>
              <w:top w:w="80" w:type="dxa"/>
              <w:bottom w:w="80" w:type="dxa"/>
              <w:start w:w="120" w:type="dxa"/>
              <w:end w:w="120" w:type="dxa"/>
            </w:tcMar>
            <w:vAlign w:val="center"/>
          </w:tcPr>
          <w:p>
            <w:pPr>
              <w:jc w:val="center"/>
            </w:pPr>
            <w:r>
              <w:rPr>
                <w:rFonts w:ascii="Calibri" w:hAnsi="Calibri"/>
                <w:sz w:val="18"/>
              </w:rPr>
              <w:t>180 kAf/yr</w:t>
            </w:r>
          </w:p>
        </w:tc>
        <w:tc>
          <w:tcPr>
            <w:tcW w:type="dxa" w:w="2448"/>
            <w:tcMar>
              <w:top w:w="80" w:type="dxa"/>
              <w:bottom w:w="80" w:type="dxa"/>
              <w:start w:w="120" w:type="dxa"/>
              <w:end w:w="120" w:type="dxa"/>
            </w:tcMar>
            <w:vAlign w:val="center"/>
          </w:tcPr>
          <w:p>
            <w:pPr>
              <w:jc w:val="center"/>
            </w:pPr>
            <w:r>
              <w:rPr>
                <w:rFonts w:ascii="Calibri" w:hAnsi="Calibri"/>
                <w:sz w:val="18"/>
              </w:rPr>
              <w:t>Episodic operational release</w:t>
            </w:r>
          </w:p>
        </w:tc>
        <w:tc>
          <w:tcPr>
            <w:tcW w:type="dxa" w:w="3312"/>
            <w:tcMar>
              <w:top w:w="80" w:type="dxa"/>
              <w:bottom w:w="80" w:type="dxa"/>
              <w:start w:w="120" w:type="dxa"/>
              <w:end w:w="120" w:type="dxa"/>
            </w:tcMar>
            <w:vAlign w:val="center"/>
          </w:tcPr>
          <w:p>
            <w:pPr>
              <w:jc w:val="center"/>
            </w:pPr>
            <w:r>
              <w:rPr>
                <w:rFonts w:ascii="Calibri" w:hAnsi="Calibri"/>
                <w:sz w:val="18"/>
              </w:rPr>
              <w:t>Directly supported by 2025 Utah Lake 80 kAf plus Willard Bay over 100 kAf release observations; episodic, not recurring</w:t>
            </w:r>
          </w:p>
        </w:tc>
      </w:tr>
      <w:tr>
        <w:tc>
          <w:tcPr>
            <w:tcW w:type="dxa" w:w="2016"/>
            <w:tcMar>
              <w:top w:w="80" w:type="dxa"/>
              <w:bottom w:w="80" w:type="dxa"/>
              <w:start w:w="120" w:type="dxa"/>
              <w:end w:w="120" w:type="dxa"/>
            </w:tcMar>
            <w:vAlign w:val="center"/>
          </w:tcPr>
          <w:p>
            <w:pPr>
              <w:jc w:val="left"/>
            </w:pPr>
            <w:r>
              <w:rPr>
                <w:rFonts w:ascii="Calibri" w:hAnsi="Calibri"/>
                <w:sz w:val="18"/>
              </w:rPr>
              <w:t>New water augmentation</w:t>
            </w:r>
          </w:p>
        </w:tc>
        <w:tc>
          <w:tcPr>
            <w:tcW w:type="dxa" w:w="1584"/>
            <w:tcMar>
              <w:top w:w="80" w:type="dxa"/>
              <w:bottom w:w="80" w:type="dxa"/>
              <w:start w:w="120" w:type="dxa"/>
              <w:end w:w="120" w:type="dxa"/>
            </w:tcMar>
            <w:vAlign w:val="center"/>
          </w:tcPr>
          <w:p>
            <w:pPr>
              <w:jc w:val="center"/>
            </w:pPr>
            <w:r>
              <w:rPr>
                <w:rFonts w:ascii="Calibri" w:hAnsi="Calibri"/>
                <w:sz w:val="18"/>
              </w:rPr>
              <w:t>1,500 kAf/yr</w:t>
            </w:r>
          </w:p>
        </w:tc>
        <w:tc>
          <w:tcPr>
            <w:tcW w:type="dxa" w:w="2448"/>
            <w:tcMar>
              <w:top w:w="80" w:type="dxa"/>
              <w:bottom w:w="80" w:type="dxa"/>
              <w:start w:w="120" w:type="dxa"/>
              <w:end w:w="120" w:type="dxa"/>
            </w:tcMar>
            <w:vAlign w:val="center"/>
          </w:tcPr>
          <w:p>
            <w:pPr>
              <w:jc w:val="center"/>
            </w:pPr>
            <w:r>
              <w:rPr>
                <w:rFonts w:ascii="Calibri" w:hAnsi="Calibri"/>
                <w:sz w:val="18"/>
              </w:rPr>
              <w:t>External augmentation stress test</w:t>
            </w:r>
          </w:p>
        </w:tc>
        <w:tc>
          <w:tcPr>
            <w:tcW w:type="dxa" w:w="3312"/>
            <w:tcMar>
              <w:top w:w="80" w:type="dxa"/>
              <w:bottom w:w="80" w:type="dxa"/>
              <w:start w:w="120" w:type="dxa"/>
              <w:end w:w="120" w:type="dxa"/>
            </w:tcMar>
            <w:vAlign w:val="center"/>
          </w:tcPr>
          <w:p>
            <w:pPr>
              <w:jc w:val="center"/>
            </w:pPr>
            <w:r>
              <w:rPr>
                <w:rFonts w:ascii="Calibri" w:hAnsi="Calibri"/>
                <w:sz w:val="18"/>
              </w:rPr>
              <w:t>Scenario stress-test ceiling, not a Strike Team policy lever</w:t>
            </w:r>
          </w:p>
        </w:tc>
      </w:tr>
      <w:tr>
        <w:tc>
          <w:tcPr>
            <w:tcW w:type="dxa" w:w="2016"/>
            <w:tcMar>
              <w:top w:w="80" w:type="dxa"/>
              <w:bottom w:w="80" w:type="dxa"/>
              <w:start w:w="120" w:type="dxa"/>
              <w:end w:w="120" w:type="dxa"/>
            </w:tcMar>
            <w:vAlign w:val="center"/>
          </w:tcPr>
          <w:p>
            <w:pPr>
              <w:jc w:val="left"/>
            </w:pPr>
            <w:r>
              <w:rPr>
                <w:rFonts w:ascii="Calibri" w:hAnsi="Calibri"/>
                <w:sz w:val="18"/>
              </w:rPr>
              <w:t>US Magnesium-type avoided depletion</w:t>
            </w:r>
          </w:p>
        </w:tc>
        <w:tc>
          <w:tcPr>
            <w:tcW w:type="dxa" w:w="1584"/>
            <w:tcMar>
              <w:top w:w="80" w:type="dxa"/>
              <w:bottom w:w="80" w:type="dxa"/>
              <w:start w:w="120" w:type="dxa"/>
              <w:end w:w="120" w:type="dxa"/>
            </w:tcMar>
            <w:vAlign w:val="center"/>
          </w:tcPr>
          <w:p>
            <w:pPr>
              <w:jc w:val="center"/>
            </w:pPr>
            <w:r>
              <w:rPr>
                <w:rFonts w:ascii="Calibri" w:hAnsi="Calibri"/>
                <w:sz w:val="18"/>
              </w:rPr>
              <w:t>65 kAf/yr in v14.1 display</w:t>
            </w:r>
          </w:p>
        </w:tc>
        <w:tc>
          <w:tcPr>
            <w:tcW w:type="dxa" w:w="2448"/>
            <w:tcMar>
              <w:top w:w="80" w:type="dxa"/>
              <w:bottom w:w="80" w:type="dxa"/>
              <w:start w:w="120" w:type="dxa"/>
              <w:end w:w="120" w:type="dxa"/>
            </w:tcMar>
            <w:vAlign w:val="center"/>
          </w:tcPr>
          <w:p>
            <w:pPr>
              <w:jc w:val="center"/>
            </w:pPr>
            <w:r>
              <w:rPr>
                <w:rFonts w:ascii="Calibri" w:hAnsi="Calibri"/>
                <w:sz w:val="18"/>
              </w:rPr>
              <w:t>Structural baseline gain; not a lever</w:t>
            </w:r>
          </w:p>
        </w:tc>
        <w:tc>
          <w:tcPr>
            <w:tcW w:type="dxa" w:w="3312"/>
            <w:tcMar>
              <w:top w:w="80" w:type="dxa"/>
              <w:bottom w:w="80" w:type="dxa"/>
              <w:start w:w="120" w:type="dxa"/>
              <w:end w:w="120" w:type="dxa"/>
            </w:tcMar>
            <w:vAlign w:val="center"/>
          </w:tcPr>
          <w:p>
            <w:pPr>
              <w:jc w:val="center"/>
            </w:pPr>
            <w:r>
              <w:rPr>
                <w:rFonts w:ascii="Calibri" w:hAnsi="Calibri"/>
                <w:sz w:val="18"/>
              </w:rPr>
              <w:t>Should remain separate from modeled policy water unless a specific counterfactual baseline is being used</w:t>
            </w:r>
          </w:p>
        </w:tc>
      </w:tr>
    </w:tbl>
    <w:p/>
    <w:p>
      <w:pPr>
        <w:pStyle w:val="Heading1"/>
      </w:pPr>
      <w:r>
        <w:t>Current Profile Coefficients</w:t>
      </w:r>
    </w:p>
    <w:tbl>
      <w:tblPr>
        <w:tblStyle w:val="TableGrid"/>
        <w:tblW w:type="auto" w:w="0"/>
        <w:tblLayout w:type="fixed"/>
        <w:tblLook w:firstColumn="1" w:firstRow="1" w:lastColumn="0" w:lastRow="0" w:noHBand="0" w:noVBand="1" w:val="04A0"/>
        <w:jc w:val="center"/>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720"/>
        <w:gridCol w:w="720"/>
        <w:gridCol w:w="720"/>
        <w:gridCol w:w="720"/>
        <w:gridCol w:w="720"/>
        <w:gridCol w:w="720"/>
        <w:gridCol w:w="720"/>
        <w:gridCol w:w="720"/>
        <w:gridCol w:w="720"/>
        <w:gridCol w:w="720"/>
        <w:gridCol w:w="720"/>
        <w:gridCol w:w="720"/>
        <w:gridCol w:w="720"/>
      </w:tblGrid>
      <w:tr>
        <w:tc>
          <w:tcPr>
            <w:tcW w:type="dxa" w:w="2592"/>
            <w:tcMar>
              <w:top w:w="80" w:type="dxa"/>
              <w:bottom w:w="80" w:type="dxa"/>
              <w:start w:w="120" w:type="dxa"/>
              <w:end w:w="120" w:type="dxa"/>
            </w:tcMar>
            <w:vAlign w:val="center"/>
            <w:shd w:fill="F2F4F7"/>
          </w:tcPr>
          <w:p>
            <w:pPr>
              <w:jc w:val="center"/>
            </w:pPr>
            <w:r>
              <w:rPr>
                <w:rFonts w:ascii="Calibri" w:hAnsi="Calibri"/>
                <w:b/>
                <w:sz w:val="15"/>
              </w:rPr>
              <w:t>Lever</w:t>
            </w:r>
          </w:p>
        </w:tc>
        <w:tc>
          <w:tcPr>
            <w:tcW w:type="dxa" w:w="562"/>
            <w:tcMar>
              <w:top w:w="80" w:type="dxa"/>
              <w:bottom w:w="80" w:type="dxa"/>
              <w:start w:w="120" w:type="dxa"/>
              <w:end w:w="120" w:type="dxa"/>
            </w:tcMar>
            <w:vAlign w:val="center"/>
            <w:shd w:fill="F2F4F7"/>
          </w:tcPr>
          <w:p>
            <w:pPr>
              <w:jc w:val="center"/>
            </w:pPr>
            <w:r>
              <w:rPr>
                <w:rFonts w:ascii="Calibri" w:hAnsi="Calibri"/>
                <w:b/>
                <w:sz w:val="15"/>
              </w:rPr>
              <w:t>2025</w:t>
            </w:r>
          </w:p>
        </w:tc>
        <w:tc>
          <w:tcPr>
            <w:tcW w:type="dxa" w:w="562"/>
            <w:tcMar>
              <w:top w:w="80" w:type="dxa"/>
              <w:bottom w:w="80" w:type="dxa"/>
              <w:start w:w="120" w:type="dxa"/>
              <w:end w:w="120" w:type="dxa"/>
            </w:tcMar>
            <w:vAlign w:val="center"/>
            <w:shd w:fill="F2F4F7"/>
          </w:tcPr>
          <w:p>
            <w:pPr>
              <w:jc w:val="center"/>
            </w:pPr>
            <w:r>
              <w:rPr>
                <w:rFonts w:ascii="Calibri" w:hAnsi="Calibri"/>
                <w:b/>
                <w:sz w:val="15"/>
              </w:rPr>
              <w:t>2026</w:t>
            </w:r>
          </w:p>
        </w:tc>
        <w:tc>
          <w:tcPr>
            <w:tcW w:type="dxa" w:w="562"/>
            <w:tcMar>
              <w:top w:w="80" w:type="dxa"/>
              <w:bottom w:w="80" w:type="dxa"/>
              <w:start w:w="120" w:type="dxa"/>
              <w:end w:w="120" w:type="dxa"/>
            </w:tcMar>
            <w:vAlign w:val="center"/>
            <w:shd w:fill="F2F4F7"/>
          </w:tcPr>
          <w:p>
            <w:pPr>
              <w:jc w:val="center"/>
            </w:pPr>
            <w:r>
              <w:rPr>
                <w:rFonts w:ascii="Calibri" w:hAnsi="Calibri"/>
                <w:b/>
                <w:sz w:val="15"/>
              </w:rPr>
              <w:t>2027</w:t>
            </w:r>
          </w:p>
        </w:tc>
        <w:tc>
          <w:tcPr>
            <w:tcW w:type="dxa" w:w="562"/>
            <w:tcMar>
              <w:top w:w="80" w:type="dxa"/>
              <w:bottom w:w="80" w:type="dxa"/>
              <w:start w:w="120" w:type="dxa"/>
              <w:end w:w="120" w:type="dxa"/>
            </w:tcMar>
            <w:vAlign w:val="center"/>
            <w:shd w:fill="F2F4F7"/>
          </w:tcPr>
          <w:p>
            <w:pPr>
              <w:jc w:val="center"/>
            </w:pPr>
            <w:r>
              <w:rPr>
                <w:rFonts w:ascii="Calibri" w:hAnsi="Calibri"/>
                <w:b/>
                <w:sz w:val="15"/>
              </w:rPr>
              <w:t>2028</w:t>
            </w:r>
          </w:p>
        </w:tc>
        <w:tc>
          <w:tcPr>
            <w:tcW w:type="dxa" w:w="562"/>
            <w:tcMar>
              <w:top w:w="80" w:type="dxa"/>
              <w:bottom w:w="80" w:type="dxa"/>
              <w:start w:w="120" w:type="dxa"/>
              <w:end w:w="120" w:type="dxa"/>
            </w:tcMar>
            <w:vAlign w:val="center"/>
            <w:shd w:fill="F2F4F7"/>
          </w:tcPr>
          <w:p>
            <w:pPr>
              <w:jc w:val="center"/>
            </w:pPr>
            <w:r>
              <w:rPr>
                <w:rFonts w:ascii="Calibri" w:hAnsi="Calibri"/>
                <w:b/>
                <w:sz w:val="15"/>
              </w:rPr>
              <w:t>2029</w:t>
            </w:r>
          </w:p>
        </w:tc>
        <w:tc>
          <w:tcPr>
            <w:tcW w:type="dxa" w:w="562"/>
            <w:tcMar>
              <w:top w:w="80" w:type="dxa"/>
              <w:bottom w:w="80" w:type="dxa"/>
              <w:start w:w="120" w:type="dxa"/>
              <w:end w:w="120" w:type="dxa"/>
            </w:tcMar>
            <w:vAlign w:val="center"/>
            <w:shd w:fill="F2F4F7"/>
          </w:tcPr>
          <w:p>
            <w:pPr>
              <w:jc w:val="center"/>
            </w:pPr>
            <w:r>
              <w:rPr>
                <w:rFonts w:ascii="Calibri" w:hAnsi="Calibri"/>
                <w:b/>
                <w:sz w:val="15"/>
              </w:rPr>
              <w:t>2030</w:t>
            </w:r>
          </w:p>
        </w:tc>
        <w:tc>
          <w:tcPr>
            <w:tcW w:type="dxa" w:w="562"/>
            <w:tcMar>
              <w:top w:w="80" w:type="dxa"/>
              <w:bottom w:w="80" w:type="dxa"/>
              <w:start w:w="120" w:type="dxa"/>
              <w:end w:w="120" w:type="dxa"/>
            </w:tcMar>
            <w:vAlign w:val="center"/>
            <w:shd w:fill="F2F4F7"/>
          </w:tcPr>
          <w:p>
            <w:pPr>
              <w:jc w:val="center"/>
            </w:pPr>
            <w:r>
              <w:rPr>
                <w:rFonts w:ascii="Calibri" w:hAnsi="Calibri"/>
                <w:b/>
                <w:sz w:val="15"/>
              </w:rPr>
              <w:t>2031</w:t>
            </w:r>
          </w:p>
        </w:tc>
        <w:tc>
          <w:tcPr>
            <w:tcW w:type="dxa" w:w="562"/>
            <w:tcMar>
              <w:top w:w="80" w:type="dxa"/>
              <w:bottom w:w="80" w:type="dxa"/>
              <w:start w:w="120" w:type="dxa"/>
              <w:end w:w="120" w:type="dxa"/>
            </w:tcMar>
            <w:vAlign w:val="center"/>
            <w:shd w:fill="F2F4F7"/>
          </w:tcPr>
          <w:p>
            <w:pPr>
              <w:jc w:val="center"/>
            </w:pPr>
            <w:r>
              <w:rPr>
                <w:rFonts w:ascii="Calibri" w:hAnsi="Calibri"/>
                <w:b/>
                <w:sz w:val="15"/>
              </w:rPr>
              <w:t>2032</w:t>
            </w:r>
          </w:p>
        </w:tc>
        <w:tc>
          <w:tcPr>
            <w:tcW w:type="dxa" w:w="562"/>
            <w:tcMar>
              <w:top w:w="80" w:type="dxa"/>
              <w:bottom w:w="80" w:type="dxa"/>
              <w:start w:w="120" w:type="dxa"/>
              <w:end w:w="120" w:type="dxa"/>
            </w:tcMar>
            <w:vAlign w:val="center"/>
            <w:shd w:fill="F2F4F7"/>
          </w:tcPr>
          <w:p>
            <w:pPr>
              <w:jc w:val="center"/>
            </w:pPr>
            <w:r>
              <w:rPr>
                <w:rFonts w:ascii="Calibri" w:hAnsi="Calibri"/>
                <w:b/>
                <w:sz w:val="15"/>
              </w:rPr>
              <w:t>2033</w:t>
            </w:r>
          </w:p>
        </w:tc>
        <w:tc>
          <w:tcPr>
            <w:tcW w:type="dxa" w:w="562"/>
            <w:tcMar>
              <w:top w:w="80" w:type="dxa"/>
              <w:bottom w:w="80" w:type="dxa"/>
              <w:start w:w="120" w:type="dxa"/>
              <w:end w:w="120" w:type="dxa"/>
            </w:tcMar>
            <w:vAlign w:val="center"/>
            <w:shd w:fill="F2F4F7"/>
          </w:tcPr>
          <w:p>
            <w:pPr>
              <w:jc w:val="center"/>
            </w:pPr>
            <w:r>
              <w:rPr>
                <w:rFonts w:ascii="Calibri" w:hAnsi="Calibri"/>
                <w:b/>
                <w:sz w:val="15"/>
              </w:rPr>
              <w:t>2034</w:t>
            </w:r>
          </w:p>
        </w:tc>
        <w:tc>
          <w:tcPr>
            <w:tcW w:type="dxa" w:w="562"/>
            <w:tcMar>
              <w:top w:w="80" w:type="dxa"/>
              <w:bottom w:w="80" w:type="dxa"/>
              <w:start w:w="120" w:type="dxa"/>
              <w:end w:w="120" w:type="dxa"/>
            </w:tcMar>
            <w:vAlign w:val="center"/>
            <w:shd w:fill="F2F4F7"/>
          </w:tcPr>
          <w:p>
            <w:pPr>
              <w:jc w:val="center"/>
            </w:pPr>
            <w:r>
              <w:rPr>
                <w:rFonts w:ascii="Calibri" w:hAnsi="Calibri"/>
                <w:b/>
                <w:sz w:val="15"/>
              </w:rPr>
              <w:t>2035</w:t>
            </w:r>
          </w:p>
        </w:tc>
        <w:tc>
          <w:tcPr>
            <w:tcW w:type="dxa" w:w="562"/>
            <w:tcMar>
              <w:top w:w="80" w:type="dxa"/>
              <w:bottom w:w="80" w:type="dxa"/>
              <w:start w:w="120" w:type="dxa"/>
              <w:end w:w="120" w:type="dxa"/>
            </w:tcMar>
            <w:vAlign w:val="center"/>
            <w:shd w:fill="F2F4F7"/>
          </w:tcPr>
          <w:p>
            <w:pPr>
              <w:jc w:val="center"/>
            </w:pPr>
            <w:r>
              <w:rPr>
                <w:rFonts w:ascii="Calibri" w:hAnsi="Calibri"/>
                <w:b/>
                <w:sz w:val="15"/>
              </w:rPr>
              <w:t>2036</w:t>
            </w:r>
          </w:p>
        </w:tc>
      </w:tr>
      <w:tr>
        <w:tc>
          <w:tcPr>
            <w:tcW w:type="dxa" w:w="2592"/>
            <w:tcMar>
              <w:top w:w="80" w:type="dxa"/>
              <w:bottom w:w="80" w:type="dxa"/>
              <w:start w:w="120" w:type="dxa"/>
              <w:end w:w="120" w:type="dxa"/>
            </w:tcMar>
            <w:vAlign w:val="center"/>
          </w:tcPr>
          <w:p>
            <w:pPr>
              <w:jc w:val="center"/>
            </w:pPr>
            <w:r>
              <w:rPr>
                <w:rFonts w:ascii="Calibri" w:hAnsi="Calibri"/>
                <w:sz w:val="15"/>
              </w:rPr>
              <w:t>Agricultural optimization and leasing</w:t>
            </w:r>
          </w:p>
        </w:tc>
        <w:tc>
          <w:tcPr>
            <w:tcW w:type="dxa" w:w="562"/>
            <w:tcMar>
              <w:top w:w="80" w:type="dxa"/>
              <w:bottom w:w="80" w:type="dxa"/>
              <w:start w:w="120" w:type="dxa"/>
              <w:end w:w="120" w:type="dxa"/>
            </w:tcMar>
            <w:vAlign w:val="center"/>
          </w:tcPr>
          <w:p>
            <w:pPr>
              <w:jc w:val="center"/>
            </w:pPr>
            <w:r>
              <w:rPr>
                <w:rFonts w:ascii="Calibri" w:hAnsi="Calibri"/>
                <w:sz w:val="15"/>
              </w:rPr>
              <w:t>0.50</w:t>
            </w:r>
          </w:p>
        </w:tc>
        <w:tc>
          <w:tcPr>
            <w:tcW w:type="dxa" w:w="562"/>
            <w:tcMar>
              <w:top w:w="80" w:type="dxa"/>
              <w:bottom w:w="80" w:type="dxa"/>
              <w:start w:w="120" w:type="dxa"/>
              <w:end w:w="120" w:type="dxa"/>
            </w:tcMar>
            <w:vAlign w:val="center"/>
          </w:tcPr>
          <w:p>
            <w:pPr>
              <w:jc w:val="center"/>
            </w:pPr>
            <w:r>
              <w:rPr>
                <w:rFonts w:ascii="Calibri" w:hAnsi="Calibri"/>
                <w:sz w:val="15"/>
              </w:rPr>
              <w:t>0.35</w:t>
            </w:r>
          </w:p>
        </w:tc>
        <w:tc>
          <w:tcPr>
            <w:tcW w:type="dxa" w:w="562"/>
            <w:tcMar>
              <w:top w:w="80" w:type="dxa"/>
              <w:bottom w:w="80" w:type="dxa"/>
              <w:start w:w="120" w:type="dxa"/>
              <w:end w:w="120" w:type="dxa"/>
            </w:tcMar>
            <w:vAlign w:val="center"/>
          </w:tcPr>
          <w:p>
            <w:pPr>
              <w:jc w:val="center"/>
            </w:pPr>
            <w:r>
              <w:rPr>
                <w:rFonts w:ascii="Calibri" w:hAnsi="Calibri"/>
                <w:sz w:val="15"/>
              </w:rPr>
              <w:t>0.25</w:t>
            </w:r>
          </w:p>
        </w:tc>
        <w:tc>
          <w:tcPr>
            <w:tcW w:type="dxa" w:w="562"/>
            <w:tcMar>
              <w:top w:w="80" w:type="dxa"/>
              <w:bottom w:w="80" w:type="dxa"/>
              <w:start w:w="120" w:type="dxa"/>
              <w:end w:w="120" w:type="dxa"/>
            </w:tcMar>
            <w:vAlign w:val="center"/>
          </w:tcPr>
          <w:p>
            <w:pPr>
              <w:jc w:val="center"/>
            </w:pPr>
            <w:r>
              <w:rPr>
                <w:rFonts w:ascii="Calibri" w:hAnsi="Calibri"/>
                <w:sz w:val="15"/>
              </w:rPr>
              <w:t>0.55</w:t>
            </w:r>
          </w:p>
        </w:tc>
        <w:tc>
          <w:tcPr>
            <w:tcW w:type="dxa" w:w="562"/>
            <w:tcMar>
              <w:top w:w="80" w:type="dxa"/>
              <w:bottom w:w="80" w:type="dxa"/>
              <w:start w:w="120" w:type="dxa"/>
              <w:end w:w="120" w:type="dxa"/>
            </w:tcMar>
            <w:vAlign w:val="center"/>
          </w:tcPr>
          <w:p>
            <w:pPr>
              <w:jc w:val="center"/>
            </w:pPr>
            <w:r>
              <w:rPr>
                <w:rFonts w:ascii="Calibri" w:hAnsi="Calibri"/>
                <w:sz w:val="15"/>
              </w:rPr>
              <w:t>0.75</w:t>
            </w:r>
          </w:p>
        </w:tc>
        <w:tc>
          <w:tcPr>
            <w:tcW w:type="dxa" w:w="562"/>
            <w:tcMar>
              <w:top w:w="80" w:type="dxa"/>
              <w:bottom w:w="80" w:type="dxa"/>
              <w:start w:w="120" w:type="dxa"/>
              <w:end w:w="120" w:type="dxa"/>
            </w:tcMar>
            <w:vAlign w:val="center"/>
          </w:tcPr>
          <w:p>
            <w:pPr>
              <w:jc w:val="center"/>
            </w:pPr>
            <w:r>
              <w:rPr>
                <w:rFonts w:ascii="Calibri" w:hAnsi="Calibri"/>
                <w:sz w:val="15"/>
              </w:rPr>
              <w:t>1.00</w:t>
            </w:r>
          </w:p>
        </w:tc>
        <w:tc>
          <w:tcPr>
            <w:tcW w:type="dxa" w:w="562"/>
            <w:tcMar>
              <w:top w:w="80" w:type="dxa"/>
              <w:bottom w:w="80" w:type="dxa"/>
              <w:start w:w="120" w:type="dxa"/>
              <w:end w:w="120" w:type="dxa"/>
            </w:tcMar>
            <w:vAlign w:val="center"/>
          </w:tcPr>
          <w:p>
            <w:pPr>
              <w:jc w:val="center"/>
            </w:pPr>
            <w:r>
              <w:rPr>
                <w:rFonts w:ascii="Calibri" w:hAnsi="Calibri"/>
                <w:sz w:val="15"/>
              </w:rPr>
              <w:t>0.85</w:t>
            </w:r>
          </w:p>
        </w:tc>
        <w:tc>
          <w:tcPr>
            <w:tcW w:type="dxa" w:w="562"/>
            <w:tcMar>
              <w:top w:w="80" w:type="dxa"/>
              <w:bottom w:w="80" w:type="dxa"/>
              <w:start w:w="120" w:type="dxa"/>
              <w:end w:w="120" w:type="dxa"/>
            </w:tcMar>
            <w:vAlign w:val="center"/>
          </w:tcPr>
          <w:p>
            <w:pPr>
              <w:jc w:val="center"/>
            </w:pPr>
            <w:r>
              <w:rPr>
                <w:rFonts w:ascii="Calibri" w:hAnsi="Calibri"/>
                <w:sz w:val="15"/>
              </w:rPr>
              <w:t>0.55</w:t>
            </w:r>
          </w:p>
        </w:tc>
        <w:tc>
          <w:tcPr>
            <w:tcW w:type="dxa" w:w="562"/>
            <w:tcMar>
              <w:top w:w="80" w:type="dxa"/>
              <w:bottom w:w="80" w:type="dxa"/>
              <w:start w:w="120" w:type="dxa"/>
              <w:end w:w="120" w:type="dxa"/>
            </w:tcMar>
            <w:vAlign w:val="center"/>
          </w:tcPr>
          <w:p>
            <w:pPr>
              <w:jc w:val="center"/>
            </w:pPr>
            <w:r>
              <w:rPr>
                <w:rFonts w:ascii="Calibri" w:hAnsi="Calibri"/>
                <w:sz w:val="15"/>
              </w:rPr>
              <w:t>0.65</w:t>
            </w:r>
          </w:p>
        </w:tc>
        <w:tc>
          <w:tcPr>
            <w:tcW w:type="dxa" w:w="562"/>
            <w:tcMar>
              <w:top w:w="80" w:type="dxa"/>
              <w:bottom w:w="80" w:type="dxa"/>
              <w:start w:w="120" w:type="dxa"/>
              <w:end w:w="120" w:type="dxa"/>
            </w:tcMar>
            <w:vAlign w:val="center"/>
          </w:tcPr>
          <w:p>
            <w:pPr>
              <w:jc w:val="center"/>
            </w:pPr>
            <w:r>
              <w:rPr>
                <w:rFonts w:ascii="Calibri" w:hAnsi="Calibri"/>
                <w:sz w:val="15"/>
              </w:rPr>
              <w:t>0.75</w:t>
            </w:r>
          </w:p>
        </w:tc>
        <w:tc>
          <w:tcPr>
            <w:tcW w:type="dxa" w:w="562"/>
            <w:tcMar>
              <w:top w:w="80" w:type="dxa"/>
              <w:bottom w:w="80" w:type="dxa"/>
              <w:start w:w="120" w:type="dxa"/>
              <w:end w:w="120" w:type="dxa"/>
            </w:tcMar>
            <w:vAlign w:val="center"/>
          </w:tcPr>
          <w:p>
            <w:pPr>
              <w:jc w:val="center"/>
            </w:pPr>
            <w:r>
              <w:rPr>
                <w:rFonts w:ascii="Calibri" w:hAnsi="Calibri"/>
                <w:sz w:val="15"/>
              </w:rPr>
              <w:t>0.65</w:t>
            </w:r>
          </w:p>
        </w:tc>
        <w:tc>
          <w:tcPr>
            <w:tcW w:type="dxa" w:w="562"/>
            <w:tcMar>
              <w:top w:w="80" w:type="dxa"/>
              <w:bottom w:w="80" w:type="dxa"/>
              <w:start w:w="120" w:type="dxa"/>
              <w:end w:w="120" w:type="dxa"/>
            </w:tcMar>
            <w:vAlign w:val="center"/>
          </w:tcPr>
          <w:p>
            <w:pPr>
              <w:jc w:val="center"/>
            </w:pPr>
            <w:r>
              <w:rPr>
                <w:rFonts w:ascii="Calibri" w:hAnsi="Calibri"/>
                <w:sz w:val="15"/>
              </w:rPr>
              <w:t>0.55</w:t>
            </w:r>
          </w:p>
        </w:tc>
      </w:tr>
      <w:tr>
        <w:tc>
          <w:tcPr>
            <w:tcW w:type="dxa" w:w="2592"/>
            <w:tcMar>
              <w:top w:w="80" w:type="dxa"/>
              <w:bottom w:w="80" w:type="dxa"/>
              <w:start w:w="120" w:type="dxa"/>
              <w:end w:w="120" w:type="dxa"/>
            </w:tcMar>
            <w:vAlign w:val="center"/>
          </w:tcPr>
          <w:p>
            <w:pPr>
              <w:jc w:val="center"/>
            </w:pPr>
            <w:r>
              <w:rPr>
                <w:rFonts w:ascii="Calibri" w:hAnsi="Calibri"/>
                <w:sz w:val="15"/>
              </w:rPr>
              <w:t>M&amp;I conservation</w:t>
            </w:r>
          </w:p>
        </w:tc>
        <w:tc>
          <w:tcPr>
            <w:tcW w:type="dxa" w:w="562"/>
            <w:tcMar>
              <w:top w:w="80" w:type="dxa"/>
              <w:bottom w:w="80" w:type="dxa"/>
              <w:start w:w="120" w:type="dxa"/>
              <w:end w:w="120" w:type="dxa"/>
            </w:tcMar>
            <w:vAlign w:val="center"/>
          </w:tcPr>
          <w:p>
            <w:pPr>
              <w:jc w:val="center"/>
            </w:pPr>
            <w:r>
              <w:rPr>
                <w:rFonts w:ascii="Calibri" w:hAnsi="Calibri"/>
                <w:sz w:val="15"/>
              </w:rPr>
              <w:t>0.25</w:t>
            </w:r>
          </w:p>
        </w:tc>
        <w:tc>
          <w:tcPr>
            <w:tcW w:type="dxa" w:w="562"/>
            <w:tcMar>
              <w:top w:w="80" w:type="dxa"/>
              <w:bottom w:w="80" w:type="dxa"/>
              <w:start w:w="120" w:type="dxa"/>
              <w:end w:w="120" w:type="dxa"/>
            </w:tcMar>
            <w:vAlign w:val="center"/>
          </w:tcPr>
          <w:p>
            <w:pPr>
              <w:jc w:val="center"/>
            </w:pPr>
            <w:r>
              <w:rPr>
                <w:rFonts w:ascii="Calibri" w:hAnsi="Calibri"/>
                <w:sz w:val="15"/>
              </w:rPr>
              <w:t>0.50</w:t>
            </w:r>
          </w:p>
        </w:tc>
        <w:tc>
          <w:tcPr>
            <w:tcW w:type="dxa" w:w="562"/>
            <w:tcMar>
              <w:top w:w="80" w:type="dxa"/>
              <w:bottom w:w="80" w:type="dxa"/>
              <w:start w:w="120" w:type="dxa"/>
              <w:end w:w="120" w:type="dxa"/>
            </w:tcMar>
            <w:vAlign w:val="center"/>
          </w:tcPr>
          <w:p>
            <w:pPr>
              <w:jc w:val="center"/>
            </w:pPr>
            <w:r>
              <w:rPr>
                <w:rFonts w:ascii="Calibri" w:hAnsi="Calibri"/>
                <w:sz w:val="15"/>
              </w:rPr>
              <w:t>0.75</w:t>
            </w:r>
          </w:p>
        </w:tc>
        <w:tc>
          <w:tcPr>
            <w:tcW w:type="dxa" w:w="562"/>
            <w:tcMar>
              <w:top w:w="80" w:type="dxa"/>
              <w:bottom w:w="80" w:type="dxa"/>
              <w:start w:w="120" w:type="dxa"/>
              <w:end w:w="120" w:type="dxa"/>
            </w:tcMar>
            <w:vAlign w:val="center"/>
          </w:tcPr>
          <w:p>
            <w:pPr>
              <w:jc w:val="center"/>
            </w:pPr>
            <w:r>
              <w:rPr>
                <w:rFonts w:ascii="Calibri" w:hAnsi="Calibri"/>
                <w:sz w:val="15"/>
              </w:rPr>
              <w:t>1.00</w:t>
            </w:r>
          </w:p>
        </w:tc>
        <w:tc>
          <w:tcPr>
            <w:tcW w:type="dxa" w:w="562"/>
            <w:tcMar>
              <w:top w:w="80" w:type="dxa"/>
              <w:bottom w:w="80" w:type="dxa"/>
              <w:start w:w="120" w:type="dxa"/>
              <w:end w:w="120" w:type="dxa"/>
            </w:tcMar>
            <w:vAlign w:val="center"/>
          </w:tcPr>
          <w:p>
            <w:pPr>
              <w:jc w:val="center"/>
            </w:pPr>
            <w:r>
              <w:rPr>
                <w:rFonts w:ascii="Calibri" w:hAnsi="Calibri"/>
                <w:sz w:val="15"/>
              </w:rPr>
              <w:t>1.00</w:t>
            </w:r>
          </w:p>
        </w:tc>
        <w:tc>
          <w:tcPr>
            <w:tcW w:type="dxa" w:w="562"/>
            <w:tcMar>
              <w:top w:w="80" w:type="dxa"/>
              <w:bottom w:w="80" w:type="dxa"/>
              <w:start w:w="120" w:type="dxa"/>
              <w:end w:w="120" w:type="dxa"/>
            </w:tcMar>
            <w:vAlign w:val="center"/>
          </w:tcPr>
          <w:p>
            <w:pPr>
              <w:jc w:val="center"/>
            </w:pPr>
            <w:r>
              <w:rPr>
                <w:rFonts w:ascii="Calibri" w:hAnsi="Calibri"/>
                <w:sz w:val="15"/>
              </w:rPr>
              <w:t>1.00</w:t>
            </w:r>
          </w:p>
        </w:tc>
        <w:tc>
          <w:tcPr>
            <w:tcW w:type="dxa" w:w="562"/>
            <w:tcMar>
              <w:top w:w="80" w:type="dxa"/>
              <w:bottom w:w="80" w:type="dxa"/>
              <w:start w:w="120" w:type="dxa"/>
              <w:end w:w="120" w:type="dxa"/>
            </w:tcMar>
            <w:vAlign w:val="center"/>
          </w:tcPr>
          <w:p>
            <w:pPr>
              <w:jc w:val="center"/>
            </w:pPr>
            <w:r>
              <w:rPr>
                <w:rFonts w:ascii="Calibri" w:hAnsi="Calibri"/>
                <w:sz w:val="15"/>
              </w:rPr>
              <w:t>1.00</w:t>
            </w:r>
          </w:p>
        </w:tc>
        <w:tc>
          <w:tcPr>
            <w:tcW w:type="dxa" w:w="562"/>
            <w:tcMar>
              <w:top w:w="80" w:type="dxa"/>
              <w:bottom w:w="80" w:type="dxa"/>
              <w:start w:w="120" w:type="dxa"/>
              <w:end w:w="120" w:type="dxa"/>
            </w:tcMar>
            <w:vAlign w:val="center"/>
          </w:tcPr>
          <w:p>
            <w:pPr>
              <w:jc w:val="center"/>
            </w:pPr>
            <w:r>
              <w:rPr>
                <w:rFonts w:ascii="Calibri" w:hAnsi="Calibri"/>
                <w:sz w:val="15"/>
              </w:rPr>
              <w:t>1.00</w:t>
            </w:r>
          </w:p>
        </w:tc>
        <w:tc>
          <w:tcPr>
            <w:tcW w:type="dxa" w:w="562"/>
            <w:tcMar>
              <w:top w:w="80" w:type="dxa"/>
              <w:bottom w:w="80" w:type="dxa"/>
              <w:start w:w="120" w:type="dxa"/>
              <w:end w:w="120" w:type="dxa"/>
            </w:tcMar>
            <w:vAlign w:val="center"/>
          </w:tcPr>
          <w:p>
            <w:pPr>
              <w:jc w:val="center"/>
            </w:pPr>
            <w:r>
              <w:rPr>
                <w:rFonts w:ascii="Calibri" w:hAnsi="Calibri"/>
                <w:sz w:val="15"/>
              </w:rPr>
              <w:t>1.00</w:t>
            </w:r>
          </w:p>
        </w:tc>
        <w:tc>
          <w:tcPr>
            <w:tcW w:type="dxa" w:w="562"/>
            <w:tcMar>
              <w:top w:w="80" w:type="dxa"/>
              <w:bottom w:w="80" w:type="dxa"/>
              <w:start w:w="120" w:type="dxa"/>
              <w:end w:w="120" w:type="dxa"/>
            </w:tcMar>
            <w:vAlign w:val="center"/>
          </w:tcPr>
          <w:p>
            <w:pPr>
              <w:jc w:val="center"/>
            </w:pPr>
            <w:r>
              <w:rPr>
                <w:rFonts w:ascii="Calibri" w:hAnsi="Calibri"/>
                <w:sz w:val="15"/>
              </w:rPr>
              <w:t>1.00</w:t>
            </w:r>
          </w:p>
        </w:tc>
        <w:tc>
          <w:tcPr>
            <w:tcW w:type="dxa" w:w="562"/>
            <w:tcMar>
              <w:top w:w="80" w:type="dxa"/>
              <w:bottom w:w="80" w:type="dxa"/>
              <w:start w:w="120" w:type="dxa"/>
              <w:end w:w="120" w:type="dxa"/>
            </w:tcMar>
            <w:vAlign w:val="center"/>
          </w:tcPr>
          <w:p>
            <w:pPr>
              <w:jc w:val="center"/>
            </w:pPr>
            <w:r>
              <w:rPr>
                <w:rFonts w:ascii="Calibri" w:hAnsi="Calibri"/>
                <w:sz w:val="15"/>
              </w:rPr>
              <w:t>1.00</w:t>
            </w:r>
          </w:p>
        </w:tc>
        <w:tc>
          <w:tcPr>
            <w:tcW w:type="dxa" w:w="562"/>
            <w:tcMar>
              <w:top w:w="80" w:type="dxa"/>
              <w:bottom w:w="80" w:type="dxa"/>
              <w:start w:w="120" w:type="dxa"/>
              <w:end w:w="120" w:type="dxa"/>
            </w:tcMar>
            <w:vAlign w:val="center"/>
          </w:tcPr>
          <w:p>
            <w:pPr>
              <w:jc w:val="center"/>
            </w:pPr>
            <w:r>
              <w:rPr>
                <w:rFonts w:ascii="Calibri" w:hAnsi="Calibri"/>
                <w:sz w:val="15"/>
              </w:rPr>
              <w:t>1.00</w:t>
            </w:r>
          </w:p>
        </w:tc>
      </w:tr>
      <w:tr>
        <w:tc>
          <w:tcPr>
            <w:tcW w:type="dxa" w:w="2592"/>
            <w:tcMar>
              <w:top w:w="80" w:type="dxa"/>
              <w:bottom w:w="80" w:type="dxa"/>
              <w:start w:w="120" w:type="dxa"/>
              <w:end w:w="120" w:type="dxa"/>
            </w:tcMar>
            <w:vAlign w:val="center"/>
          </w:tcPr>
          <w:p>
            <w:pPr>
              <w:jc w:val="center"/>
            </w:pPr>
            <w:r>
              <w:rPr>
                <w:rFonts w:ascii="Calibri" w:hAnsi="Calibri"/>
                <w:sz w:val="15"/>
              </w:rPr>
              <w:t>Phragmites management</w:t>
            </w:r>
          </w:p>
        </w:tc>
        <w:tc>
          <w:tcPr>
            <w:tcW w:type="dxa" w:w="562"/>
            <w:tcMar>
              <w:top w:w="80" w:type="dxa"/>
              <w:bottom w:w="80" w:type="dxa"/>
              <w:start w:w="120" w:type="dxa"/>
              <w:end w:w="120" w:type="dxa"/>
            </w:tcMar>
            <w:vAlign w:val="center"/>
          </w:tcPr>
          <w:p>
            <w:pPr>
              <w:jc w:val="center"/>
            </w:pPr>
            <w:r>
              <w:rPr>
                <w:rFonts w:ascii="Calibri" w:hAnsi="Calibri"/>
                <w:sz w:val="15"/>
              </w:rPr>
              <w:t>0.20</w:t>
            </w:r>
          </w:p>
        </w:tc>
        <w:tc>
          <w:tcPr>
            <w:tcW w:type="dxa" w:w="562"/>
            <w:tcMar>
              <w:top w:w="80" w:type="dxa"/>
              <w:bottom w:w="80" w:type="dxa"/>
              <w:start w:w="120" w:type="dxa"/>
              <w:end w:w="120" w:type="dxa"/>
            </w:tcMar>
            <w:vAlign w:val="center"/>
          </w:tcPr>
          <w:p>
            <w:pPr>
              <w:jc w:val="center"/>
            </w:pPr>
            <w:r>
              <w:rPr>
                <w:rFonts w:ascii="Calibri" w:hAnsi="Calibri"/>
                <w:sz w:val="15"/>
              </w:rPr>
              <w:t>0.40</w:t>
            </w:r>
          </w:p>
        </w:tc>
        <w:tc>
          <w:tcPr>
            <w:tcW w:type="dxa" w:w="562"/>
            <w:tcMar>
              <w:top w:w="80" w:type="dxa"/>
              <w:bottom w:w="80" w:type="dxa"/>
              <w:start w:w="120" w:type="dxa"/>
              <w:end w:w="120" w:type="dxa"/>
            </w:tcMar>
            <w:vAlign w:val="center"/>
          </w:tcPr>
          <w:p>
            <w:pPr>
              <w:jc w:val="center"/>
            </w:pPr>
            <w:r>
              <w:rPr>
                <w:rFonts w:ascii="Calibri" w:hAnsi="Calibri"/>
                <w:sz w:val="15"/>
              </w:rPr>
              <w:t>0.65</w:t>
            </w:r>
          </w:p>
        </w:tc>
        <w:tc>
          <w:tcPr>
            <w:tcW w:type="dxa" w:w="562"/>
            <w:tcMar>
              <w:top w:w="80" w:type="dxa"/>
              <w:bottom w:w="80" w:type="dxa"/>
              <w:start w:w="120" w:type="dxa"/>
              <w:end w:w="120" w:type="dxa"/>
            </w:tcMar>
            <w:vAlign w:val="center"/>
          </w:tcPr>
          <w:p>
            <w:pPr>
              <w:jc w:val="center"/>
            </w:pPr>
            <w:r>
              <w:rPr>
                <w:rFonts w:ascii="Calibri" w:hAnsi="Calibri"/>
                <w:sz w:val="15"/>
              </w:rPr>
              <w:t>0.85</w:t>
            </w:r>
          </w:p>
        </w:tc>
        <w:tc>
          <w:tcPr>
            <w:tcW w:type="dxa" w:w="562"/>
            <w:tcMar>
              <w:top w:w="80" w:type="dxa"/>
              <w:bottom w:w="80" w:type="dxa"/>
              <w:start w:w="120" w:type="dxa"/>
              <w:end w:w="120" w:type="dxa"/>
            </w:tcMar>
            <w:vAlign w:val="center"/>
          </w:tcPr>
          <w:p>
            <w:pPr>
              <w:jc w:val="center"/>
            </w:pPr>
            <w:r>
              <w:rPr>
                <w:rFonts w:ascii="Calibri" w:hAnsi="Calibri"/>
                <w:sz w:val="15"/>
              </w:rPr>
              <w:t>1.00</w:t>
            </w:r>
          </w:p>
        </w:tc>
        <w:tc>
          <w:tcPr>
            <w:tcW w:type="dxa" w:w="562"/>
            <w:tcMar>
              <w:top w:w="80" w:type="dxa"/>
              <w:bottom w:w="80" w:type="dxa"/>
              <w:start w:w="120" w:type="dxa"/>
              <w:end w:w="120" w:type="dxa"/>
            </w:tcMar>
            <w:vAlign w:val="center"/>
          </w:tcPr>
          <w:p>
            <w:pPr>
              <w:jc w:val="center"/>
            </w:pPr>
            <w:r>
              <w:rPr>
                <w:rFonts w:ascii="Calibri" w:hAnsi="Calibri"/>
                <w:sz w:val="15"/>
              </w:rPr>
              <w:t>1.00</w:t>
            </w:r>
          </w:p>
        </w:tc>
        <w:tc>
          <w:tcPr>
            <w:tcW w:type="dxa" w:w="562"/>
            <w:tcMar>
              <w:top w:w="80" w:type="dxa"/>
              <w:bottom w:w="80" w:type="dxa"/>
              <w:start w:w="120" w:type="dxa"/>
              <w:end w:w="120" w:type="dxa"/>
            </w:tcMar>
            <w:vAlign w:val="center"/>
          </w:tcPr>
          <w:p>
            <w:pPr>
              <w:jc w:val="center"/>
            </w:pPr>
            <w:r>
              <w:rPr>
                <w:rFonts w:ascii="Calibri" w:hAnsi="Calibri"/>
                <w:sz w:val="15"/>
              </w:rPr>
              <w:t>1.00</w:t>
            </w:r>
          </w:p>
        </w:tc>
        <w:tc>
          <w:tcPr>
            <w:tcW w:type="dxa" w:w="562"/>
            <w:tcMar>
              <w:top w:w="80" w:type="dxa"/>
              <w:bottom w:w="80" w:type="dxa"/>
              <w:start w:w="120" w:type="dxa"/>
              <w:end w:w="120" w:type="dxa"/>
            </w:tcMar>
            <w:vAlign w:val="center"/>
          </w:tcPr>
          <w:p>
            <w:pPr>
              <w:jc w:val="center"/>
            </w:pPr>
            <w:r>
              <w:rPr>
                <w:rFonts w:ascii="Calibri" w:hAnsi="Calibri"/>
                <w:sz w:val="15"/>
              </w:rPr>
              <w:t>1.00</w:t>
            </w:r>
          </w:p>
        </w:tc>
        <w:tc>
          <w:tcPr>
            <w:tcW w:type="dxa" w:w="562"/>
            <w:tcMar>
              <w:top w:w="80" w:type="dxa"/>
              <w:bottom w:w="80" w:type="dxa"/>
              <w:start w:w="120" w:type="dxa"/>
              <w:end w:w="120" w:type="dxa"/>
            </w:tcMar>
            <w:vAlign w:val="center"/>
          </w:tcPr>
          <w:p>
            <w:pPr>
              <w:jc w:val="center"/>
            </w:pPr>
            <w:r>
              <w:rPr>
                <w:rFonts w:ascii="Calibri" w:hAnsi="Calibri"/>
                <w:sz w:val="15"/>
              </w:rPr>
              <w:t>1.00</w:t>
            </w:r>
          </w:p>
        </w:tc>
        <w:tc>
          <w:tcPr>
            <w:tcW w:type="dxa" w:w="562"/>
            <w:tcMar>
              <w:top w:w="80" w:type="dxa"/>
              <w:bottom w:w="80" w:type="dxa"/>
              <w:start w:w="120" w:type="dxa"/>
              <w:end w:w="120" w:type="dxa"/>
            </w:tcMar>
            <w:vAlign w:val="center"/>
          </w:tcPr>
          <w:p>
            <w:pPr>
              <w:jc w:val="center"/>
            </w:pPr>
            <w:r>
              <w:rPr>
                <w:rFonts w:ascii="Calibri" w:hAnsi="Calibri"/>
                <w:sz w:val="15"/>
              </w:rPr>
              <w:t>1.00</w:t>
            </w:r>
          </w:p>
        </w:tc>
        <w:tc>
          <w:tcPr>
            <w:tcW w:type="dxa" w:w="562"/>
            <w:tcMar>
              <w:top w:w="80" w:type="dxa"/>
              <w:bottom w:w="80" w:type="dxa"/>
              <w:start w:w="120" w:type="dxa"/>
              <w:end w:w="120" w:type="dxa"/>
            </w:tcMar>
            <w:vAlign w:val="center"/>
          </w:tcPr>
          <w:p>
            <w:pPr>
              <w:jc w:val="center"/>
            </w:pPr>
            <w:r>
              <w:rPr>
                <w:rFonts w:ascii="Calibri" w:hAnsi="Calibri"/>
                <w:sz w:val="15"/>
              </w:rPr>
              <w:t>1.00</w:t>
            </w:r>
          </w:p>
        </w:tc>
        <w:tc>
          <w:tcPr>
            <w:tcW w:type="dxa" w:w="562"/>
            <w:tcMar>
              <w:top w:w="80" w:type="dxa"/>
              <w:bottom w:w="80" w:type="dxa"/>
              <w:start w:w="120" w:type="dxa"/>
              <w:end w:w="120" w:type="dxa"/>
            </w:tcMar>
            <w:vAlign w:val="center"/>
          </w:tcPr>
          <w:p>
            <w:pPr>
              <w:jc w:val="center"/>
            </w:pPr>
            <w:r>
              <w:rPr>
                <w:rFonts w:ascii="Calibri" w:hAnsi="Calibri"/>
                <w:sz w:val="15"/>
              </w:rPr>
              <w:t>1.00</w:t>
            </w:r>
          </w:p>
        </w:tc>
      </w:tr>
      <w:tr>
        <w:tc>
          <w:tcPr>
            <w:tcW w:type="dxa" w:w="2592"/>
            <w:tcMar>
              <w:top w:w="80" w:type="dxa"/>
              <w:bottom w:w="80" w:type="dxa"/>
              <w:start w:w="120" w:type="dxa"/>
              <w:end w:w="120" w:type="dxa"/>
            </w:tcMar>
            <w:vAlign w:val="center"/>
          </w:tcPr>
          <w:p>
            <w:pPr>
              <w:jc w:val="center"/>
            </w:pPr>
            <w:r>
              <w:rPr>
                <w:rFonts w:ascii="Calibri" w:hAnsi="Calibri"/>
                <w:sz w:val="15"/>
              </w:rPr>
              <w:t>Newfoundland evaporation basin</w:t>
            </w:r>
          </w:p>
        </w:tc>
        <w:tc>
          <w:tcPr>
            <w:tcW w:type="dxa" w:w="562"/>
            <w:tcMar>
              <w:top w:w="80" w:type="dxa"/>
              <w:bottom w:w="80" w:type="dxa"/>
              <w:start w:w="120" w:type="dxa"/>
              <w:end w:w="120" w:type="dxa"/>
            </w:tcMar>
            <w:vAlign w:val="center"/>
          </w:tcPr>
          <w:p>
            <w:pPr>
              <w:jc w:val="center"/>
            </w:pPr>
            <w:r>
              <w:rPr>
                <w:rFonts w:ascii="Calibri" w:hAnsi="Calibri"/>
                <w:sz w:val="15"/>
              </w:rPr>
              <w:t>1.00</w:t>
            </w:r>
          </w:p>
        </w:tc>
        <w:tc>
          <w:tcPr>
            <w:tcW w:type="dxa" w:w="562"/>
            <w:tcMar>
              <w:top w:w="80" w:type="dxa"/>
              <w:bottom w:w="80" w:type="dxa"/>
              <w:start w:w="120" w:type="dxa"/>
              <w:end w:w="120" w:type="dxa"/>
            </w:tcMar>
            <w:vAlign w:val="center"/>
          </w:tcPr>
          <w:p>
            <w:pPr>
              <w:jc w:val="center"/>
            </w:pPr>
            <w:r>
              <w:rPr>
                <w:rFonts w:ascii="Calibri" w:hAnsi="Calibri"/>
                <w:sz w:val="15"/>
              </w:rPr>
              <w:t>0.40</w:t>
            </w:r>
          </w:p>
        </w:tc>
        <w:tc>
          <w:tcPr>
            <w:tcW w:type="dxa" w:w="562"/>
            <w:tcMar>
              <w:top w:w="80" w:type="dxa"/>
              <w:bottom w:w="80" w:type="dxa"/>
              <w:start w:w="120" w:type="dxa"/>
              <w:end w:w="120" w:type="dxa"/>
            </w:tcMar>
            <w:vAlign w:val="center"/>
          </w:tcPr>
          <w:p>
            <w:pPr>
              <w:jc w:val="center"/>
            </w:pPr>
            <w:r>
              <w:rPr>
                <w:rFonts w:ascii="Calibri" w:hAnsi="Calibri"/>
                <w:sz w:val="15"/>
              </w:rPr>
              <w:t>0.15</w:t>
            </w:r>
          </w:p>
        </w:tc>
        <w:tc>
          <w:tcPr>
            <w:tcW w:type="dxa" w:w="562"/>
            <w:tcMar>
              <w:top w:w="80" w:type="dxa"/>
              <w:bottom w:w="80" w:type="dxa"/>
              <w:start w:w="120" w:type="dxa"/>
              <w:end w:w="120" w:type="dxa"/>
            </w:tcMar>
            <w:vAlign w:val="center"/>
          </w:tcPr>
          <w:p>
            <w:pPr>
              <w:jc w:val="center"/>
            </w:pPr>
            <w:r>
              <w:rPr>
                <w:rFonts w:ascii="Calibri" w:hAnsi="Calibri"/>
                <w:sz w:val="15"/>
              </w:rPr>
              <w:t>0.00</w:t>
            </w:r>
          </w:p>
        </w:tc>
        <w:tc>
          <w:tcPr>
            <w:tcW w:type="dxa" w:w="562"/>
            <w:tcMar>
              <w:top w:w="80" w:type="dxa"/>
              <w:bottom w:w="80" w:type="dxa"/>
              <w:start w:w="120" w:type="dxa"/>
              <w:end w:w="120" w:type="dxa"/>
            </w:tcMar>
            <w:vAlign w:val="center"/>
          </w:tcPr>
          <w:p>
            <w:pPr>
              <w:jc w:val="center"/>
            </w:pPr>
            <w:r>
              <w:rPr>
                <w:rFonts w:ascii="Calibri" w:hAnsi="Calibri"/>
                <w:sz w:val="15"/>
              </w:rPr>
              <w:t>0.00</w:t>
            </w:r>
          </w:p>
        </w:tc>
        <w:tc>
          <w:tcPr>
            <w:tcW w:type="dxa" w:w="562"/>
            <w:tcMar>
              <w:top w:w="80" w:type="dxa"/>
              <w:bottom w:w="80" w:type="dxa"/>
              <w:start w:w="120" w:type="dxa"/>
              <w:end w:w="120" w:type="dxa"/>
            </w:tcMar>
            <w:vAlign w:val="center"/>
          </w:tcPr>
          <w:p>
            <w:pPr>
              <w:jc w:val="center"/>
            </w:pPr>
            <w:r>
              <w:rPr>
                <w:rFonts w:ascii="Calibri" w:hAnsi="Calibri"/>
                <w:sz w:val="15"/>
              </w:rPr>
              <w:t>0.00</w:t>
            </w:r>
          </w:p>
        </w:tc>
        <w:tc>
          <w:tcPr>
            <w:tcW w:type="dxa" w:w="562"/>
            <w:tcMar>
              <w:top w:w="80" w:type="dxa"/>
              <w:bottom w:w="80" w:type="dxa"/>
              <w:start w:w="120" w:type="dxa"/>
              <w:end w:w="120" w:type="dxa"/>
            </w:tcMar>
            <w:vAlign w:val="center"/>
          </w:tcPr>
          <w:p>
            <w:pPr>
              <w:jc w:val="center"/>
            </w:pPr>
            <w:r>
              <w:rPr>
                <w:rFonts w:ascii="Calibri" w:hAnsi="Calibri"/>
                <w:sz w:val="15"/>
              </w:rPr>
              <w:t>0.00</w:t>
            </w:r>
          </w:p>
        </w:tc>
        <w:tc>
          <w:tcPr>
            <w:tcW w:type="dxa" w:w="562"/>
            <w:tcMar>
              <w:top w:w="80" w:type="dxa"/>
              <w:bottom w:w="80" w:type="dxa"/>
              <w:start w:w="120" w:type="dxa"/>
              <w:end w:w="120" w:type="dxa"/>
            </w:tcMar>
            <w:vAlign w:val="center"/>
          </w:tcPr>
          <w:p>
            <w:pPr>
              <w:jc w:val="center"/>
            </w:pPr>
            <w:r>
              <w:rPr>
                <w:rFonts w:ascii="Calibri" w:hAnsi="Calibri"/>
                <w:sz w:val="15"/>
              </w:rPr>
              <w:t>0.00</w:t>
            </w:r>
          </w:p>
        </w:tc>
        <w:tc>
          <w:tcPr>
            <w:tcW w:type="dxa" w:w="562"/>
            <w:tcMar>
              <w:top w:w="80" w:type="dxa"/>
              <w:bottom w:w="80" w:type="dxa"/>
              <w:start w:w="120" w:type="dxa"/>
              <w:end w:w="120" w:type="dxa"/>
            </w:tcMar>
            <w:vAlign w:val="center"/>
          </w:tcPr>
          <w:p>
            <w:pPr>
              <w:jc w:val="center"/>
            </w:pPr>
            <w:r>
              <w:rPr>
                <w:rFonts w:ascii="Calibri" w:hAnsi="Calibri"/>
                <w:sz w:val="15"/>
              </w:rPr>
              <w:t>0.00</w:t>
            </w:r>
          </w:p>
        </w:tc>
        <w:tc>
          <w:tcPr>
            <w:tcW w:type="dxa" w:w="562"/>
            <w:tcMar>
              <w:top w:w="80" w:type="dxa"/>
              <w:bottom w:w="80" w:type="dxa"/>
              <w:start w:w="120" w:type="dxa"/>
              <w:end w:w="120" w:type="dxa"/>
            </w:tcMar>
            <w:vAlign w:val="center"/>
          </w:tcPr>
          <w:p>
            <w:pPr>
              <w:jc w:val="center"/>
            </w:pPr>
            <w:r>
              <w:rPr>
                <w:rFonts w:ascii="Calibri" w:hAnsi="Calibri"/>
                <w:sz w:val="15"/>
              </w:rPr>
              <w:t>0.00</w:t>
            </w:r>
          </w:p>
        </w:tc>
        <w:tc>
          <w:tcPr>
            <w:tcW w:type="dxa" w:w="562"/>
            <w:tcMar>
              <w:top w:w="80" w:type="dxa"/>
              <w:bottom w:w="80" w:type="dxa"/>
              <w:start w:w="120" w:type="dxa"/>
              <w:end w:w="120" w:type="dxa"/>
            </w:tcMar>
            <w:vAlign w:val="center"/>
          </w:tcPr>
          <w:p>
            <w:pPr>
              <w:jc w:val="center"/>
            </w:pPr>
            <w:r>
              <w:rPr>
                <w:rFonts w:ascii="Calibri" w:hAnsi="Calibri"/>
                <w:sz w:val="15"/>
              </w:rPr>
              <w:t>0.00</w:t>
            </w:r>
          </w:p>
        </w:tc>
        <w:tc>
          <w:tcPr>
            <w:tcW w:type="dxa" w:w="562"/>
            <w:tcMar>
              <w:top w:w="80" w:type="dxa"/>
              <w:bottom w:w="80" w:type="dxa"/>
              <w:start w:w="120" w:type="dxa"/>
              <w:end w:w="120" w:type="dxa"/>
            </w:tcMar>
            <w:vAlign w:val="center"/>
          </w:tcPr>
          <w:p>
            <w:pPr>
              <w:jc w:val="center"/>
            </w:pPr>
            <w:r>
              <w:rPr>
                <w:rFonts w:ascii="Calibri" w:hAnsi="Calibri"/>
                <w:sz w:val="15"/>
              </w:rPr>
              <w:t>0.00</w:t>
            </w:r>
          </w:p>
        </w:tc>
      </w:tr>
      <w:tr>
        <w:tc>
          <w:tcPr>
            <w:tcW w:type="dxa" w:w="2592"/>
            <w:tcMar>
              <w:top w:w="80" w:type="dxa"/>
              <w:bottom w:w="80" w:type="dxa"/>
              <w:start w:w="120" w:type="dxa"/>
              <w:end w:w="120" w:type="dxa"/>
            </w:tcMar>
            <w:vAlign w:val="center"/>
          </w:tcPr>
          <w:p>
            <w:pPr>
              <w:jc w:val="center"/>
            </w:pPr>
            <w:r>
              <w:rPr>
                <w:rFonts w:ascii="Calibri" w:hAnsi="Calibri"/>
                <w:sz w:val="15"/>
              </w:rPr>
              <w:t>Mineral extraction reduction</w:t>
            </w:r>
          </w:p>
        </w:tc>
        <w:tc>
          <w:tcPr>
            <w:tcW w:type="dxa" w:w="562"/>
            <w:tcMar>
              <w:top w:w="80" w:type="dxa"/>
              <w:bottom w:w="80" w:type="dxa"/>
              <w:start w:w="120" w:type="dxa"/>
              <w:end w:w="120" w:type="dxa"/>
            </w:tcMar>
            <w:vAlign w:val="center"/>
          </w:tcPr>
          <w:p>
            <w:pPr>
              <w:jc w:val="center"/>
            </w:pPr>
            <w:r>
              <w:rPr>
                <w:rFonts w:ascii="Calibri" w:hAnsi="Calibri"/>
                <w:sz w:val="15"/>
              </w:rPr>
              <w:t>0.50</w:t>
            </w:r>
          </w:p>
        </w:tc>
        <w:tc>
          <w:tcPr>
            <w:tcW w:type="dxa" w:w="562"/>
            <w:tcMar>
              <w:top w:w="80" w:type="dxa"/>
              <w:bottom w:w="80" w:type="dxa"/>
              <w:start w:w="120" w:type="dxa"/>
              <w:end w:w="120" w:type="dxa"/>
            </w:tcMar>
            <w:vAlign w:val="center"/>
          </w:tcPr>
          <w:p>
            <w:pPr>
              <w:jc w:val="center"/>
            </w:pPr>
            <w:r>
              <w:rPr>
                <w:rFonts w:ascii="Calibri" w:hAnsi="Calibri"/>
                <w:sz w:val="15"/>
              </w:rPr>
              <w:t>0.75</w:t>
            </w:r>
          </w:p>
        </w:tc>
        <w:tc>
          <w:tcPr>
            <w:tcW w:type="dxa" w:w="562"/>
            <w:tcMar>
              <w:top w:w="80" w:type="dxa"/>
              <w:bottom w:w="80" w:type="dxa"/>
              <w:start w:w="120" w:type="dxa"/>
              <w:end w:w="120" w:type="dxa"/>
            </w:tcMar>
            <w:vAlign w:val="center"/>
          </w:tcPr>
          <w:p>
            <w:pPr>
              <w:jc w:val="center"/>
            </w:pPr>
            <w:r>
              <w:rPr>
                <w:rFonts w:ascii="Calibri" w:hAnsi="Calibri"/>
                <w:sz w:val="15"/>
              </w:rPr>
              <w:t>1.00</w:t>
            </w:r>
          </w:p>
        </w:tc>
        <w:tc>
          <w:tcPr>
            <w:tcW w:type="dxa" w:w="562"/>
            <w:tcMar>
              <w:top w:w="80" w:type="dxa"/>
              <w:bottom w:w="80" w:type="dxa"/>
              <w:start w:w="120" w:type="dxa"/>
              <w:end w:w="120" w:type="dxa"/>
            </w:tcMar>
            <w:vAlign w:val="center"/>
          </w:tcPr>
          <w:p>
            <w:pPr>
              <w:jc w:val="center"/>
            </w:pPr>
            <w:r>
              <w:rPr>
                <w:rFonts w:ascii="Calibri" w:hAnsi="Calibri"/>
                <w:sz w:val="15"/>
              </w:rPr>
              <w:t>1.00</w:t>
            </w:r>
          </w:p>
        </w:tc>
        <w:tc>
          <w:tcPr>
            <w:tcW w:type="dxa" w:w="562"/>
            <w:tcMar>
              <w:top w:w="80" w:type="dxa"/>
              <w:bottom w:w="80" w:type="dxa"/>
              <w:start w:w="120" w:type="dxa"/>
              <w:end w:w="120" w:type="dxa"/>
            </w:tcMar>
            <w:vAlign w:val="center"/>
          </w:tcPr>
          <w:p>
            <w:pPr>
              <w:jc w:val="center"/>
            </w:pPr>
            <w:r>
              <w:rPr>
                <w:rFonts w:ascii="Calibri" w:hAnsi="Calibri"/>
                <w:sz w:val="15"/>
              </w:rPr>
              <w:t>1.00</w:t>
            </w:r>
          </w:p>
        </w:tc>
        <w:tc>
          <w:tcPr>
            <w:tcW w:type="dxa" w:w="562"/>
            <w:tcMar>
              <w:top w:w="80" w:type="dxa"/>
              <w:bottom w:w="80" w:type="dxa"/>
              <w:start w:w="120" w:type="dxa"/>
              <w:end w:w="120" w:type="dxa"/>
            </w:tcMar>
            <w:vAlign w:val="center"/>
          </w:tcPr>
          <w:p>
            <w:pPr>
              <w:jc w:val="center"/>
            </w:pPr>
            <w:r>
              <w:rPr>
                <w:rFonts w:ascii="Calibri" w:hAnsi="Calibri"/>
                <w:sz w:val="15"/>
              </w:rPr>
              <w:t>1.00</w:t>
            </w:r>
          </w:p>
        </w:tc>
        <w:tc>
          <w:tcPr>
            <w:tcW w:type="dxa" w:w="562"/>
            <w:tcMar>
              <w:top w:w="80" w:type="dxa"/>
              <w:bottom w:w="80" w:type="dxa"/>
              <w:start w:w="120" w:type="dxa"/>
              <w:end w:w="120" w:type="dxa"/>
            </w:tcMar>
            <w:vAlign w:val="center"/>
          </w:tcPr>
          <w:p>
            <w:pPr>
              <w:jc w:val="center"/>
            </w:pPr>
            <w:r>
              <w:rPr>
                <w:rFonts w:ascii="Calibri" w:hAnsi="Calibri"/>
                <w:sz w:val="15"/>
              </w:rPr>
              <w:t>1.00</w:t>
            </w:r>
          </w:p>
        </w:tc>
        <w:tc>
          <w:tcPr>
            <w:tcW w:type="dxa" w:w="562"/>
            <w:tcMar>
              <w:top w:w="80" w:type="dxa"/>
              <w:bottom w:w="80" w:type="dxa"/>
              <w:start w:w="120" w:type="dxa"/>
              <w:end w:w="120" w:type="dxa"/>
            </w:tcMar>
            <w:vAlign w:val="center"/>
          </w:tcPr>
          <w:p>
            <w:pPr>
              <w:jc w:val="center"/>
            </w:pPr>
            <w:r>
              <w:rPr>
                <w:rFonts w:ascii="Calibri" w:hAnsi="Calibri"/>
                <w:sz w:val="15"/>
              </w:rPr>
              <w:t>1.00</w:t>
            </w:r>
          </w:p>
        </w:tc>
        <w:tc>
          <w:tcPr>
            <w:tcW w:type="dxa" w:w="562"/>
            <w:tcMar>
              <w:top w:w="80" w:type="dxa"/>
              <w:bottom w:w="80" w:type="dxa"/>
              <w:start w:w="120" w:type="dxa"/>
              <w:end w:w="120" w:type="dxa"/>
            </w:tcMar>
            <w:vAlign w:val="center"/>
          </w:tcPr>
          <w:p>
            <w:pPr>
              <w:jc w:val="center"/>
            </w:pPr>
            <w:r>
              <w:rPr>
                <w:rFonts w:ascii="Calibri" w:hAnsi="Calibri"/>
                <w:sz w:val="15"/>
              </w:rPr>
              <w:t>1.00</w:t>
            </w:r>
          </w:p>
        </w:tc>
        <w:tc>
          <w:tcPr>
            <w:tcW w:type="dxa" w:w="562"/>
            <w:tcMar>
              <w:top w:w="80" w:type="dxa"/>
              <w:bottom w:w="80" w:type="dxa"/>
              <w:start w:w="120" w:type="dxa"/>
              <w:end w:w="120" w:type="dxa"/>
            </w:tcMar>
            <w:vAlign w:val="center"/>
          </w:tcPr>
          <w:p>
            <w:pPr>
              <w:jc w:val="center"/>
            </w:pPr>
            <w:r>
              <w:rPr>
                <w:rFonts w:ascii="Calibri" w:hAnsi="Calibri"/>
                <w:sz w:val="15"/>
              </w:rPr>
              <w:t>1.00</w:t>
            </w:r>
          </w:p>
        </w:tc>
        <w:tc>
          <w:tcPr>
            <w:tcW w:type="dxa" w:w="562"/>
            <w:tcMar>
              <w:top w:w="80" w:type="dxa"/>
              <w:bottom w:w="80" w:type="dxa"/>
              <w:start w:w="120" w:type="dxa"/>
              <w:end w:w="120" w:type="dxa"/>
            </w:tcMar>
            <w:vAlign w:val="center"/>
          </w:tcPr>
          <w:p>
            <w:pPr>
              <w:jc w:val="center"/>
            </w:pPr>
            <w:r>
              <w:rPr>
                <w:rFonts w:ascii="Calibri" w:hAnsi="Calibri"/>
                <w:sz w:val="15"/>
              </w:rPr>
              <w:t>1.00</w:t>
            </w:r>
          </w:p>
        </w:tc>
        <w:tc>
          <w:tcPr>
            <w:tcW w:type="dxa" w:w="562"/>
            <w:tcMar>
              <w:top w:w="80" w:type="dxa"/>
              <w:bottom w:w="80" w:type="dxa"/>
              <w:start w:w="120" w:type="dxa"/>
              <w:end w:w="120" w:type="dxa"/>
            </w:tcMar>
            <w:vAlign w:val="center"/>
          </w:tcPr>
          <w:p>
            <w:pPr>
              <w:jc w:val="center"/>
            </w:pPr>
            <w:r>
              <w:rPr>
                <w:rFonts w:ascii="Calibri" w:hAnsi="Calibri"/>
                <w:sz w:val="15"/>
              </w:rPr>
              <w:t>1.00</w:t>
            </w:r>
          </w:p>
        </w:tc>
      </w:tr>
      <w:tr>
        <w:tc>
          <w:tcPr>
            <w:tcW w:type="dxa" w:w="2592"/>
            <w:tcMar>
              <w:top w:w="80" w:type="dxa"/>
              <w:bottom w:w="80" w:type="dxa"/>
              <w:start w:w="120" w:type="dxa"/>
              <w:end w:w="120" w:type="dxa"/>
            </w:tcMar>
            <w:vAlign w:val="center"/>
          </w:tcPr>
          <w:p>
            <w:pPr>
              <w:jc w:val="center"/>
            </w:pPr>
            <w:r>
              <w:rPr>
                <w:rFonts w:ascii="Calibri" w:hAnsi="Calibri"/>
                <w:sz w:val="15"/>
              </w:rPr>
              <w:t>Reservoir operations/releases</w:t>
            </w:r>
          </w:p>
        </w:tc>
        <w:tc>
          <w:tcPr>
            <w:tcW w:type="dxa" w:w="562"/>
            <w:tcMar>
              <w:top w:w="80" w:type="dxa"/>
              <w:bottom w:w="80" w:type="dxa"/>
              <w:start w:w="120" w:type="dxa"/>
              <w:end w:w="120" w:type="dxa"/>
            </w:tcMar>
            <w:vAlign w:val="center"/>
          </w:tcPr>
          <w:p>
            <w:pPr>
              <w:jc w:val="center"/>
            </w:pPr>
            <w:r>
              <w:rPr>
                <w:rFonts w:ascii="Calibri" w:hAnsi="Calibri"/>
                <w:sz w:val="15"/>
              </w:rPr>
              <w:t>1.00</w:t>
            </w:r>
          </w:p>
        </w:tc>
        <w:tc>
          <w:tcPr>
            <w:tcW w:type="dxa" w:w="562"/>
            <w:tcMar>
              <w:top w:w="80" w:type="dxa"/>
              <w:bottom w:w="80" w:type="dxa"/>
              <w:start w:w="120" w:type="dxa"/>
              <w:end w:w="120" w:type="dxa"/>
            </w:tcMar>
            <w:vAlign w:val="center"/>
          </w:tcPr>
          <w:p>
            <w:pPr>
              <w:jc w:val="center"/>
            </w:pPr>
            <w:r>
              <w:rPr>
                <w:rFonts w:ascii="Calibri" w:hAnsi="Calibri"/>
                <w:sz w:val="15"/>
              </w:rPr>
              <w:t>0.60</w:t>
            </w:r>
          </w:p>
        </w:tc>
        <w:tc>
          <w:tcPr>
            <w:tcW w:type="dxa" w:w="562"/>
            <w:tcMar>
              <w:top w:w="80" w:type="dxa"/>
              <w:bottom w:w="80" w:type="dxa"/>
              <w:start w:w="120" w:type="dxa"/>
              <w:end w:w="120" w:type="dxa"/>
            </w:tcMar>
            <w:vAlign w:val="center"/>
          </w:tcPr>
          <w:p>
            <w:pPr>
              <w:jc w:val="center"/>
            </w:pPr>
            <w:r>
              <w:rPr>
                <w:rFonts w:ascii="Calibri" w:hAnsi="Calibri"/>
                <w:sz w:val="15"/>
              </w:rPr>
              <w:t>0.20</w:t>
            </w:r>
          </w:p>
        </w:tc>
        <w:tc>
          <w:tcPr>
            <w:tcW w:type="dxa" w:w="562"/>
            <w:tcMar>
              <w:top w:w="80" w:type="dxa"/>
              <w:bottom w:w="80" w:type="dxa"/>
              <w:start w:w="120" w:type="dxa"/>
              <w:end w:w="120" w:type="dxa"/>
            </w:tcMar>
            <w:vAlign w:val="center"/>
          </w:tcPr>
          <w:p>
            <w:pPr>
              <w:jc w:val="center"/>
            </w:pPr>
            <w:r>
              <w:rPr>
                <w:rFonts w:ascii="Calibri" w:hAnsi="Calibri"/>
                <w:sz w:val="15"/>
              </w:rPr>
              <w:t>0.00</w:t>
            </w:r>
          </w:p>
        </w:tc>
        <w:tc>
          <w:tcPr>
            <w:tcW w:type="dxa" w:w="562"/>
            <w:tcMar>
              <w:top w:w="80" w:type="dxa"/>
              <w:bottom w:w="80" w:type="dxa"/>
              <w:start w:w="120" w:type="dxa"/>
              <w:end w:w="120" w:type="dxa"/>
            </w:tcMar>
            <w:vAlign w:val="center"/>
          </w:tcPr>
          <w:p>
            <w:pPr>
              <w:jc w:val="center"/>
            </w:pPr>
            <w:r>
              <w:rPr>
                <w:rFonts w:ascii="Calibri" w:hAnsi="Calibri"/>
                <w:sz w:val="15"/>
              </w:rPr>
              <w:t>0.50</w:t>
            </w:r>
          </w:p>
        </w:tc>
        <w:tc>
          <w:tcPr>
            <w:tcW w:type="dxa" w:w="562"/>
            <w:tcMar>
              <w:top w:w="80" w:type="dxa"/>
              <w:bottom w:w="80" w:type="dxa"/>
              <w:start w:w="120" w:type="dxa"/>
              <w:end w:w="120" w:type="dxa"/>
            </w:tcMar>
            <w:vAlign w:val="center"/>
          </w:tcPr>
          <w:p>
            <w:pPr>
              <w:jc w:val="center"/>
            </w:pPr>
            <w:r>
              <w:rPr>
                <w:rFonts w:ascii="Calibri" w:hAnsi="Calibri"/>
                <w:sz w:val="15"/>
              </w:rPr>
              <w:t>0.80</w:t>
            </w:r>
          </w:p>
        </w:tc>
        <w:tc>
          <w:tcPr>
            <w:tcW w:type="dxa" w:w="562"/>
            <w:tcMar>
              <w:top w:w="80" w:type="dxa"/>
              <w:bottom w:w="80" w:type="dxa"/>
              <w:start w:w="120" w:type="dxa"/>
              <w:end w:w="120" w:type="dxa"/>
            </w:tcMar>
            <w:vAlign w:val="center"/>
          </w:tcPr>
          <w:p>
            <w:pPr>
              <w:jc w:val="center"/>
            </w:pPr>
            <w:r>
              <w:rPr>
                <w:rFonts w:ascii="Calibri" w:hAnsi="Calibri"/>
                <w:sz w:val="15"/>
              </w:rPr>
              <w:t>0.30</w:t>
            </w:r>
          </w:p>
        </w:tc>
        <w:tc>
          <w:tcPr>
            <w:tcW w:type="dxa" w:w="562"/>
            <w:tcMar>
              <w:top w:w="80" w:type="dxa"/>
              <w:bottom w:w="80" w:type="dxa"/>
              <w:start w:w="120" w:type="dxa"/>
              <w:end w:w="120" w:type="dxa"/>
            </w:tcMar>
            <w:vAlign w:val="center"/>
          </w:tcPr>
          <w:p>
            <w:pPr>
              <w:jc w:val="center"/>
            </w:pPr>
            <w:r>
              <w:rPr>
                <w:rFonts w:ascii="Calibri" w:hAnsi="Calibri"/>
                <w:sz w:val="15"/>
              </w:rPr>
              <w:t>0.10</w:t>
            </w:r>
          </w:p>
        </w:tc>
        <w:tc>
          <w:tcPr>
            <w:tcW w:type="dxa" w:w="562"/>
            <w:tcMar>
              <w:top w:w="80" w:type="dxa"/>
              <w:bottom w:w="80" w:type="dxa"/>
              <w:start w:w="120" w:type="dxa"/>
              <w:end w:w="120" w:type="dxa"/>
            </w:tcMar>
            <w:vAlign w:val="center"/>
          </w:tcPr>
          <w:p>
            <w:pPr>
              <w:jc w:val="center"/>
            </w:pPr>
            <w:r>
              <w:rPr>
                <w:rFonts w:ascii="Calibri" w:hAnsi="Calibri"/>
                <w:sz w:val="15"/>
              </w:rPr>
              <w:t>0.40</w:t>
            </w:r>
          </w:p>
        </w:tc>
        <w:tc>
          <w:tcPr>
            <w:tcW w:type="dxa" w:w="562"/>
            <w:tcMar>
              <w:top w:w="80" w:type="dxa"/>
              <w:bottom w:w="80" w:type="dxa"/>
              <w:start w:w="120" w:type="dxa"/>
              <w:end w:w="120" w:type="dxa"/>
            </w:tcMar>
            <w:vAlign w:val="center"/>
          </w:tcPr>
          <w:p>
            <w:pPr>
              <w:jc w:val="center"/>
            </w:pPr>
            <w:r>
              <w:rPr>
                <w:rFonts w:ascii="Calibri" w:hAnsi="Calibri"/>
                <w:sz w:val="15"/>
              </w:rPr>
              <w:t>0.60</w:t>
            </w:r>
          </w:p>
        </w:tc>
        <w:tc>
          <w:tcPr>
            <w:tcW w:type="dxa" w:w="562"/>
            <w:tcMar>
              <w:top w:w="80" w:type="dxa"/>
              <w:bottom w:w="80" w:type="dxa"/>
              <w:start w:w="120" w:type="dxa"/>
              <w:end w:w="120" w:type="dxa"/>
            </w:tcMar>
            <w:vAlign w:val="center"/>
          </w:tcPr>
          <w:p>
            <w:pPr>
              <w:jc w:val="center"/>
            </w:pPr>
            <w:r>
              <w:rPr>
                <w:rFonts w:ascii="Calibri" w:hAnsi="Calibri"/>
                <w:sz w:val="15"/>
              </w:rPr>
              <w:t>0.35</w:t>
            </w:r>
          </w:p>
        </w:tc>
        <w:tc>
          <w:tcPr>
            <w:tcW w:type="dxa" w:w="562"/>
            <w:tcMar>
              <w:top w:w="80" w:type="dxa"/>
              <w:bottom w:w="80" w:type="dxa"/>
              <w:start w:w="120" w:type="dxa"/>
              <w:end w:w="120" w:type="dxa"/>
            </w:tcMar>
            <w:vAlign w:val="center"/>
          </w:tcPr>
          <w:p>
            <w:pPr>
              <w:jc w:val="center"/>
            </w:pPr>
            <w:r>
              <w:rPr>
                <w:rFonts w:ascii="Calibri" w:hAnsi="Calibri"/>
                <w:sz w:val="15"/>
              </w:rPr>
              <w:t>0.20</w:t>
            </w:r>
          </w:p>
        </w:tc>
      </w:tr>
      <w:tr>
        <w:tc>
          <w:tcPr>
            <w:tcW w:type="dxa" w:w="2592"/>
            <w:tcMar>
              <w:top w:w="80" w:type="dxa"/>
              <w:bottom w:w="80" w:type="dxa"/>
              <w:start w:w="120" w:type="dxa"/>
              <w:end w:w="120" w:type="dxa"/>
            </w:tcMar>
            <w:vAlign w:val="center"/>
          </w:tcPr>
          <w:p>
            <w:pPr>
              <w:jc w:val="center"/>
            </w:pPr>
            <w:r>
              <w:rPr>
                <w:rFonts w:ascii="Calibri" w:hAnsi="Calibri"/>
                <w:sz w:val="15"/>
              </w:rPr>
              <w:t>New water augmentation</w:t>
            </w:r>
          </w:p>
        </w:tc>
        <w:tc>
          <w:tcPr>
            <w:tcW w:type="dxa" w:w="562"/>
            <w:tcMar>
              <w:top w:w="80" w:type="dxa"/>
              <w:bottom w:w="80" w:type="dxa"/>
              <w:start w:w="120" w:type="dxa"/>
              <w:end w:w="120" w:type="dxa"/>
            </w:tcMar>
            <w:vAlign w:val="center"/>
          </w:tcPr>
          <w:p>
            <w:pPr>
              <w:jc w:val="center"/>
            </w:pPr>
            <w:r>
              <w:rPr>
                <w:rFonts w:ascii="Calibri" w:hAnsi="Calibri"/>
                <w:sz w:val="15"/>
              </w:rPr>
              <w:t>0.00</w:t>
            </w:r>
          </w:p>
        </w:tc>
        <w:tc>
          <w:tcPr>
            <w:tcW w:type="dxa" w:w="562"/>
            <w:tcMar>
              <w:top w:w="80" w:type="dxa"/>
              <w:bottom w:w="80" w:type="dxa"/>
              <w:start w:w="120" w:type="dxa"/>
              <w:end w:w="120" w:type="dxa"/>
            </w:tcMar>
            <w:vAlign w:val="center"/>
          </w:tcPr>
          <w:p>
            <w:pPr>
              <w:jc w:val="center"/>
            </w:pPr>
            <w:r>
              <w:rPr>
                <w:rFonts w:ascii="Calibri" w:hAnsi="Calibri"/>
                <w:sz w:val="15"/>
              </w:rPr>
              <w:t>0.05</w:t>
            </w:r>
          </w:p>
        </w:tc>
        <w:tc>
          <w:tcPr>
            <w:tcW w:type="dxa" w:w="562"/>
            <w:tcMar>
              <w:top w:w="80" w:type="dxa"/>
              <w:bottom w:w="80" w:type="dxa"/>
              <w:start w:w="120" w:type="dxa"/>
              <w:end w:w="120" w:type="dxa"/>
            </w:tcMar>
            <w:vAlign w:val="center"/>
          </w:tcPr>
          <w:p>
            <w:pPr>
              <w:jc w:val="center"/>
            </w:pPr>
            <w:r>
              <w:rPr>
                <w:rFonts w:ascii="Calibri" w:hAnsi="Calibri"/>
                <w:sz w:val="15"/>
              </w:rPr>
              <w:t>0.10</w:t>
            </w:r>
          </w:p>
        </w:tc>
        <w:tc>
          <w:tcPr>
            <w:tcW w:type="dxa" w:w="562"/>
            <w:tcMar>
              <w:top w:w="80" w:type="dxa"/>
              <w:bottom w:w="80" w:type="dxa"/>
              <w:start w:w="120" w:type="dxa"/>
              <w:end w:w="120" w:type="dxa"/>
            </w:tcMar>
            <w:vAlign w:val="center"/>
          </w:tcPr>
          <w:p>
            <w:pPr>
              <w:jc w:val="center"/>
            </w:pPr>
            <w:r>
              <w:rPr>
                <w:rFonts w:ascii="Calibri" w:hAnsi="Calibri"/>
                <w:sz w:val="15"/>
              </w:rPr>
              <w:t>0.20</w:t>
            </w:r>
          </w:p>
        </w:tc>
        <w:tc>
          <w:tcPr>
            <w:tcW w:type="dxa" w:w="562"/>
            <w:tcMar>
              <w:top w:w="80" w:type="dxa"/>
              <w:bottom w:w="80" w:type="dxa"/>
              <w:start w:w="120" w:type="dxa"/>
              <w:end w:w="120" w:type="dxa"/>
            </w:tcMar>
            <w:vAlign w:val="center"/>
          </w:tcPr>
          <w:p>
            <w:pPr>
              <w:jc w:val="center"/>
            </w:pPr>
            <w:r>
              <w:rPr>
                <w:rFonts w:ascii="Calibri" w:hAnsi="Calibri"/>
                <w:sz w:val="15"/>
              </w:rPr>
              <w:t>0.35</w:t>
            </w:r>
          </w:p>
        </w:tc>
        <w:tc>
          <w:tcPr>
            <w:tcW w:type="dxa" w:w="562"/>
            <w:tcMar>
              <w:top w:w="80" w:type="dxa"/>
              <w:bottom w:w="80" w:type="dxa"/>
              <w:start w:w="120" w:type="dxa"/>
              <w:end w:w="120" w:type="dxa"/>
            </w:tcMar>
            <w:vAlign w:val="center"/>
          </w:tcPr>
          <w:p>
            <w:pPr>
              <w:jc w:val="center"/>
            </w:pPr>
            <w:r>
              <w:rPr>
                <w:rFonts w:ascii="Calibri" w:hAnsi="Calibri"/>
                <w:sz w:val="15"/>
              </w:rPr>
              <w:t>0.50</w:t>
            </w:r>
          </w:p>
        </w:tc>
        <w:tc>
          <w:tcPr>
            <w:tcW w:type="dxa" w:w="562"/>
            <w:tcMar>
              <w:top w:w="80" w:type="dxa"/>
              <w:bottom w:w="80" w:type="dxa"/>
              <w:start w:w="120" w:type="dxa"/>
              <w:end w:w="120" w:type="dxa"/>
            </w:tcMar>
            <w:vAlign w:val="center"/>
          </w:tcPr>
          <w:p>
            <w:pPr>
              <w:jc w:val="center"/>
            </w:pPr>
            <w:r>
              <w:rPr>
                <w:rFonts w:ascii="Calibri" w:hAnsi="Calibri"/>
                <w:sz w:val="15"/>
              </w:rPr>
              <w:t>0.65</w:t>
            </w:r>
          </w:p>
        </w:tc>
        <w:tc>
          <w:tcPr>
            <w:tcW w:type="dxa" w:w="562"/>
            <w:tcMar>
              <w:top w:w="80" w:type="dxa"/>
              <w:bottom w:w="80" w:type="dxa"/>
              <w:start w:w="120" w:type="dxa"/>
              <w:end w:w="120" w:type="dxa"/>
            </w:tcMar>
            <w:vAlign w:val="center"/>
          </w:tcPr>
          <w:p>
            <w:pPr>
              <w:jc w:val="center"/>
            </w:pPr>
            <w:r>
              <w:rPr>
                <w:rFonts w:ascii="Calibri" w:hAnsi="Calibri"/>
                <w:sz w:val="15"/>
              </w:rPr>
              <w:t>0.80</w:t>
            </w:r>
          </w:p>
        </w:tc>
        <w:tc>
          <w:tcPr>
            <w:tcW w:type="dxa" w:w="562"/>
            <w:tcMar>
              <w:top w:w="80" w:type="dxa"/>
              <w:bottom w:w="80" w:type="dxa"/>
              <w:start w:w="120" w:type="dxa"/>
              <w:end w:w="120" w:type="dxa"/>
            </w:tcMar>
            <w:vAlign w:val="center"/>
          </w:tcPr>
          <w:p>
            <w:pPr>
              <w:jc w:val="center"/>
            </w:pPr>
            <w:r>
              <w:rPr>
                <w:rFonts w:ascii="Calibri" w:hAnsi="Calibri"/>
                <w:sz w:val="15"/>
              </w:rPr>
              <w:t>0.90</w:t>
            </w:r>
          </w:p>
        </w:tc>
        <w:tc>
          <w:tcPr>
            <w:tcW w:type="dxa" w:w="562"/>
            <w:tcMar>
              <w:top w:w="80" w:type="dxa"/>
              <w:bottom w:w="80" w:type="dxa"/>
              <w:start w:w="120" w:type="dxa"/>
              <w:end w:w="120" w:type="dxa"/>
            </w:tcMar>
            <w:vAlign w:val="center"/>
          </w:tcPr>
          <w:p>
            <w:pPr>
              <w:jc w:val="center"/>
            </w:pPr>
            <w:r>
              <w:rPr>
                <w:rFonts w:ascii="Calibri" w:hAnsi="Calibri"/>
                <w:sz w:val="15"/>
              </w:rPr>
              <w:t>1.00</w:t>
            </w:r>
          </w:p>
        </w:tc>
        <w:tc>
          <w:tcPr>
            <w:tcW w:type="dxa" w:w="562"/>
            <w:tcMar>
              <w:top w:w="80" w:type="dxa"/>
              <w:bottom w:w="80" w:type="dxa"/>
              <w:start w:w="120" w:type="dxa"/>
              <w:end w:w="120" w:type="dxa"/>
            </w:tcMar>
            <w:vAlign w:val="center"/>
          </w:tcPr>
          <w:p>
            <w:pPr>
              <w:jc w:val="center"/>
            </w:pPr>
            <w:r>
              <w:rPr>
                <w:rFonts w:ascii="Calibri" w:hAnsi="Calibri"/>
                <w:sz w:val="15"/>
              </w:rPr>
              <w:t>1.00</w:t>
            </w:r>
          </w:p>
        </w:tc>
        <w:tc>
          <w:tcPr>
            <w:tcW w:type="dxa" w:w="562"/>
            <w:tcMar>
              <w:top w:w="80" w:type="dxa"/>
              <w:bottom w:w="80" w:type="dxa"/>
              <w:start w:w="120" w:type="dxa"/>
              <w:end w:w="120" w:type="dxa"/>
            </w:tcMar>
            <w:vAlign w:val="center"/>
          </w:tcPr>
          <w:p>
            <w:pPr>
              <w:jc w:val="center"/>
            </w:pPr>
            <w:r>
              <w:rPr>
                <w:rFonts w:ascii="Calibri" w:hAnsi="Calibri"/>
                <w:sz w:val="15"/>
              </w:rPr>
              <w:t>1.00</w:t>
            </w:r>
          </w:p>
        </w:tc>
      </w:tr>
    </w:tbl>
    <w:p/>
    <w:p>
      <w:pPr>
        <w:pStyle w:val="Heading1"/>
      </w:pPr>
      <w:r>
        <w:t>Max-Policy, Zero-Augmentation Scenario</w:t>
      </w:r>
    </w:p>
    <w:p>
      <w:pPr>
        <w:jc w:val="left"/>
      </w:pPr>
      <w:r>
        <w:t>Assumptions:</w:t>
      </w:r>
    </w:p>
    <w:p>
      <w:pPr>
        <w:pStyle w:val="ListBullet"/>
      </w:pPr>
      <w:r>
        <w:t>Agricultural optimization and leasing at maximum: 180 kAf/yr.</w:t>
      </w:r>
    </w:p>
    <w:p>
      <w:pPr>
        <w:pStyle w:val="ListBullet"/>
      </w:pPr>
      <w:r>
        <w:t>M&amp;I conservation at maximum: 100 kAf/yr.</w:t>
      </w:r>
    </w:p>
    <w:p>
      <w:pPr>
        <w:pStyle w:val="ListBullet"/>
      </w:pPr>
      <w:r>
        <w:t>Phragmites management at maximum: 50 kAf/yr.</w:t>
      </w:r>
    </w:p>
    <w:p>
      <w:pPr>
        <w:pStyle w:val="ListBullet"/>
      </w:pPr>
      <w:r>
        <w:t>Newfoundland evaporation basin at maximum: 50 kAf/yr.</w:t>
      </w:r>
    </w:p>
    <w:p>
      <w:pPr>
        <w:pStyle w:val="ListBullet"/>
      </w:pPr>
      <w:r>
        <w:t>Mineral extraction reduction at maximum: 150 kAf/yr.</w:t>
      </w:r>
    </w:p>
    <w:p>
      <w:pPr>
        <w:pStyle w:val="ListBullet"/>
      </w:pPr>
      <w:r>
        <w:t>Reservoir operations/releases at maximum: 180 kAf/yr.</w:t>
      </w:r>
    </w:p>
    <w:p>
      <w:pPr>
        <w:pStyle w:val="ListBullet"/>
      </w:pPr>
      <w:r>
        <w:t>New water augmentation: 0 kAf/yr.</w:t>
      </w:r>
    </w:p>
    <w:p>
      <w:pPr>
        <w:pStyle w:val="ListBullet"/>
      </w:pPr>
      <w:r>
        <w:t>US Magnesium-type structural baseline gain: shown separately, not included in modeled policy water.</w:t>
      </w:r>
    </w:p>
    <w:tbl>
      <w:tblPr>
        <w:tblStyle w:val="TableGrid"/>
        <w:tblW w:type="auto" w:w="0"/>
        <w:tblLayout w:type="fixed"/>
        <w:tblLook w:firstColumn="1" w:firstRow="1" w:lastColumn="0" w:lastRow="0" w:noHBand="0" w:noVBand="1" w:val="04A0"/>
        <w:jc w:val="center"/>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1040"/>
        <w:gridCol w:w="1040"/>
        <w:gridCol w:w="1040"/>
        <w:gridCol w:w="1040"/>
        <w:gridCol w:w="1040"/>
        <w:gridCol w:w="1040"/>
        <w:gridCol w:w="1040"/>
        <w:gridCol w:w="1040"/>
        <w:gridCol w:w="1040"/>
      </w:tblGrid>
      <w:tr>
        <w:tc>
          <w:tcPr>
            <w:tcW w:type="dxa" w:w="1040"/>
            <w:tcMar>
              <w:top w:w="80" w:type="dxa"/>
              <w:bottom w:w="80" w:type="dxa"/>
              <w:start w:w="120" w:type="dxa"/>
              <w:end w:w="120" w:type="dxa"/>
            </w:tcMar>
            <w:vAlign w:val="center"/>
            <w:shd w:fill="F2F4F7"/>
          </w:tcPr>
          <w:p>
            <w:pPr>
              <w:jc w:val="center"/>
            </w:pPr>
            <w:r>
              <w:rPr>
                <w:rFonts w:ascii="Calibri" w:hAnsi="Calibri"/>
                <w:b/>
                <w:sz w:val="15"/>
              </w:rPr>
              <w:t>Year</w:t>
            </w:r>
          </w:p>
        </w:tc>
        <w:tc>
          <w:tcPr>
            <w:tcW w:type="dxa" w:w="1040"/>
            <w:tcMar>
              <w:top w:w="80" w:type="dxa"/>
              <w:bottom w:w="80" w:type="dxa"/>
              <w:start w:w="120" w:type="dxa"/>
              <w:end w:w="120" w:type="dxa"/>
            </w:tcMar>
            <w:vAlign w:val="center"/>
            <w:shd w:fill="F2F4F7"/>
          </w:tcPr>
          <w:p>
            <w:pPr>
              <w:jc w:val="center"/>
            </w:pPr>
            <w:r>
              <w:rPr>
                <w:rFonts w:ascii="Calibri" w:hAnsi="Calibri"/>
                <w:b/>
                <w:sz w:val="15"/>
              </w:rPr>
              <w:t>Ag</w:t>
            </w:r>
          </w:p>
        </w:tc>
        <w:tc>
          <w:tcPr>
            <w:tcW w:type="dxa" w:w="1040"/>
            <w:tcMar>
              <w:top w:w="80" w:type="dxa"/>
              <w:bottom w:w="80" w:type="dxa"/>
              <w:start w:w="120" w:type="dxa"/>
              <w:end w:w="120" w:type="dxa"/>
            </w:tcMar>
            <w:vAlign w:val="center"/>
            <w:shd w:fill="F2F4F7"/>
          </w:tcPr>
          <w:p>
            <w:pPr>
              <w:jc w:val="center"/>
            </w:pPr>
            <w:r>
              <w:rPr>
                <w:rFonts w:ascii="Calibri" w:hAnsi="Calibri"/>
                <w:b/>
                <w:sz w:val="15"/>
              </w:rPr>
              <w:t>M&amp;I</w:t>
            </w:r>
          </w:p>
        </w:tc>
        <w:tc>
          <w:tcPr>
            <w:tcW w:type="dxa" w:w="1040"/>
            <w:tcMar>
              <w:top w:w="80" w:type="dxa"/>
              <w:bottom w:w="80" w:type="dxa"/>
              <w:start w:w="120" w:type="dxa"/>
              <w:end w:w="120" w:type="dxa"/>
            </w:tcMar>
            <w:vAlign w:val="center"/>
            <w:shd w:fill="F2F4F7"/>
          </w:tcPr>
          <w:p>
            <w:pPr>
              <w:jc w:val="center"/>
            </w:pPr>
            <w:r>
              <w:rPr>
                <w:rFonts w:ascii="Calibri" w:hAnsi="Calibri"/>
                <w:b/>
                <w:sz w:val="15"/>
              </w:rPr>
              <w:t>Phrag.</w:t>
            </w:r>
          </w:p>
        </w:tc>
        <w:tc>
          <w:tcPr>
            <w:tcW w:type="dxa" w:w="1040"/>
            <w:tcMar>
              <w:top w:w="80" w:type="dxa"/>
              <w:bottom w:w="80" w:type="dxa"/>
              <w:start w:w="120" w:type="dxa"/>
              <w:end w:w="120" w:type="dxa"/>
            </w:tcMar>
            <w:vAlign w:val="center"/>
            <w:shd w:fill="F2F4F7"/>
          </w:tcPr>
          <w:p>
            <w:pPr>
              <w:jc w:val="center"/>
            </w:pPr>
            <w:r>
              <w:rPr>
                <w:rFonts w:ascii="Calibri" w:hAnsi="Calibri"/>
                <w:b/>
                <w:sz w:val="15"/>
              </w:rPr>
              <w:t>Newfoundland</w:t>
            </w:r>
          </w:p>
        </w:tc>
        <w:tc>
          <w:tcPr>
            <w:tcW w:type="dxa" w:w="1040"/>
            <w:tcMar>
              <w:top w:w="80" w:type="dxa"/>
              <w:bottom w:w="80" w:type="dxa"/>
              <w:start w:w="120" w:type="dxa"/>
              <w:end w:w="120" w:type="dxa"/>
            </w:tcMar>
            <w:vAlign w:val="center"/>
            <w:shd w:fill="F2F4F7"/>
          </w:tcPr>
          <w:p>
            <w:pPr>
              <w:jc w:val="center"/>
            </w:pPr>
            <w:r>
              <w:rPr>
                <w:rFonts w:ascii="Calibri" w:hAnsi="Calibri"/>
                <w:b/>
                <w:sz w:val="15"/>
              </w:rPr>
              <w:t>Mineral</w:t>
            </w:r>
          </w:p>
        </w:tc>
        <w:tc>
          <w:tcPr>
            <w:tcW w:type="dxa" w:w="1040"/>
            <w:tcMar>
              <w:top w:w="80" w:type="dxa"/>
              <w:bottom w:w="80" w:type="dxa"/>
              <w:start w:w="120" w:type="dxa"/>
              <w:end w:w="120" w:type="dxa"/>
            </w:tcMar>
            <w:vAlign w:val="center"/>
            <w:shd w:fill="F2F4F7"/>
          </w:tcPr>
          <w:p>
            <w:pPr>
              <w:jc w:val="center"/>
            </w:pPr>
            <w:r>
              <w:rPr>
                <w:rFonts w:ascii="Calibri" w:hAnsi="Calibri"/>
                <w:b/>
                <w:sz w:val="15"/>
              </w:rPr>
              <w:t>Reservoir</w:t>
            </w:r>
          </w:p>
        </w:tc>
        <w:tc>
          <w:tcPr>
            <w:tcW w:type="dxa" w:w="1040"/>
            <w:tcMar>
              <w:top w:w="80" w:type="dxa"/>
              <w:bottom w:w="80" w:type="dxa"/>
              <w:start w:w="120" w:type="dxa"/>
              <w:end w:w="120" w:type="dxa"/>
            </w:tcMar>
            <w:vAlign w:val="center"/>
            <w:shd w:fill="F2F4F7"/>
          </w:tcPr>
          <w:p>
            <w:pPr>
              <w:jc w:val="center"/>
            </w:pPr>
            <w:r>
              <w:rPr>
                <w:rFonts w:ascii="Calibri" w:hAnsi="Calibri"/>
                <w:b/>
                <w:sz w:val="15"/>
              </w:rPr>
              <w:t>Aug.</w:t>
            </w:r>
          </w:p>
        </w:tc>
        <w:tc>
          <w:tcPr>
            <w:tcW w:type="dxa" w:w="1040"/>
            <w:tcMar>
              <w:top w:w="80" w:type="dxa"/>
              <w:bottom w:w="80" w:type="dxa"/>
              <w:start w:w="120" w:type="dxa"/>
              <w:end w:w="120" w:type="dxa"/>
            </w:tcMar>
            <w:vAlign w:val="center"/>
            <w:shd w:fill="F2F4F7"/>
          </w:tcPr>
          <w:p>
            <w:pPr>
              <w:jc w:val="center"/>
            </w:pPr>
            <w:r>
              <w:rPr>
                <w:rFonts w:ascii="Calibri" w:hAnsi="Calibri"/>
                <w:b/>
                <w:sz w:val="15"/>
              </w:rPr>
              <w:t>Modeled total</w:t>
            </w:r>
          </w:p>
        </w:tc>
      </w:tr>
      <w:tr>
        <w:tc>
          <w:tcPr>
            <w:tcW w:type="dxa" w:w="1040"/>
            <w:tcMar>
              <w:top w:w="80" w:type="dxa"/>
              <w:bottom w:w="80" w:type="dxa"/>
              <w:start w:w="120" w:type="dxa"/>
              <w:end w:w="120" w:type="dxa"/>
            </w:tcMar>
            <w:vAlign w:val="center"/>
          </w:tcPr>
          <w:p>
            <w:pPr>
              <w:jc w:val="center"/>
            </w:pPr>
            <w:r>
              <w:rPr>
                <w:rFonts w:ascii="Calibri" w:hAnsi="Calibri"/>
                <w:sz w:val="15"/>
              </w:rPr>
              <w:t>2025</w:t>
            </w:r>
          </w:p>
        </w:tc>
        <w:tc>
          <w:tcPr>
            <w:tcW w:type="dxa" w:w="1040"/>
            <w:tcMar>
              <w:top w:w="80" w:type="dxa"/>
              <w:bottom w:w="80" w:type="dxa"/>
              <w:start w:w="120" w:type="dxa"/>
              <w:end w:w="120" w:type="dxa"/>
            </w:tcMar>
            <w:vAlign w:val="center"/>
          </w:tcPr>
          <w:p>
            <w:pPr>
              <w:jc w:val="center"/>
            </w:pPr>
            <w:r>
              <w:rPr>
                <w:rFonts w:ascii="Calibri" w:hAnsi="Calibri"/>
                <w:sz w:val="15"/>
              </w:rPr>
              <w:t>90</w:t>
            </w:r>
          </w:p>
        </w:tc>
        <w:tc>
          <w:tcPr>
            <w:tcW w:type="dxa" w:w="1040"/>
            <w:tcMar>
              <w:top w:w="80" w:type="dxa"/>
              <w:bottom w:w="80" w:type="dxa"/>
              <w:start w:w="120" w:type="dxa"/>
              <w:end w:w="120" w:type="dxa"/>
            </w:tcMar>
            <w:vAlign w:val="center"/>
          </w:tcPr>
          <w:p>
            <w:pPr>
              <w:jc w:val="center"/>
            </w:pPr>
            <w:r>
              <w:rPr>
                <w:rFonts w:ascii="Calibri" w:hAnsi="Calibri"/>
                <w:sz w:val="15"/>
              </w:rPr>
              <w:t>25</w:t>
            </w:r>
          </w:p>
        </w:tc>
        <w:tc>
          <w:tcPr>
            <w:tcW w:type="dxa" w:w="1040"/>
            <w:tcMar>
              <w:top w:w="80" w:type="dxa"/>
              <w:bottom w:w="80" w:type="dxa"/>
              <w:start w:w="120" w:type="dxa"/>
              <w:end w:w="120" w:type="dxa"/>
            </w:tcMar>
            <w:vAlign w:val="center"/>
          </w:tcPr>
          <w:p>
            <w:pPr>
              <w:jc w:val="center"/>
            </w:pPr>
            <w:r>
              <w:rPr>
                <w:rFonts w:ascii="Calibri" w:hAnsi="Calibri"/>
                <w:sz w:val="15"/>
              </w:rPr>
              <w:t>10</w:t>
            </w:r>
          </w:p>
        </w:tc>
        <w:tc>
          <w:tcPr>
            <w:tcW w:type="dxa" w:w="1040"/>
            <w:tcMar>
              <w:top w:w="80" w:type="dxa"/>
              <w:bottom w:w="80" w:type="dxa"/>
              <w:start w:w="120" w:type="dxa"/>
              <w:end w:w="120" w:type="dxa"/>
            </w:tcMar>
            <w:vAlign w:val="center"/>
          </w:tcPr>
          <w:p>
            <w:pPr>
              <w:jc w:val="center"/>
            </w:pPr>
            <w:r>
              <w:rPr>
                <w:rFonts w:ascii="Calibri" w:hAnsi="Calibri"/>
                <w:sz w:val="15"/>
              </w:rPr>
              <w:t>50</w:t>
            </w:r>
          </w:p>
        </w:tc>
        <w:tc>
          <w:tcPr>
            <w:tcW w:type="dxa" w:w="1040"/>
            <w:tcMar>
              <w:top w:w="80" w:type="dxa"/>
              <w:bottom w:w="80" w:type="dxa"/>
              <w:start w:w="120" w:type="dxa"/>
              <w:end w:w="120" w:type="dxa"/>
            </w:tcMar>
            <w:vAlign w:val="center"/>
          </w:tcPr>
          <w:p>
            <w:pPr>
              <w:jc w:val="center"/>
            </w:pPr>
            <w:r>
              <w:rPr>
                <w:rFonts w:ascii="Calibri" w:hAnsi="Calibri"/>
                <w:sz w:val="15"/>
              </w:rPr>
              <w:t>75</w:t>
            </w:r>
          </w:p>
        </w:tc>
        <w:tc>
          <w:tcPr>
            <w:tcW w:type="dxa" w:w="1040"/>
            <w:tcMar>
              <w:top w:w="80" w:type="dxa"/>
              <w:bottom w:w="80" w:type="dxa"/>
              <w:start w:w="120" w:type="dxa"/>
              <w:end w:w="120" w:type="dxa"/>
            </w:tcMar>
            <w:vAlign w:val="center"/>
          </w:tcPr>
          <w:p>
            <w:pPr>
              <w:jc w:val="center"/>
            </w:pPr>
            <w:r>
              <w:rPr>
                <w:rFonts w:ascii="Calibri" w:hAnsi="Calibri"/>
                <w:sz w:val="15"/>
              </w:rPr>
              <w:t>180</w:t>
            </w:r>
          </w:p>
        </w:tc>
        <w:tc>
          <w:tcPr>
            <w:tcW w:type="dxa" w:w="1040"/>
            <w:tcMar>
              <w:top w:w="80" w:type="dxa"/>
              <w:bottom w:w="80" w:type="dxa"/>
              <w:start w:w="120" w:type="dxa"/>
              <w:end w:w="120" w:type="dxa"/>
            </w:tcMar>
            <w:vAlign w:val="center"/>
          </w:tcPr>
          <w:p>
            <w:pPr>
              <w:jc w:val="center"/>
            </w:pPr>
            <w:r>
              <w:rPr>
                <w:rFonts w:ascii="Calibri" w:hAnsi="Calibri"/>
                <w:sz w:val="15"/>
              </w:rPr>
              <w:t>0</w:t>
            </w:r>
          </w:p>
        </w:tc>
        <w:tc>
          <w:tcPr>
            <w:tcW w:type="dxa" w:w="1040"/>
            <w:tcMar>
              <w:top w:w="80" w:type="dxa"/>
              <w:bottom w:w="80" w:type="dxa"/>
              <w:start w:w="120" w:type="dxa"/>
              <w:end w:w="120" w:type="dxa"/>
            </w:tcMar>
            <w:vAlign w:val="center"/>
          </w:tcPr>
          <w:p>
            <w:pPr>
              <w:jc w:val="center"/>
            </w:pPr>
            <w:r>
              <w:rPr>
                <w:rFonts w:ascii="Calibri" w:hAnsi="Calibri"/>
                <w:sz w:val="15"/>
              </w:rPr>
              <w:t>430</w:t>
            </w:r>
          </w:p>
        </w:tc>
      </w:tr>
      <w:tr>
        <w:tc>
          <w:tcPr>
            <w:tcW w:type="dxa" w:w="1040"/>
            <w:tcMar>
              <w:top w:w="80" w:type="dxa"/>
              <w:bottom w:w="80" w:type="dxa"/>
              <w:start w:w="120" w:type="dxa"/>
              <w:end w:w="120" w:type="dxa"/>
            </w:tcMar>
            <w:vAlign w:val="center"/>
          </w:tcPr>
          <w:p>
            <w:pPr>
              <w:jc w:val="center"/>
            </w:pPr>
            <w:r>
              <w:rPr>
                <w:rFonts w:ascii="Calibri" w:hAnsi="Calibri"/>
                <w:sz w:val="15"/>
              </w:rPr>
              <w:t>2026</w:t>
            </w:r>
          </w:p>
        </w:tc>
        <w:tc>
          <w:tcPr>
            <w:tcW w:type="dxa" w:w="1040"/>
            <w:tcMar>
              <w:top w:w="80" w:type="dxa"/>
              <w:bottom w:w="80" w:type="dxa"/>
              <w:start w:w="120" w:type="dxa"/>
              <w:end w:w="120" w:type="dxa"/>
            </w:tcMar>
            <w:vAlign w:val="center"/>
          </w:tcPr>
          <w:p>
            <w:pPr>
              <w:jc w:val="center"/>
            </w:pPr>
            <w:r>
              <w:rPr>
                <w:rFonts w:ascii="Calibri" w:hAnsi="Calibri"/>
                <w:sz w:val="15"/>
              </w:rPr>
              <w:t>63</w:t>
            </w:r>
          </w:p>
        </w:tc>
        <w:tc>
          <w:tcPr>
            <w:tcW w:type="dxa" w:w="1040"/>
            <w:tcMar>
              <w:top w:w="80" w:type="dxa"/>
              <w:bottom w:w="80" w:type="dxa"/>
              <w:start w:w="120" w:type="dxa"/>
              <w:end w:w="120" w:type="dxa"/>
            </w:tcMar>
            <w:vAlign w:val="center"/>
          </w:tcPr>
          <w:p>
            <w:pPr>
              <w:jc w:val="center"/>
            </w:pPr>
            <w:r>
              <w:rPr>
                <w:rFonts w:ascii="Calibri" w:hAnsi="Calibri"/>
                <w:sz w:val="15"/>
              </w:rPr>
              <w:t>50</w:t>
            </w:r>
          </w:p>
        </w:tc>
        <w:tc>
          <w:tcPr>
            <w:tcW w:type="dxa" w:w="1040"/>
            <w:tcMar>
              <w:top w:w="80" w:type="dxa"/>
              <w:bottom w:w="80" w:type="dxa"/>
              <w:start w:w="120" w:type="dxa"/>
              <w:end w:w="120" w:type="dxa"/>
            </w:tcMar>
            <w:vAlign w:val="center"/>
          </w:tcPr>
          <w:p>
            <w:pPr>
              <w:jc w:val="center"/>
            </w:pPr>
            <w:r>
              <w:rPr>
                <w:rFonts w:ascii="Calibri" w:hAnsi="Calibri"/>
                <w:sz w:val="15"/>
              </w:rPr>
              <w:t>20</w:t>
            </w:r>
          </w:p>
        </w:tc>
        <w:tc>
          <w:tcPr>
            <w:tcW w:type="dxa" w:w="1040"/>
            <w:tcMar>
              <w:top w:w="80" w:type="dxa"/>
              <w:bottom w:w="80" w:type="dxa"/>
              <w:start w:w="120" w:type="dxa"/>
              <w:end w:w="120" w:type="dxa"/>
            </w:tcMar>
            <w:vAlign w:val="center"/>
          </w:tcPr>
          <w:p>
            <w:pPr>
              <w:jc w:val="center"/>
            </w:pPr>
            <w:r>
              <w:rPr>
                <w:rFonts w:ascii="Calibri" w:hAnsi="Calibri"/>
                <w:sz w:val="15"/>
              </w:rPr>
              <w:t>20</w:t>
            </w:r>
          </w:p>
        </w:tc>
        <w:tc>
          <w:tcPr>
            <w:tcW w:type="dxa" w:w="1040"/>
            <w:tcMar>
              <w:top w:w="80" w:type="dxa"/>
              <w:bottom w:w="80" w:type="dxa"/>
              <w:start w:w="120" w:type="dxa"/>
              <w:end w:w="120" w:type="dxa"/>
            </w:tcMar>
            <w:vAlign w:val="center"/>
          </w:tcPr>
          <w:p>
            <w:pPr>
              <w:jc w:val="center"/>
            </w:pPr>
            <w:r>
              <w:rPr>
                <w:rFonts w:ascii="Calibri" w:hAnsi="Calibri"/>
                <w:sz w:val="15"/>
              </w:rPr>
              <w:t>113</w:t>
            </w:r>
          </w:p>
        </w:tc>
        <w:tc>
          <w:tcPr>
            <w:tcW w:type="dxa" w:w="1040"/>
            <w:tcMar>
              <w:top w:w="80" w:type="dxa"/>
              <w:bottom w:w="80" w:type="dxa"/>
              <w:start w:w="120" w:type="dxa"/>
              <w:end w:w="120" w:type="dxa"/>
            </w:tcMar>
            <w:vAlign w:val="center"/>
          </w:tcPr>
          <w:p>
            <w:pPr>
              <w:jc w:val="center"/>
            </w:pPr>
            <w:r>
              <w:rPr>
                <w:rFonts w:ascii="Calibri" w:hAnsi="Calibri"/>
                <w:sz w:val="15"/>
              </w:rPr>
              <w:t>108</w:t>
            </w:r>
          </w:p>
        </w:tc>
        <w:tc>
          <w:tcPr>
            <w:tcW w:type="dxa" w:w="1040"/>
            <w:tcMar>
              <w:top w:w="80" w:type="dxa"/>
              <w:bottom w:w="80" w:type="dxa"/>
              <w:start w:w="120" w:type="dxa"/>
              <w:end w:w="120" w:type="dxa"/>
            </w:tcMar>
            <w:vAlign w:val="center"/>
          </w:tcPr>
          <w:p>
            <w:pPr>
              <w:jc w:val="center"/>
            </w:pPr>
            <w:r>
              <w:rPr>
                <w:rFonts w:ascii="Calibri" w:hAnsi="Calibri"/>
                <w:sz w:val="15"/>
              </w:rPr>
              <w:t>0</w:t>
            </w:r>
          </w:p>
        </w:tc>
        <w:tc>
          <w:tcPr>
            <w:tcW w:type="dxa" w:w="1040"/>
            <w:tcMar>
              <w:top w:w="80" w:type="dxa"/>
              <w:bottom w:w="80" w:type="dxa"/>
              <w:start w:w="120" w:type="dxa"/>
              <w:end w:w="120" w:type="dxa"/>
            </w:tcMar>
            <w:vAlign w:val="center"/>
          </w:tcPr>
          <w:p>
            <w:pPr>
              <w:jc w:val="center"/>
            </w:pPr>
            <w:r>
              <w:rPr>
                <w:rFonts w:ascii="Calibri" w:hAnsi="Calibri"/>
                <w:sz w:val="15"/>
              </w:rPr>
              <w:t>374</w:t>
            </w:r>
          </w:p>
        </w:tc>
      </w:tr>
      <w:tr>
        <w:tc>
          <w:tcPr>
            <w:tcW w:type="dxa" w:w="1040"/>
            <w:tcMar>
              <w:top w:w="80" w:type="dxa"/>
              <w:bottom w:w="80" w:type="dxa"/>
              <w:start w:w="120" w:type="dxa"/>
              <w:end w:w="120" w:type="dxa"/>
            </w:tcMar>
            <w:vAlign w:val="center"/>
          </w:tcPr>
          <w:p>
            <w:pPr>
              <w:jc w:val="center"/>
            </w:pPr>
            <w:r>
              <w:rPr>
                <w:rFonts w:ascii="Calibri" w:hAnsi="Calibri"/>
                <w:sz w:val="15"/>
              </w:rPr>
              <w:t>2027</w:t>
            </w:r>
          </w:p>
        </w:tc>
        <w:tc>
          <w:tcPr>
            <w:tcW w:type="dxa" w:w="1040"/>
            <w:tcMar>
              <w:top w:w="80" w:type="dxa"/>
              <w:bottom w:w="80" w:type="dxa"/>
              <w:start w:w="120" w:type="dxa"/>
              <w:end w:w="120" w:type="dxa"/>
            </w:tcMar>
            <w:vAlign w:val="center"/>
          </w:tcPr>
          <w:p>
            <w:pPr>
              <w:jc w:val="center"/>
            </w:pPr>
            <w:r>
              <w:rPr>
                <w:rFonts w:ascii="Calibri" w:hAnsi="Calibri"/>
                <w:sz w:val="15"/>
              </w:rPr>
              <w:t>45</w:t>
            </w:r>
          </w:p>
        </w:tc>
        <w:tc>
          <w:tcPr>
            <w:tcW w:type="dxa" w:w="1040"/>
            <w:tcMar>
              <w:top w:w="80" w:type="dxa"/>
              <w:bottom w:w="80" w:type="dxa"/>
              <w:start w:w="120" w:type="dxa"/>
              <w:end w:w="120" w:type="dxa"/>
            </w:tcMar>
            <w:vAlign w:val="center"/>
          </w:tcPr>
          <w:p>
            <w:pPr>
              <w:jc w:val="center"/>
            </w:pPr>
            <w:r>
              <w:rPr>
                <w:rFonts w:ascii="Calibri" w:hAnsi="Calibri"/>
                <w:sz w:val="15"/>
              </w:rPr>
              <w:t>75</w:t>
            </w:r>
          </w:p>
        </w:tc>
        <w:tc>
          <w:tcPr>
            <w:tcW w:type="dxa" w:w="1040"/>
            <w:tcMar>
              <w:top w:w="80" w:type="dxa"/>
              <w:bottom w:w="80" w:type="dxa"/>
              <w:start w:w="120" w:type="dxa"/>
              <w:end w:w="120" w:type="dxa"/>
            </w:tcMar>
            <w:vAlign w:val="center"/>
          </w:tcPr>
          <w:p>
            <w:pPr>
              <w:jc w:val="center"/>
            </w:pPr>
            <w:r>
              <w:rPr>
                <w:rFonts w:ascii="Calibri" w:hAnsi="Calibri"/>
                <w:sz w:val="15"/>
              </w:rPr>
              <w:t>33</w:t>
            </w:r>
          </w:p>
        </w:tc>
        <w:tc>
          <w:tcPr>
            <w:tcW w:type="dxa" w:w="1040"/>
            <w:tcMar>
              <w:top w:w="80" w:type="dxa"/>
              <w:bottom w:w="80" w:type="dxa"/>
              <w:start w:w="120" w:type="dxa"/>
              <w:end w:w="120" w:type="dxa"/>
            </w:tcMar>
            <w:vAlign w:val="center"/>
          </w:tcPr>
          <w:p>
            <w:pPr>
              <w:jc w:val="center"/>
            </w:pPr>
            <w:r>
              <w:rPr>
                <w:rFonts w:ascii="Calibri" w:hAnsi="Calibri"/>
                <w:sz w:val="15"/>
              </w:rPr>
              <w:t>8</w:t>
            </w:r>
          </w:p>
        </w:tc>
        <w:tc>
          <w:tcPr>
            <w:tcW w:type="dxa" w:w="1040"/>
            <w:tcMar>
              <w:top w:w="80" w:type="dxa"/>
              <w:bottom w:w="80" w:type="dxa"/>
              <w:start w:w="120" w:type="dxa"/>
              <w:end w:w="120" w:type="dxa"/>
            </w:tcMar>
            <w:vAlign w:val="center"/>
          </w:tcPr>
          <w:p>
            <w:pPr>
              <w:jc w:val="center"/>
            </w:pPr>
            <w:r>
              <w:rPr>
                <w:rFonts w:ascii="Calibri" w:hAnsi="Calibri"/>
                <w:sz w:val="15"/>
              </w:rPr>
              <w:t>150</w:t>
            </w:r>
          </w:p>
        </w:tc>
        <w:tc>
          <w:tcPr>
            <w:tcW w:type="dxa" w:w="1040"/>
            <w:tcMar>
              <w:top w:w="80" w:type="dxa"/>
              <w:bottom w:w="80" w:type="dxa"/>
              <w:start w:w="120" w:type="dxa"/>
              <w:end w:w="120" w:type="dxa"/>
            </w:tcMar>
            <w:vAlign w:val="center"/>
          </w:tcPr>
          <w:p>
            <w:pPr>
              <w:jc w:val="center"/>
            </w:pPr>
            <w:r>
              <w:rPr>
                <w:rFonts w:ascii="Calibri" w:hAnsi="Calibri"/>
                <w:sz w:val="15"/>
              </w:rPr>
              <w:t>36</w:t>
            </w:r>
          </w:p>
        </w:tc>
        <w:tc>
          <w:tcPr>
            <w:tcW w:type="dxa" w:w="1040"/>
            <w:tcMar>
              <w:top w:w="80" w:type="dxa"/>
              <w:bottom w:w="80" w:type="dxa"/>
              <w:start w:w="120" w:type="dxa"/>
              <w:end w:w="120" w:type="dxa"/>
            </w:tcMar>
            <w:vAlign w:val="center"/>
          </w:tcPr>
          <w:p>
            <w:pPr>
              <w:jc w:val="center"/>
            </w:pPr>
            <w:r>
              <w:rPr>
                <w:rFonts w:ascii="Calibri" w:hAnsi="Calibri"/>
                <w:sz w:val="15"/>
              </w:rPr>
              <w:t>0</w:t>
            </w:r>
          </w:p>
        </w:tc>
        <w:tc>
          <w:tcPr>
            <w:tcW w:type="dxa" w:w="1040"/>
            <w:tcMar>
              <w:top w:w="80" w:type="dxa"/>
              <w:bottom w:w="80" w:type="dxa"/>
              <w:start w:w="120" w:type="dxa"/>
              <w:end w:w="120" w:type="dxa"/>
            </w:tcMar>
            <w:vAlign w:val="center"/>
          </w:tcPr>
          <w:p>
            <w:pPr>
              <w:jc w:val="center"/>
            </w:pPr>
            <w:r>
              <w:rPr>
                <w:rFonts w:ascii="Calibri" w:hAnsi="Calibri"/>
                <w:sz w:val="15"/>
              </w:rPr>
              <w:t>347</w:t>
            </w:r>
          </w:p>
        </w:tc>
      </w:tr>
      <w:tr>
        <w:tc>
          <w:tcPr>
            <w:tcW w:type="dxa" w:w="1040"/>
            <w:tcMar>
              <w:top w:w="80" w:type="dxa"/>
              <w:bottom w:w="80" w:type="dxa"/>
              <w:start w:w="120" w:type="dxa"/>
              <w:end w:w="120" w:type="dxa"/>
            </w:tcMar>
            <w:vAlign w:val="center"/>
          </w:tcPr>
          <w:p>
            <w:pPr>
              <w:jc w:val="center"/>
            </w:pPr>
            <w:r>
              <w:rPr>
                <w:rFonts w:ascii="Calibri" w:hAnsi="Calibri"/>
                <w:sz w:val="15"/>
              </w:rPr>
              <w:t>2028</w:t>
            </w:r>
          </w:p>
        </w:tc>
        <w:tc>
          <w:tcPr>
            <w:tcW w:type="dxa" w:w="1040"/>
            <w:tcMar>
              <w:top w:w="80" w:type="dxa"/>
              <w:bottom w:w="80" w:type="dxa"/>
              <w:start w:w="120" w:type="dxa"/>
              <w:end w:w="120" w:type="dxa"/>
            </w:tcMar>
            <w:vAlign w:val="center"/>
          </w:tcPr>
          <w:p>
            <w:pPr>
              <w:jc w:val="center"/>
            </w:pPr>
            <w:r>
              <w:rPr>
                <w:rFonts w:ascii="Calibri" w:hAnsi="Calibri"/>
                <w:sz w:val="15"/>
              </w:rPr>
              <w:t>99</w:t>
            </w:r>
          </w:p>
        </w:tc>
        <w:tc>
          <w:tcPr>
            <w:tcW w:type="dxa" w:w="1040"/>
            <w:tcMar>
              <w:top w:w="80" w:type="dxa"/>
              <w:bottom w:w="80" w:type="dxa"/>
              <w:start w:w="120" w:type="dxa"/>
              <w:end w:w="120" w:type="dxa"/>
            </w:tcMar>
            <w:vAlign w:val="center"/>
          </w:tcPr>
          <w:p>
            <w:pPr>
              <w:jc w:val="center"/>
            </w:pPr>
            <w:r>
              <w:rPr>
                <w:rFonts w:ascii="Calibri" w:hAnsi="Calibri"/>
                <w:sz w:val="15"/>
              </w:rPr>
              <w:t>100</w:t>
            </w:r>
          </w:p>
        </w:tc>
        <w:tc>
          <w:tcPr>
            <w:tcW w:type="dxa" w:w="1040"/>
            <w:tcMar>
              <w:top w:w="80" w:type="dxa"/>
              <w:bottom w:w="80" w:type="dxa"/>
              <w:start w:w="120" w:type="dxa"/>
              <w:end w:w="120" w:type="dxa"/>
            </w:tcMar>
            <w:vAlign w:val="center"/>
          </w:tcPr>
          <w:p>
            <w:pPr>
              <w:jc w:val="center"/>
            </w:pPr>
            <w:r>
              <w:rPr>
                <w:rFonts w:ascii="Calibri" w:hAnsi="Calibri"/>
                <w:sz w:val="15"/>
              </w:rPr>
              <w:t>43</w:t>
            </w:r>
          </w:p>
        </w:tc>
        <w:tc>
          <w:tcPr>
            <w:tcW w:type="dxa" w:w="1040"/>
            <w:tcMar>
              <w:top w:w="80" w:type="dxa"/>
              <w:bottom w:w="80" w:type="dxa"/>
              <w:start w:w="120" w:type="dxa"/>
              <w:end w:w="120" w:type="dxa"/>
            </w:tcMar>
            <w:vAlign w:val="center"/>
          </w:tcPr>
          <w:p>
            <w:pPr>
              <w:jc w:val="center"/>
            </w:pPr>
            <w:r>
              <w:rPr>
                <w:rFonts w:ascii="Calibri" w:hAnsi="Calibri"/>
                <w:sz w:val="15"/>
              </w:rPr>
              <w:t>0</w:t>
            </w:r>
          </w:p>
        </w:tc>
        <w:tc>
          <w:tcPr>
            <w:tcW w:type="dxa" w:w="1040"/>
            <w:tcMar>
              <w:top w:w="80" w:type="dxa"/>
              <w:bottom w:w="80" w:type="dxa"/>
              <w:start w:w="120" w:type="dxa"/>
              <w:end w:w="120" w:type="dxa"/>
            </w:tcMar>
            <w:vAlign w:val="center"/>
          </w:tcPr>
          <w:p>
            <w:pPr>
              <w:jc w:val="center"/>
            </w:pPr>
            <w:r>
              <w:rPr>
                <w:rFonts w:ascii="Calibri" w:hAnsi="Calibri"/>
                <w:sz w:val="15"/>
              </w:rPr>
              <w:t>150</w:t>
            </w:r>
          </w:p>
        </w:tc>
        <w:tc>
          <w:tcPr>
            <w:tcW w:type="dxa" w:w="1040"/>
            <w:tcMar>
              <w:top w:w="80" w:type="dxa"/>
              <w:bottom w:w="80" w:type="dxa"/>
              <w:start w:w="120" w:type="dxa"/>
              <w:end w:w="120" w:type="dxa"/>
            </w:tcMar>
            <w:vAlign w:val="center"/>
          </w:tcPr>
          <w:p>
            <w:pPr>
              <w:jc w:val="center"/>
            </w:pPr>
            <w:r>
              <w:rPr>
                <w:rFonts w:ascii="Calibri" w:hAnsi="Calibri"/>
                <w:sz w:val="15"/>
              </w:rPr>
              <w:t>0</w:t>
            </w:r>
          </w:p>
        </w:tc>
        <w:tc>
          <w:tcPr>
            <w:tcW w:type="dxa" w:w="1040"/>
            <w:tcMar>
              <w:top w:w="80" w:type="dxa"/>
              <w:bottom w:w="80" w:type="dxa"/>
              <w:start w:w="120" w:type="dxa"/>
              <w:end w:w="120" w:type="dxa"/>
            </w:tcMar>
            <w:vAlign w:val="center"/>
          </w:tcPr>
          <w:p>
            <w:pPr>
              <w:jc w:val="center"/>
            </w:pPr>
            <w:r>
              <w:rPr>
                <w:rFonts w:ascii="Calibri" w:hAnsi="Calibri"/>
                <w:sz w:val="15"/>
              </w:rPr>
              <w:t>0</w:t>
            </w:r>
          </w:p>
        </w:tc>
        <w:tc>
          <w:tcPr>
            <w:tcW w:type="dxa" w:w="1040"/>
            <w:tcMar>
              <w:top w:w="80" w:type="dxa"/>
              <w:bottom w:w="80" w:type="dxa"/>
              <w:start w:w="120" w:type="dxa"/>
              <w:end w:w="120" w:type="dxa"/>
            </w:tcMar>
            <w:vAlign w:val="center"/>
          </w:tcPr>
          <w:p>
            <w:pPr>
              <w:jc w:val="center"/>
            </w:pPr>
            <w:r>
              <w:rPr>
                <w:rFonts w:ascii="Calibri" w:hAnsi="Calibri"/>
                <w:sz w:val="15"/>
              </w:rPr>
              <w:t>392</w:t>
            </w:r>
          </w:p>
        </w:tc>
      </w:tr>
      <w:tr>
        <w:tc>
          <w:tcPr>
            <w:tcW w:type="dxa" w:w="1040"/>
            <w:tcMar>
              <w:top w:w="80" w:type="dxa"/>
              <w:bottom w:w="80" w:type="dxa"/>
              <w:start w:w="120" w:type="dxa"/>
              <w:end w:w="120" w:type="dxa"/>
            </w:tcMar>
            <w:vAlign w:val="center"/>
          </w:tcPr>
          <w:p>
            <w:pPr>
              <w:jc w:val="center"/>
            </w:pPr>
            <w:r>
              <w:rPr>
                <w:rFonts w:ascii="Calibri" w:hAnsi="Calibri"/>
                <w:sz w:val="15"/>
              </w:rPr>
              <w:t>2029</w:t>
            </w:r>
          </w:p>
        </w:tc>
        <w:tc>
          <w:tcPr>
            <w:tcW w:type="dxa" w:w="1040"/>
            <w:tcMar>
              <w:top w:w="80" w:type="dxa"/>
              <w:bottom w:w="80" w:type="dxa"/>
              <w:start w:w="120" w:type="dxa"/>
              <w:end w:w="120" w:type="dxa"/>
            </w:tcMar>
            <w:vAlign w:val="center"/>
          </w:tcPr>
          <w:p>
            <w:pPr>
              <w:jc w:val="center"/>
            </w:pPr>
            <w:r>
              <w:rPr>
                <w:rFonts w:ascii="Calibri" w:hAnsi="Calibri"/>
                <w:sz w:val="15"/>
              </w:rPr>
              <w:t>135</w:t>
            </w:r>
          </w:p>
        </w:tc>
        <w:tc>
          <w:tcPr>
            <w:tcW w:type="dxa" w:w="1040"/>
            <w:tcMar>
              <w:top w:w="80" w:type="dxa"/>
              <w:bottom w:w="80" w:type="dxa"/>
              <w:start w:w="120" w:type="dxa"/>
              <w:end w:w="120" w:type="dxa"/>
            </w:tcMar>
            <w:vAlign w:val="center"/>
          </w:tcPr>
          <w:p>
            <w:pPr>
              <w:jc w:val="center"/>
            </w:pPr>
            <w:r>
              <w:rPr>
                <w:rFonts w:ascii="Calibri" w:hAnsi="Calibri"/>
                <w:sz w:val="15"/>
              </w:rPr>
              <w:t>100</w:t>
            </w:r>
          </w:p>
        </w:tc>
        <w:tc>
          <w:tcPr>
            <w:tcW w:type="dxa" w:w="1040"/>
            <w:tcMar>
              <w:top w:w="80" w:type="dxa"/>
              <w:bottom w:w="80" w:type="dxa"/>
              <w:start w:w="120" w:type="dxa"/>
              <w:end w:w="120" w:type="dxa"/>
            </w:tcMar>
            <w:vAlign w:val="center"/>
          </w:tcPr>
          <w:p>
            <w:pPr>
              <w:jc w:val="center"/>
            </w:pPr>
            <w:r>
              <w:rPr>
                <w:rFonts w:ascii="Calibri" w:hAnsi="Calibri"/>
                <w:sz w:val="15"/>
              </w:rPr>
              <w:t>50</w:t>
            </w:r>
          </w:p>
        </w:tc>
        <w:tc>
          <w:tcPr>
            <w:tcW w:type="dxa" w:w="1040"/>
            <w:tcMar>
              <w:top w:w="80" w:type="dxa"/>
              <w:bottom w:w="80" w:type="dxa"/>
              <w:start w:w="120" w:type="dxa"/>
              <w:end w:w="120" w:type="dxa"/>
            </w:tcMar>
            <w:vAlign w:val="center"/>
          </w:tcPr>
          <w:p>
            <w:pPr>
              <w:jc w:val="center"/>
            </w:pPr>
            <w:r>
              <w:rPr>
                <w:rFonts w:ascii="Calibri" w:hAnsi="Calibri"/>
                <w:sz w:val="15"/>
              </w:rPr>
              <w:t>0</w:t>
            </w:r>
          </w:p>
        </w:tc>
        <w:tc>
          <w:tcPr>
            <w:tcW w:type="dxa" w:w="1040"/>
            <w:tcMar>
              <w:top w:w="80" w:type="dxa"/>
              <w:bottom w:w="80" w:type="dxa"/>
              <w:start w:w="120" w:type="dxa"/>
              <w:end w:w="120" w:type="dxa"/>
            </w:tcMar>
            <w:vAlign w:val="center"/>
          </w:tcPr>
          <w:p>
            <w:pPr>
              <w:jc w:val="center"/>
            </w:pPr>
            <w:r>
              <w:rPr>
                <w:rFonts w:ascii="Calibri" w:hAnsi="Calibri"/>
                <w:sz w:val="15"/>
              </w:rPr>
              <w:t>150</w:t>
            </w:r>
          </w:p>
        </w:tc>
        <w:tc>
          <w:tcPr>
            <w:tcW w:type="dxa" w:w="1040"/>
            <w:tcMar>
              <w:top w:w="80" w:type="dxa"/>
              <w:bottom w:w="80" w:type="dxa"/>
              <w:start w:w="120" w:type="dxa"/>
              <w:end w:w="120" w:type="dxa"/>
            </w:tcMar>
            <w:vAlign w:val="center"/>
          </w:tcPr>
          <w:p>
            <w:pPr>
              <w:jc w:val="center"/>
            </w:pPr>
            <w:r>
              <w:rPr>
                <w:rFonts w:ascii="Calibri" w:hAnsi="Calibri"/>
                <w:sz w:val="15"/>
              </w:rPr>
              <w:t>90</w:t>
            </w:r>
          </w:p>
        </w:tc>
        <w:tc>
          <w:tcPr>
            <w:tcW w:type="dxa" w:w="1040"/>
            <w:tcMar>
              <w:top w:w="80" w:type="dxa"/>
              <w:bottom w:w="80" w:type="dxa"/>
              <w:start w:w="120" w:type="dxa"/>
              <w:end w:w="120" w:type="dxa"/>
            </w:tcMar>
            <w:vAlign w:val="center"/>
          </w:tcPr>
          <w:p>
            <w:pPr>
              <w:jc w:val="center"/>
            </w:pPr>
            <w:r>
              <w:rPr>
                <w:rFonts w:ascii="Calibri" w:hAnsi="Calibri"/>
                <w:sz w:val="15"/>
              </w:rPr>
              <w:t>0</w:t>
            </w:r>
          </w:p>
        </w:tc>
        <w:tc>
          <w:tcPr>
            <w:tcW w:type="dxa" w:w="1040"/>
            <w:tcMar>
              <w:top w:w="80" w:type="dxa"/>
              <w:bottom w:w="80" w:type="dxa"/>
              <w:start w:w="120" w:type="dxa"/>
              <w:end w:w="120" w:type="dxa"/>
            </w:tcMar>
            <w:vAlign w:val="center"/>
          </w:tcPr>
          <w:p>
            <w:pPr>
              <w:jc w:val="center"/>
            </w:pPr>
            <w:r>
              <w:rPr>
                <w:rFonts w:ascii="Calibri" w:hAnsi="Calibri"/>
                <w:sz w:val="15"/>
              </w:rPr>
              <w:t>525</w:t>
            </w:r>
          </w:p>
        </w:tc>
      </w:tr>
      <w:tr>
        <w:tc>
          <w:tcPr>
            <w:tcW w:type="dxa" w:w="1040"/>
            <w:tcMar>
              <w:top w:w="80" w:type="dxa"/>
              <w:bottom w:w="80" w:type="dxa"/>
              <w:start w:w="120" w:type="dxa"/>
              <w:end w:w="120" w:type="dxa"/>
            </w:tcMar>
            <w:vAlign w:val="center"/>
          </w:tcPr>
          <w:p>
            <w:pPr>
              <w:jc w:val="center"/>
            </w:pPr>
            <w:r>
              <w:rPr>
                <w:rFonts w:ascii="Calibri" w:hAnsi="Calibri"/>
                <w:sz w:val="15"/>
              </w:rPr>
              <w:t>2030</w:t>
            </w:r>
          </w:p>
        </w:tc>
        <w:tc>
          <w:tcPr>
            <w:tcW w:type="dxa" w:w="1040"/>
            <w:tcMar>
              <w:top w:w="80" w:type="dxa"/>
              <w:bottom w:w="80" w:type="dxa"/>
              <w:start w:w="120" w:type="dxa"/>
              <w:end w:w="120" w:type="dxa"/>
            </w:tcMar>
            <w:vAlign w:val="center"/>
          </w:tcPr>
          <w:p>
            <w:pPr>
              <w:jc w:val="center"/>
            </w:pPr>
            <w:r>
              <w:rPr>
                <w:rFonts w:ascii="Calibri" w:hAnsi="Calibri"/>
                <w:sz w:val="15"/>
              </w:rPr>
              <w:t>180</w:t>
            </w:r>
          </w:p>
        </w:tc>
        <w:tc>
          <w:tcPr>
            <w:tcW w:type="dxa" w:w="1040"/>
            <w:tcMar>
              <w:top w:w="80" w:type="dxa"/>
              <w:bottom w:w="80" w:type="dxa"/>
              <w:start w:w="120" w:type="dxa"/>
              <w:end w:w="120" w:type="dxa"/>
            </w:tcMar>
            <w:vAlign w:val="center"/>
          </w:tcPr>
          <w:p>
            <w:pPr>
              <w:jc w:val="center"/>
            </w:pPr>
            <w:r>
              <w:rPr>
                <w:rFonts w:ascii="Calibri" w:hAnsi="Calibri"/>
                <w:sz w:val="15"/>
              </w:rPr>
              <w:t>100</w:t>
            </w:r>
          </w:p>
        </w:tc>
        <w:tc>
          <w:tcPr>
            <w:tcW w:type="dxa" w:w="1040"/>
            <w:tcMar>
              <w:top w:w="80" w:type="dxa"/>
              <w:bottom w:w="80" w:type="dxa"/>
              <w:start w:w="120" w:type="dxa"/>
              <w:end w:w="120" w:type="dxa"/>
            </w:tcMar>
            <w:vAlign w:val="center"/>
          </w:tcPr>
          <w:p>
            <w:pPr>
              <w:jc w:val="center"/>
            </w:pPr>
            <w:r>
              <w:rPr>
                <w:rFonts w:ascii="Calibri" w:hAnsi="Calibri"/>
                <w:sz w:val="15"/>
              </w:rPr>
              <w:t>50</w:t>
            </w:r>
          </w:p>
        </w:tc>
        <w:tc>
          <w:tcPr>
            <w:tcW w:type="dxa" w:w="1040"/>
            <w:tcMar>
              <w:top w:w="80" w:type="dxa"/>
              <w:bottom w:w="80" w:type="dxa"/>
              <w:start w:w="120" w:type="dxa"/>
              <w:end w:w="120" w:type="dxa"/>
            </w:tcMar>
            <w:vAlign w:val="center"/>
          </w:tcPr>
          <w:p>
            <w:pPr>
              <w:jc w:val="center"/>
            </w:pPr>
            <w:r>
              <w:rPr>
                <w:rFonts w:ascii="Calibri" w:hAnsi="Calibri"/>
                <w:sz w:val="15"/>
              </w:rPr>
              <w:t>0</w:t>
            </w:r>
          </w:p>
        </w:tc>
        <w:tc>
          <w:tcPr>
            <w:tcW w:type="dxa" w:w="1040"/>
            <w:tcMar>
              <w:top w:w="80" w:type="dxa"/>
              <w:bottom w:w="80" w:type="dxa"/>
              <w:start w:w="120" w:type="dxa"/>
              <w:end w:w="120" w:type="dxa"/>
            </w:tcMar>
            <w:vAlign w:val="center"/>
          </w:tcPr>
          <w:p>
            <w:pPr>
              <w:jc w:val="center"/>
            </w:pPr>
            <w:r>
              <w:rPr>
                <w:rFonts w:ascii="Calibri" w:hAnsi="Calibri"/>
                <w:sz w:val="15"/>
              </w:rPr>
              <w:t>150</w:t>
            </w:r>
          </w:p>
        </w:tc>
        <w:tc>
          <w:tcPr>
            <w:tcW w:type="dxa" w:w="1040"/>
            <w:tcMar>
              <w:top w:w="80" w:type="dxa"/>
              <w:bottom w:w="80" w:type="dxa"/>
              <w:start w:w="120" w:type="dxa"/>
              <w:end w:w="120" w:type="dxa"/>
            </w:tcMar>
            <w:vAlign w:val="center"/>
          </w:tcPr>
          <w:p>
            <w:pPr>
              <w:jc w:val="center"/>
            </w:pPr>
            <w:r>
              <w:rPr>
                <w:rFonts w:ascii="Calibri" w:hAnsi="Calibri"/>
                <w:sz w:val="15"/>
              </w:rPr>
              <w:t>144</w:t>
            </w:r>
          </w:p>
        </w:tc>
        <w:tc>
          <w:tcPr>
            <w:tcW w:type="dxa" w:w="1040"/>
            <w:tcMar>
              <w:top w:w="80" w:type="dxa"/>
              <w:bottom w:w="80" w:type="dxa"/>
              <w:start w:w="120" w:type="dxa"/>
              <w:end w:w="120" w:type="dxa"/>
            </w:tcMar>
            <w:vAlign w:val="center"/>
          </w:tcPr>
          <w:p>
            <w:pPr>
              <w:jc w:val="center"/>
            </w:pPr>
            <w:r>
              <w:rPr>
                <w:rFonts w:ascii="Calibri" w:hAnsi="Calibri"/>
                <w:sz w:val="15"/>
              </w:rPr>
              <w:t>0</w:t>
            </w:r>
          </w:p>
        </w:tc>
        <w:tc>
          <w:tcPr>
            <w:tcW w:type="dxa" w:w="1040"/>
            <w:tcMar>
              <w:top w:w="80" w:type="dxa"/>
              <w:bottom w:w="80" w:type="dxa"/>
              <w:start w:w="120" w:type="dxa"/>
              <w:end w:w="120" w:type="dxa"/>
            </w:tcMar>
            <w:vAlign w:val="center"/>
          </w:tcPr>
          <w:p>
            <w:pPr>
              <w:jc w:val="center"/>
            </w:pPr>
            <w:r>
              <w:rPr>
                <w:rFonts w:ascii="Calibri" w:hAnsi="Calibri"/>
                <w:sz w:val="15"/>
              </w:rPr>
              <w:t>624</w:t>
            </w:r>
          </w:p>
        </w:tc>
      </w:tr>
      <w:tr>
        <w:tc>
          <w:tcPr>
            <w:tcW w:type="dxa" w:w="1040"/>
            <w:tcMar>
              <w:top w:w="80" w:type="dxa"/>
              <w:bottom w:w="80" w:type="dxa"/>
              <w:start w:w="120" w:type="dxa"/>
              <w:end w:w="120" w:type="dxa"/>
            </w:tcMar>
            <w:vAlign w:val="center"/>
          </w:tcPr>
          <w:p>
            <w:pPr>
              <w:jc w:val="center"/>
            </w:pPr>
            <w:r>
              <w:rPr>
                <w:rFonts w:ascii="Calibri" w:hAnsi="Calibri"/>
                <w:sz w:val="15"/>
              </w:rPr>
              <w:t>2031</w:t>
            </w:r>
          </w:p>
        </w:tc>
        <w:tc>
          <w:tcPr>
            <w:tcW w:type="dxa" w:w="1040"/>
            <w:tcMar>
              <w:top w:w="80" w:type="dxa"/>
              <w:bottom w:w="80" w:type="dxa"/>
              <w:start w:w="120" w:type="dxa"/>
              <w:end w:w="120" w:type="dxa"/>
            </w:tcMar>
            <w:vAlign w:val="center"/>
          </w:tcPr>
          <w:p>
            <w:pPr>
              <w:jc w:val="center"/>
            </w:pPr>
            <w:r>
              <w:rPr>
                <w:rFonts w:ascii="Calibri" w:hAnsi="Calibri"/>
                <w:sz w:val="15"/>
              </w:rPr>
              <w:t>153</w:t>
            </w:r>
          </w:p>
        </w:tc>
        <w:tc>
          <w:tcPr>
            <w:tcW w:type="dxa" w:w="1040"/>
            <w:tcMar>
              <w:top w:w="80" w:type="dxa"/>
              <w:bottom w:w="80" w:type="dxa"/>
              <w:start w:w="120" w:type="dxa"/>
              <w:end w:w="120" w:type="dxa"/>
            </w:tcMar>
            <w:vAlign w:val="center"/>
          </w:tcPr>
          <w:p>
            <w:pPr>
              <w:jc w:val="center"/>
            </w:pPr>
            <w:r>
              <w:rPr>
                <w:rFonts w:ascii="Calibri" w:hAnsi="Calibri"/>
                <w:sz w:val="15"/>
              </w:rPr>
              <w:t>100</w:t>
            </w:r>
          </w:p>
        </w:tc>
        <w:tc>
          <w:tcPr>
            <w:tcW w:type="dxa" w:w="1040"/>
            <w:tcMar>
              <w:top w:w="80" w:type="dxa"/>
              <w:bottom w:w="80" w:type="dxa"/>
              <w:start w:w="120" w:type="dxa"/>
              <w:end w:w="120" w:type="dxa"/>
            </w:tcMar>
            <w:vAlign w:val="center"/>
          </w:tcPr>
          <w:p>
            <w:pPr>
              <w:jc w:val="center"/>
            </w:pPr>
            <w:r>
              <w:rPr>
                <w:rFonts w:ascii="Calibri" w:hAnsi="Calibri"/>
                <w:sz w:val="15"/>
              </w:rPr>
              <w:t>50</w:t>
            </w:r>
          </w:p>
        </w:tc>
        <w:tc>
          <w:tcPr>
            <w:tcW w:type="dxa" w:w="1040"/>
            <w:tcMar>
              <w:top w:w="80" w:type="dxa"/>
              <w:bottom w:w="80" w:type="dxa"/>
              <w:start w:w="120" w:type="dxa"/>
              <w:end w:w="120" w:type="dxa"/>
            </w:tcMar>
            <w:vAlign w:val="center"/>
          </w:tcPr>
          <w:p>
            <w:pPr>
              <w:jc w:val="center"/>
            </w:pPr>
            <w:r>
              <w:rPr>
                <w:rFonts w:ascii="Calibri" w:hAnsi="Calibri"/>
                <w:sz w:val="15"/>
              </w:rPr>
              <w:t>0</w:t>
            </w:r>
          </w:p>
        </w:tc>
        <w:tc>
          <w:tcPr>
            <w:tcW w:type="dxa" w:w="1040"/>
            <w:tcMar>
              <w:top w:w="80" w:type="dxa"/>
              <w:bottom w:w="80" w:type="dxa"/>
              <w:start w:w="120" w:type="dxa"/>
              <w:end w:w="120" w:type="dxa"/>
            </w:tcMar>
            <w:vAlign w:val="center"/>
          </w:tcPr>
          <w:p>
            <w:pPr>
              <w:jc w:val="center"/>
            </w:pPr>
            <w:r>
              <w:rPr>
                <w:rFonts w:ascii="Calibri" w:hAnsi="Calibri"/>
                <w:sz w:val="15"/>
              </w:rPr>
              <w:t>150</w:t>
            </w:r>
          </w:p>
        </w:tc>
        <w:tc>
          <w:tcPr>
            <w:tcW w:type="dxa" w:w="1040"/>
            <w:tcMar>
              <w:top w:w="80" w:type="dxa"/>
              <w:bottom w:w="80" w:type="dxa"/>
              <w:start w:w="120" w:type="dxa"/>
              <w:end w:w="120" w:type="dxa"/>
            </w:tcMar>
            <w:vAlign w:val="center"/>
          </w:tcPr>
          <w:p>
            <w:pPr>
              <w:jc w:val="center"/>
            </w:pPr>
            <w:r>
              <w:rPr>
                <w:rFonts w:ascii="Calibri" w:hAnsi="Calibri"/>
                <w:sz w:val="15"/>
              </w:rPr>
              <w:t>54</w:t>
            </w:r>
          </w:p>
        </w:tc>
        <w:tc>
          <w:tcPr>
            <w:tcW w:type="dxa" w:w="1040"/>
            <w:tcMar>
              <w:top w:w="80" w:type="dxa"/>
              <w:bottom w:w="80" w:type="dxa"/>
              <w:start w:w="120" w:type="dxa"/>
              <w:end w:w="120" w:type="dxa"/>
            </w:tcMar>
            <w:vAlign w:val="center"/>
          </w:tcPr>
          <w:p>
            <w:pPr>
              <w:jc w:val="center"/>
            </w:pPr>
            <w:r>
              <w:rPr>
                <w:rFonts w:ascii="Calibri" w:hAnsi="Calibri"/>
                <w:sz w:val="15"/>
              </w:rPr>
              <w:t>0</w:t>
            </w:r>
          </w:p>
        </w:tc>
        <w:tc>
          <w:tcPr>
            <w:tcW w:type="dxa" w:w="1040"/>
            <w:tcMar>
              <w:top w:w="80" w:type="dxa"/>
              <w:bottom w:w="80" w:type="dxa"/>
              <w:start w:w="120" w:type="dxa"/>
              <w:end w:w="120" w:type="dxa"/>
            </w:tcMar>
            <w:vAlign w:val="center"/>
          </w:tcPr>
          <w:p>
            <w:pPr>
              <w:jc w:val="center"/>
            </w:pPr>
            <w:r>
              <w:rPr>
                <w:rFonts w:ascii="Calibri" w:hAnsi="Calibri"/>
                <w:sz w:val="15"/>
              </w:rPr>
              <w:t>507</w:t>
            </w:r>
          </w:p>
        </w:tc>
      </w:tr>
      <w:tr>
        <w:tc>
          <w:tcPr>
            <w:tcW w:type="dxa" w:w="1040"/>
            <w:tcMar>
              <w:top w:w="80" w:type="dxa"/>
              <w:bottom w:w="80" w:type="dxa"/>
              <w:start w:w="120" w:type="dxa"/>
              <w:end w:w="120" w:type="dxa"/>
            </w:tcMar>
            <w:vAlign w:val="center"/>
          </w:tcPr>
          <w:p>
            <w:pPr>
              <w:jc w:val="center"/>
            </w:pPr>
            <w:r>
              <w:rPr>
                <w:rFonts w:ascii="Calibri" w:hAnsi="Calibri"/>
                <w:sz w:val="15"/>
              </w:rPr>
              <w:t>2032</w:t>
            </w:r>
          </w:p>
        </w:tc>
        <w:tc>
          <w:tcPr>
            <w:tcW w:type="dxa" w:w="1040"/>
            <w:tcMar>
              <w:top w:w="80" w:type="dxa"/>
              <w:bottom w:w="80" w:type="dxa"/>
              <w:start w:w="120" w:type="dxa"/>
              <w:end w:w="120" w:type="dxa"/>
            </w:tcMar>
            <w:vAlign w:val="center"/>
          </w:tcPr>
          <w:p>
            <w:pPr>
              <w:jc w:val="center"/>
            </w:pPr>
            <w:r>
              <w:rPr>
                <w:rFonts w:ascii="Calibri" w:hAnsi="Calibri"/>
                <w:sz w:val="15"/>
              </w:rPr>
              <w:t>99</w:t>
            </w:r>
          </w:p>
        </w:tc>
        <w:tc>
          <w:tcPr>
            <w:tcW w:type="dxa" w:w="1040"/>
            <w:tcMar>
              <w:top w:w="80" w:type="dxa"/>
              <w:bottom w:w="80" w:type="dxa"/>
              <w:start w:w="120" w:type="dxa"/>
              <w:end w:w="120" w:type="dxa"/>
            </w:tcMar>
            <w:vAlign w:val="center"/>
          </w:tcPr>
          <w:p>
            <w:pPr>
              <w:jc w:val="center"/>
            </w:pPr>
            <w:r>
              <w:rPr>
                <w:rFonts w:ascii="Calibri" w:hAnsi="Calibri"/>
                <w:sz w:val="15"/>
              </w:rPr>
              <w:t>100</w:t>
            </w:r>
          </w:p>
        </w:tc>
        <w:tc>
          <w:tcPr>
            <w:tcW w:type="dxa" w:w="1040"/>
            <w:tcMar>
              <w:top w:w="80" w:type="dxa"/>
              <w:bottom w:w="80" w:type="dxa"/>
              <w:start w:w="120" w:type="dxa"/>
              <w:end w:w="120" w:type="dxa"/>
            </w:tcMar>
            <w:vAlign w:val="center"/>
          </w:tcPr>
          <w:p>
            <w:pPr>
              <w:jc w:val="center"/>
            </w:pPr>
            <w:r>
              <w:rPr>
                <w:rFonts w:ascii="Calibri" w:hAnsi="Calibri"/>
                <w:sz w:val="15"/>
              </w:rPr>
              <w:t>50</w:t>
            </w:r>
          </w:p>
        </w:tc>
        <w:tc>
          <w:tcPr>
            <w:tcW w:type="dxa" w:w="1040"/>
            <w:tcMar>
              <w:top w:w="80" w:type="dxa"/>
              <w:bottom w:w="80" w:type="dxa"/>
              <w:start w:w="120" w:type="dxa"/>
              <w:end w:w="120" w:type="dxa"/>
            </w:tcMar>
            <w:vAlign w:val="center"/>
          </w:tcPr>
          <w:p>
            <w:pPr>
              <w:jc w:val="center"/>
            </w:pPr>
            <w:r>
              <w:rPr>
                <w:rFonts w:ascii="Calibri" w:hAnsi="Calibri"/>
                <w:sz w:val="15"/>
              </w:rPr>
              <w:t>0</w:t>
            </w:r>
          </w:p>
        </w:tc>
        <w:tc>
          <w:tcPr>
            <w:tcW w:type="dxa" w:w="1040"/>
            <w:tcMar>
              <w:top w:w="80" w:type="dxa"/>
              <w:bottom w:w="80" w:type="dxa"/>
              <w:start w:w="120" w:type="dxa"/>
              <w:end w:w="120" w:type="dxa"/>
            </w:tcMar>
            <w:vAlign w:val="center"/>
          </w:tcPr>
          <w:p>
            <w:pPr>
              <w:jc w:val="center"/>
            </w:pPr>
            <w:r>
              <w:rPr>
                <w:rFonts w:ascii="Calibri" w:hAnsi="Calibri"/>
                <w:sz w:val="15"/>
              </w:rPr>
              <w:t>150</w:t>
            </w:r>
          </w:p>
        </w:tc>
        <w:tc>
          <w:tcPr>
            <w:tcW w:type="dxa" w:w="1040"/>
            <w:tcMar>
              <w:top w:w="80" w:type="dxa"/>
              <w:bottom w:w="80" w:type="dxa"/>
              <w:start w:w="120" w:type="dxa"/>
              <w:end w:w="120" w:type="dxa"/>
            </w:tcMar>
            <w:vAlign w:val="center"/>
          </w:tcPr>
          <w:p>
            <w:pPr>
              <w:jc w:val="center"/>
            </w:pPr>
            <w:r>
              <w:rPr>
                <w:rFonts w:ascii="Calibri" w:hAnsi="Calibri"/>
                <w:sz w:val="15"/>
              </w:rPr>
              <w:t>18</w:t>
            </w:r>
          </w:p>
        </w:tc>
        <w:tc>
          <w:tcPr>
            <w:tcW w:type="dxa" w:w="1040"/>
            <w:tcMar>
              <w:top w:w="80" w:type="dxa"/>
              <w:bottom w:w="80" w:type="dxa"/>
              <w:start w:w="120" w:type="dxa"/>
              <w:end w:w="120" w:type="dxa"/>
            </w:tcMar>
            <w:vAlign w:val="center"/>
          </w:tcPr>
          <w:p>
            <w:pPr>
              <w:jc w:val="center"/>
            </w:pPr>
            <w:r>
              <w:rPr>
                <w:rFonts w:ascii="Calibri" w:hAnsi="Calibri"/>
                <w:sz w:val="15"/>
              </w:rPr>
              <w:t>0</w:t>
            </w:r>
          </w:p>
        </w:tc>
        <w:tc>
          <w:tcPr>
            <w:tcW w:type="dxa" w:w="1040"/>
            <w:tcMar>
              <w:top w:w="80" w:type="dxa"/>
              <w:bottom w:w="80" w:type="dxa"/>
              <w:start w:w="120" w:type="dxa"/>
              <w:end w:w="120" w:type="dxa"/>
            </w:tcMar>
            <w:vAlign w:val="center"/>
          </w:tcPr>
          <w:p>
            <w:pPr>
              <w:jc w:val="center"/>
            </w:pPr>
            <w:r>
              <w:rPr>
                <w:rFonts w:ascii="Calibri" w:hAnsi="Calibri"/>
                <w:sz w:val="15"/>
              </w:rPr>
              <w:t>417</w:t>
            </w:r>
          </w:p>
        </w:tc>
      </w:tr>
      <w:tr>
        <w:tc>
          <w:tcPr>
            <w:tcW w:type="dxa" w:w="1040"/>
            <w:tcMar>
              <w:top w:w="80" w:type="dxa"/>
              <w:bottom w:w="80" w:type="dxa"/>
              <w:start w:w="120" w:type="dxa"/>
              <w:end w:w="120" w:type="dxa"/>
            </w:tcMar>
            <w:vAlign w:val="center"/>
          </w:tcPr>
          <w:p>
            <w:pPr>
              <w:jc w:val="center"/>
            </w:pPr>
            <w:r>
              <w:rPr>
                <w:rFonts w:ascii="Calibri" w:hAnsi="Calibri"/>
                <w:sz w:val="15"/>
              </w:rPr>
              <w:t>2033</w:t>
            </w:r>
          </w:p>
        </w:tc>
        <w:tc>
          <w:tcPr>
            <w:tcW w:type="dxa" w:w="1040"/>
            <w:tcMar>
              <w:top w:w="80" w:type="dxa"/>
              <w:bottom w:w="80" w:type="dxa"/>
              <w:start w:w="120" w:type="dxa"/>
              <w:end w:w="120" w:type="dxa"/>
            </w:tcMar>
            <w:vAlign w:val="center"/>
          </w:tcPr>
          <w:p>
            <w:pPr>
              <w:jc w:val="center"/>
            </w:pPr>
            <w:r>
              <w:rPr>
                <w:rFonts w:ascii="Calibri" w:hAnsi="Calibri"/>
                <w:sz w:val="15"/>
              </w:rPr>
              <w:t>117</w:t>
            </w:r>
          </w:p>
        </w:tc>
        <w:tc>
          <w:tcPr>
            <w:tcW w:type="dxa" w:w="1040"/>
            <w:tcMar>
              <w:top w:w="80" w:type="dxa"/>
              <w:bottom w:w="80" w:type="dxa"/>
              <w:start w:w="120" w:type="dxa"/>
              <w:end w:w="120" w:type="dxa"/>
            </w:tcMar>
            <w:vAlign w:val="center"/>
          </w:tcPr>
          <w:p>
            <w:pPr>
              <w:jc w:val="center"/>
            </w:pPr>
            <w:r>
              <w:rPr>
                <w:rFonts w:ascii="Calibri" w:hAnsi="Calibri"/>
                <w:sz w:val="15"/>
              </w:rPr>
              <w:t>100</w:t>
            </w:r>
          </w:p>
        </w:tc>
        <w:tc>
          <w:tcPr>
            <w:tcW w:type="dxa" w:w="1040"/>
            <w:tcMar>
              <w:top w:w="80" w:type="dxa"/>
              <w:bottom w:w="80" w:type="dxa"/>
              <w:start w:w="120" w:type="dxa"/>
              <w:end w:w="120" w:type="dxa"/>
            </w:tcMar>
            <w:vAlign w:val="center"/>
          </w:tcPr>
          <w:p>
            <w:pPr>
              <w:jc w:val="center"/>
            </w:pPr>
            <w:r>
              <w:rPr>
                <w:rFonts w:ascii="Calibri" w:hAnsi="Calibri"/>
                <w:sz w:val="15"/>
              </w:rPr>
              <w:t>50</w:t>
            </w:r>
          </w:p>
        </w:tc>
        <w:tc>
          <w:tcPr>
            <w:tcW w:type="dxa" w:w="1040"/>
            <w:tcMar>
              <w:top w:w="80" w:type="dxa"/>
              <w:bottom w:w="80" w:type="dxa"/>
              <w:start w:w="120" w:type="dxa"/>
              <w:end w:w="120" w:type="dxa"/>
            </w:tcMar>
            <w:vAlign w:val="center"/>
          </w:tcPr>
          <w:p>
            <w:pPr>
              <w:jc w:val="center"/>
            </w:pPr>
            <w:r>
              <w:rPr>
                <w:rFonts w:ascii="Calibri" w:hAnsi="Calibri"/>
                <w:sz w:val="15"/>
              </w:rPr>
              <w:t>0</w:t>
            </w:r>
          </w:p>
        </w:tc>
        <w:tc>
          <w:tcPr>
            <w:tcW w:type="dxa" w:w="1040"/>
            <w:tcMar>
              <w:top w:w="80" w:type="dxa"/>
              <w:bottom w:w="80" w:type="dxa"/>
              <w:start w:w="120" w:type="dxa"/>
              <w:end w:w="120" w:type="dxa"/>
            </w:tcMar>
            <w:vAlign w:val="center"/>
          </w:tcPr>
          <w:p>
            <w:pPr>
              <w:jc w:val="center"/>
            </w:pPr>
            <w:r>
              <w:rPr>
                <w:rFonts w:ascii="Calibri" w:hAnsi="Calibri"/>
                <w:sz w:val="15"/>
              </w:rPr>
              <w:t>150</w:t>
            </w:r>
          </w:p>
        </w:tc>
        <w:tc>
          <w:tcPr>
            <w:tcW w:type="dxa" w:w="1040"/>
            <w:tcMar>
              <w:top w:w="80" w:type="dxa"/>
              <w:bottom w:w="80" w:type="dxa"/>
              <w:start w:w="120" w:type="dxa"/>
              <w:end w:w="120" w:type="dxa"/>
            </w:tcMar>
            <w:vAlign w:val="center"/>
          </w:tcPr>
          <w:p>
            <w:pPr>
              <w:jc w:val="center"/>
            </w:pPr>
            <w:r>
              <w:rPr>
                <w:rFonts w:ascii="Calibri" w:hAnsi="Calibri"/>
                <w:sz w:val="15"/>
              </w:rPr>
              <w:t>72</w:t>
            </w:r>
          </w:p>
        </w:tc>
        <w:tc>
          <w:tcPr>
            <w:tcW w:type="dxa" w:w="1040"/>
            <w:tcMar>
              <w:top w:w="80" w:type="dxa"/>
              <w:bottom w:w="80" w:type="dxa"/>
              <w:start w:w="120" w:type="dxa"/>
              <w:end w:w="120" w:type="dxa"/>
            </w:tcMar>
            <w:vAlign w:val="center"/>
          </w:tcPr>
          <w:p>
            <w:pPr>
              <w:jc w:val="center"/>
            </w:pPr>
            <w:r>
              <w:rPr>
                <w:rFonts w:ascii="Calibri" w:hAnsi="Calibri"/>
                <w:sz w:val="15"/>
              </w:rPr>
              <w:t>0</w:t>
            </w:r>
          </w:p>
        </w:tc>
        <w:tc>
          <w:tcPr>
            <w:tcW w:type="dxa" w:w="1040"/>
            <w:tcMar>
              <w:top w:w="80" w:type="dxa"/>
              <w:bottom w:w="80" w:type="dxa"/>
              <w:start w:w="120" w:type="dxa"/>
              <w:end w:w="120" w:type="dxa"/>
            </w:tcMar>
            <w:vAlign w:val="center"/>
          </w:tcPr>
          <w:p>
            <w:pPr>
              <w:jc w:val="center"/>
            </w:pPr>
            <w:r>
              <w:rPr>
                <w:rFonts w:ascii="Calibri" w:hAnsi="Calibri"/>
                <w:sz w:val="15"/>
              </w:rPr>
              <w:t>489</w:t>
            </w:r>
          </w:p>
        </w:tc>
      </w:tr>
      <w:tr>
        <w:tc>
          <w:tcPr>
            <w:tcW w:type="dxa" w:w="1040"/>
            <w:tcMar>
              <w:top w:w="80" w:type="dxa"/>
              <w:bottom w:w="80" w:type="dxa"/>
              <w:start w:w="120" w:type="dxa"/>
              <w:end w:w="120" w:type="dxa"/>
            </w:tcMar>
            <w:vAlign w:val="center"/>
          </w:tcPr>
          <w:p>
            <w:pPr>
              <w:jc w:val="center"/>
            </w:pPr>
            <w:r>
              <w:rPr>
                <w:rFonts w:ascii="Calibri" w:hAnsi="Calibri"/>
                <w:sz w:val="15"/>
              </w:rPr>
              <w:t>2034</w:t>
            </w:r>
          </w:p>
        </w:tc>
        <w:tc>
          <w:tcPr>
            <w:tcW w:type="dxa" w:w="1040"/>
            <w:tcMar>
              <w:top w:w="80" w:type="dxa"/>
              <w:bottom w:w="80" w:type="dxa"/>
              <w:start w:w="120" w:type="dxa"/>
              <w:end w:w="120" w:type="dxa"/>
            </w:tcMar>
            <w:vAlign w:val="center"/>
          </w:tcPr>
          <w:p>
            <w:pPr>
              <w:jc w:val="center"/>
            </w:pPr>
            <w:r>
              <w:rPr>
                <w:rFonts w:ascii="Calibri" w:hAnsi="Calibri"/>
                <w:sz w:val="15"/>
              </w:rPr>
              <w:t>135</w:t>
            </w:r>
          </w:p>
        </w:tc>
        <w:tc>
          <w:tcPr>
            <w:tcW w:type="dxa" w:w="1040"/>
            <w:tcMar>
              <w:top w:w="80" w:type="dxa"/>
              <w:bottom w:w="80" w:type="dxa"/>
              <w:start w:w="120" w:type="dxa"/>
              <w:end w:w="120" w:type="dxa"/>
            </w:tcMar>
            <w:vAlign w:val="center"/>
          </w:tcPr>
          <w:p>
            <w:pPr>
              <w:jc w:val="center"/>
            </w:pPr>
            <w:r>
              <w:rPr>
                <w:rFonts w:ascii="Calibri" w:hAnsi="Calibri"/>
                <w:sz w:val="15"/>
              </w:rPr>
              <w:t>100</w:t>
            </w:r>
          </w:p>
        </w:tc>
        <w:tc>
          <w:tcPr>
            <w:tcW w:type="dxa" w:w="1040"/>
            <w:tcMar>
              <w:top w:w="80" w:type="dxa"/>
              <w:bottom w:w="80" w:type="dxa"/>
              <w:start w:w="120" w:type="dxa"/>
              <w:end w:w="120" w:type="dxa"/>
            </w:tcMar>
            <w:vAlign w:val="center"/>
          </w:tcPr>
          <w:p>
            <w:pPr>
              <w:jc w:val="center"/>
            </w:pPr>
            <w:r>
              <w:rPr>
                <w:rFonts w:ascii="Calibri" w:hAnsi="Calibri"/>
                <w:sz w:val="15"/>
              </w:rPr>
              <w:t>50</w:t>
            </w:r>
          </w:p>
        </w:tc>
        <w:tc>
          <w:tcPr>
            <w:tcW w:type="dxa" w:w="1040"/>
            <w:tcMar>
              <w:top w:w="80" w:type="dxa"/>
              <w:bottom w:w="80" w:type="dxa"/>
              <w:start w:w="120" w:type="dxa"/>
              <w:end w:w="120" w:type="dxa"/>
            </w:tcMar>
            <w:vAlign w:val="center"/>
          </w:tcPr>
          <w:p>
            <w:pPr>
              <w:jc w:val="center"/>
            </w:pPr>
            <w:r>
              <w:rPr>
                <w:rFonts w:ascii="Calibri" w:hAnsi="Calibri"/>
                <w:sz w:val="15"/>
              </w:rPr>
              <w:t>0</w:t>
            </w:r>
          </w:p>
        </w:tc>
        <w:tc>
          <w:tcPr>
            <w:tcW w:type="dxa" w:w="1040"/>
            <w:tcMar>
              <w:top w:w="80" w:type="dxa"/>
              <w:bottom w:w="80" w:type="dxa"/>
              <w:start w:w="120" w:type="dxa"/>
              <w:end w:w="120" w:type="dxa"/>
            </w:tcMar>
            <w:vAlign w:val="center"/>
          </w:tcPr>
          <w:p>
            <w:pPr>
              <w:jc w:val="center"/>
            </w:pPr>
            <w:r>
              <w:rPr>
                <w:rFonts w:ascii="Calibri" w:hAnsi="Calibri"/>
                <w:sz w:val="15"/>
              </w:rPr>
              <w:t>150</w:t>
            </w:r>
          </w:p>
        </w:tc>
        <w:tc>
          <w:tcPr>
            <w:tcW w:type="dxa" w:w="1040"/>
            <w:tcMar>
              <w:top w:w="80" w:type="dxa"/>
              <w:bottom w:w="80" w:type="dxa"/>
              <w:start w:w="120" w:type="dxa"/>
              <w:end w:w="120" w:type="dxa"/>
            </w:tcMar>
            <w:vAlign w:val="center"/>
          </w:tcPr>
          <w:p>
            <w:pPr>
              <w:jc w:val="center"/>
            </w:pPr>
            <w:r>
              <w:rPr>
                <w:rFonts w:ascii="Calibri" w:hAnsi="Calibri"/>
                <w:sz w:val="15"/>
              </w:rPr>
              <w:t>108</w:t>
            </w:r>
          </w:p>
        </w:tc>
        <w:tc>
          <w:tcPr>
            <w:tcW w:type="dxa" w:w="1040"/>
            <w:tcMar>
              <w:top w:w="80" w:type="dxa"/>
              <w:bottom w:w="80" w:type="dxa"/>
              <w:start w:w="120" w:type="dxa"/>
              <w:end w:w="120" w:type="dxa"/>
            </w:tcMar>
            <w:vAlign w:val="center"/>
          </w:tcPr>
          <w:p>
            <w:pPr>
              <w:jc w:val="center"/>
            </w:pPr>
            <w:r>
              <w:rPr>
                <w:rFonts w:ascii="Calibri" w:hAnsi="Calibri"/>
                <w:sz w:val="15"/>
              </w:rPr>
              <w:t>0</w:t>
            </w:r>
          </w:p>
        </w:tc>
        <w:tc>
          <w:tcPr>
            <w:tcW w:type="dxa" w:w="1040"/>
            <w:tcMar>
              <w:top w:w="80" w:type="dxa"/>
              <w:bottom w:w="80" w:type="dxa"/>
              <w:start w:w="120" w:type="dxa"/>
              <w:end w:w="120" w:type="dxa"/>
            </w:tcMar>
            <w:vAlign w:val="center"/>
          </w:tcPr>
          <w:p>
            <w:pPr>
              <w:jc w:val="center"/>
            </w:pPr>
            <w:r>
              <w:rPr>
                <w:rFonts w:ascii="Calibri" w:hAnsi="Calibri"/>
                <w:sz w:val="15"/>
              </w:rPr>
              <w:t>543</w:t>
            </w:r>
          </w:p>
        </w:tc>
      </w:tr>
      <w:tr>
        <w:tc>
          <w:tcPr>
            <w:tcW w:type="dxa" w:w="1040"/>
            <w:tcMar>
              <w:top w:w="80" w:type="dxa"/>
              <w:bottom w:w="80" w:type="dxa"/>
              <w:start w:w="120" w:type="dxa"/>
              <w:end w:w="120" w:type="dxa"/>
            </w:tcMar>
            <w:vAlign w:val="center"/>
          </w:tcPr>
          <w:p>
            <w:pPr>
              <w:jc w:val="center"/>
            </w:pPr>
            <w:r>
              <w:rPr>
                <w:rFonts w:ascii="Calibri" w:hAnsi="Calibri"/>
                <w:sz w:val="15"/>
              </w:rPr>
              <w:t>2035</w:t>
            </w:r>
          </w:p>
        </w:tc>
        <w:tc>
          <w:tcPr>
            <w:tcW w:type="dxa" w:w="1040"/>
            <w:tcMar>
              <w:top w:w="80" w:type="dxa"/>
              <w:bottom w:w="80" w:type="dxa"/>
              <w:start w:w="120" w:type="dxa"/>
              <w:end w:w="120" w:type="dxa"/>
            </w:tcMar>
            <w:vAlign w:val="center"/>
          </w:tcPr>
          <w:p>
            <w:pPr>
              <w:jc w:val="center"/>
            </w:pPr>
            <w:r>
              <w:rPr>
                <w:rFonts w:ascii="Calibri" w:hAnsi="Calibri"/>
                <w:sz w:val="15"/>
              </w:rPr>
              <w:t>117</w:t>
            </w:r>
          </w:p>
        </w:tc>
        <w:tc>
          <w:tcPr>
            <w:tcW w:type="dxa" w:w="1040"/>
            <w:tcMar>
              <w:top w:w="80" w:type="dxa"/>
              <w:bottom w:w="80" w:type="dxa"/>
              <w:start w:w="120" w:type="dxa"/>
              <w:end w:w="120" w:type="dxa"/>
            </w:tcMar>
            <w:vAlign w:val="center"/>
          </w:tcPr>
          <w:p>
            <w:pPr>
              <w:jc w:val="center"/>
            </w:pPr>
            <w:r>
              <w:rPr>
                <w:rFonts w:ascii="Calibri" w:hAnsi="Calibri"/>
                <w:sz w:val="15"/>
              </w:rPr>
              <w:t>100</w:t>
            </w:r>
          </w:p>
        </w:tc>
        <w:tc>
          <w:tcPr>
            <w:tcW w:type="dxa" w:w="1040"/>
            <w:tcMar>
              <w:top w:w="80" w:type="dxa"/>
              <w:bottom w:w="80" w:type="dxa"/>
              <w:start w:w="120" w:type="dxa"/>
              <w:end w:w="120" w:type="dxa"/>
            </w:tcMar>
            <w:vAlign w:val="center"/>
          </w:tcPr>
          <w:p>
            <w:pPr>
              <w:jc w:val="center"/>
            </w:pPr>
            <w:r>
              <w:rPr>
                <w:rFonts w:ascii="Calibri" w:hAnsi="Calibri"/>
                <w:sz w:val="15"/>
              </w:rPr>
              <w:t>50</w:t>
            </w:r>
          </w:p>
        </w:tc>
        <w:tc>
          <w:tcPr>
            <w:tcW w:type="dxa" w:w="1040"/>
            <w:tcMar>
              <w:top w:w="80" w:type="dxa"/>
              <w:bottom w:w="80" w:type="dxa"/>
              <w:start w:w="120" w:type="dxa"/>
              <w:end w:w="120" w:type="dxa"/>
            </w:tcMar>
            <w:vAlign w:val="center"/>
          </w:tcPr>
          <w:p>
            <w:pPr>
              <w:jc w:val="center"/>
            </w:pPr>
            <w:r>
              <w:rPr>
                <w:rFonts w:ascii="Calibri" w:hAnsi="Calibri"/>
                <w:sz w:val="15"/>
              </w:rPr>
              <w:t>0</w:t>
            </w:r>
          </w:p>
        </w:tc>
        <w:tc>
          <w:tcPr>
            <w:tcW w:type="dxa" w:w="1040"/>
            <w:tcMar>
              <w:top w:w="80" w:type="dxa"/>
              <w:bottom w:w="80" w:type="dxa"/>
              <w:start w:w="120" w:type="dxa"/>
              <w:end w:w="120" w:type="dxa"/>
            </w:tcMar>
            <w:vAlign w:val="center"/>
          </w:tcPr>
          <w:p>
            <w:pPr>
              <w:jc w:val="center"/>
            </w:pPr>
            <w:r>
              <w:rPr>
                <w:rFonts w:ascii="Calibri" w:hAnsi="Calibri"/>
                <w:sz w:val="15"/>
              </w:rPr>
              <w:t>150</w:t>
            </w:r>
          </w:p>
        </w:tc>
        <w:tc>
          <w:tcPr>
            <w:tcW w:type="dxa" w:w="1040"/>
            <w:tcMar>
              <w:top w:w="80" w:type="dxa"/>
              <w:bottom w:w="80" w:type="dxa"/>
              <w:start w:w="120" w:type="dxa"/>
              <w:end w:w="120" w:type="dxa"/>
            </w:tcMar>
            <w:vAlign w:val="center"/>
          </w:tcPr>
          <w:p>
            <w:pPr>
              <w:jc w:val="center"/>
            </w:pPr>
            <w:r>
              <w:rPr>
                <w:rFonts w:ascii="Calibri" w:hAnsi="Calibri"/>
                <w:sz w:val="15"/>
              </w:rPr>
              <w:t>63</w:t>
            </w:r>
          </w:p>
        </w:tc>
        <w:tc>
          <w:tcPr>
            <w:tcW w:type="dxa" w:w="1040"/>
            <w:tcMar>
              <w:top w:w="80" w:type="dxa"/>
              <w:bottom w:w="80" w:type="dxa"/>
              <w:start w:w="120" w:type="dxa"/>
              <w:end w:w="120" w:type="dxa"/>
            </w:tcMar>
            <w:vAlign w:val="center"/>
          </w:tcPr>
          <w:p>
            <w:pPr>
              <w:jc w:val="center"/>
            </w:pPr>
            <w:r>
              <w:rPr>
                <w:rFonts w:ascii="Calibri" w:hAnsi="Calibri"/>
                <w:sz w:val="15"/>
              </w:rPr>
              <w:t>0</w:t>
            </w:r>
          </w:p>
        </w:tc>
        <w:tc>
          <w:tcPr>
            <w:tcW w:type="dxa" w:w="1040"/>
            <w:tcMar>
              <w:top w:w="80" w:type="dxa"/>
              <w:bottom w:w="80" w:type="dxa"/>
              <w:start w:w="120" w:type="dxa"/>
              <w:end w:w="120" w:type="dxa"/>
            </w:tcMar>
            <w:vAlign w:val="center"/>
          </w:tcPr>
          <w:p>
            <w:pPr>
              <w:jc w:val="center"/>
            </w:pPr>
            <w:r>
              <w:rPr>
                <w:rFonts w:ascii="Calibri" w:hAnsi="Calibri"/>
                <w:sz w:val="15"/>
              </w:rPr>
              <w:t>480</w:t>
            </w:r>
          </w:p>
        </w:tc>
      </w:tr>
      <w:tr>
        <w:tc>
          <w:tcPr>
            <w:tcW w:type="dxa" w:w="1040"/>
            <w:tcMar>
              <w:top w:w="80" w:type="dxa"/>
              <w:bottom w:w="80" w:type="dxa"/>
              <w:start w:w="120" w:type="dxa"/>
              <w:end w:w="120" w:type="dxa"/>
            </w:tcMar>
            <w:vAlign w:val="center"/>
          </w:tcPr>
          <w:p>
            <w:pPr>
              <w:jc w:val="center"/>
            </w:pPr>
            <w:r>
              <w:rPr>
                <w:rFonts w:ascii="Calibri" w:hAnsi="Calibri"/>
                <w:sz w:val="15"/>
              </w:rPr>
              <w:t>2036</w:t>
            </w:r>
          </w:p>
        </w:tc>
        <w:tc>
          <w:tcPr>
            <w:tcW w:type="dxa" w:w="1040"/>
            <w:tcMar>
              <w:top w:w="80" w:type="dxa"/>
              <w:bottom w:w="80" w:type="dxa"/>
              <w:start w:w="120" w:type="dxa"/>
              <w:end w:w="120" w:type="dxa"/>
            </w:tcMar>
            <w:vAlign w:val="center"/>
          </w:tcPr>
          <w:p>
            <w:pPr>
              <w:jc w:val="center"/>
            </w:pPr>
            <w:r>
              <w:rPr>
                <w:rFonts w:ascii="Calibri" w:hAnsi="Calibri"/>
                <w:sz w:val="15"/>
              </w:rPr>
              <w:t>99</w:t>
            </w:r>
          </w:p>
        </w:tc>
        <w:tc>
          <w:tcPr>
            <w:tcW w:type="dxa" w:w="1040"/>
            <w:tcMar>
              <w:top w:w="80" w:type="dxa"/>
              <w:bottom w:w="80" w:type="dxa"/>
              <w:start w:w="120" w:type="dxa"/>
              <w:end w:w="120" w:type="dxa"/>
            </w:tcMar>
            <w:vAlign w:val="center"/>
          </w:tcPr>
          <w:p>
            <w:pPr>
              <w:jc w:val="center"/>
            </w:pPr>
            <w:r>
              <w:rPr>
                <w:rFonts w:ascii="Calibri" w:hAnsi="Calibri"/>
                <w:sz w:val="15"/>
              </w:rPr>
              <w:t>100</w:t>
            </w:r>
          </w:p>
        </w:tc>
        <w:tc>
          <w:tcPr>
            <w:tcW w:type="dxa" w:w="1040"/>
            <w:tcMar>
              <w:top w:w="80" w:type="dxa"/>
              <w:bottom w:w="80" w:type="dxa"/>
              <w:start w:w="120" w:type="dxa"/>
              <w:end w:w="120" w:type="dxa"/>
            </w:tcMar>
            <w:vAlign w:val="center"/>
          </w:tcPr>
          <w:p>
            <w:pPr>
              <w:jc w:val="center"/>
            </w:pPr>
            <w:r>
              <w:rPr>
                <w:rFonts w:ascii="Calibri" w:hAnsi="Calibri"/>
                <w:sz w:val="15"/>
              </w:rPr>
              <w:t>50</w:t>
            </w:r>
          </w:p>
        </w:tc>
        <w:tc>
          <w:tcPr>
            <w:tcW w:type="dxa" w:w="1040"/>
            <w:tcMar>
              <w:top w:w="80" w:type="dxa"/>
              <w:bottom w:w="80" w:type="dxa"/>
              <w:start w:w="120" w:type="dxa"/>
              <w:end w:w="120" w:type="dxa"/>
            </w:tcMar>
            <w:vAlign w:val="center"/>
          </w:tcPr>
          <w:p>
            <w:pPr>
              <w:jc w:val="center"/>
            </w:pPr>
            <w:r>
              <w:rPr>
                <w:rFonts w:ascii="Calibri" w:hAnsi="Calibri"/>
                <w:sz w:val="15"/>
              </w:rPr>
              <w:t>0</w:t>
            </w:r>
          </w:p>
        </w:tc>
        <w:tc>
          <w:tcPr>
            <w:tcW w:type="dxa" w:w="1040"/>
            <w:tcMar>
              <w:top w:w="80" w:type="dxa"/>
              <w:bottom w:w="80" w:type="dxa"/>
              <w:start w:w="120" w:type="dxa"/>
              <w:end w:w="120" w:type="dxa"/>
            </w:tcMar>
            <w:vAlign w:val="center"/>
          </w:tcPr>
          <w:p>
            <w:pPr>
              <w:jc w:val="center"/>
            </w:pPr>
            <w:r>
              <w:rPr>
                <w:rFonts w:ascii="Calibri" w:hAnsi="Calibri"/>
                <w:sz w:val="15"/>
              </w:rPr>
              <w:t>150</w:t>
            </w:r>
          </w:p>
        </w:tc>
        <w:tc>
          <w:tcPr>
            <w:tcW w:type="dxa" w:w="1040"/>
            <w:tcMar>
              <w:top w:w="80" w:type="dxa"/>
              <w:bottom w:w="80" w:type="dxa"/>
              <w:start w:w="120" w:type="dxa"/>
              <w:end w:w="120" w:type="dxa"/>
            </w:tcMar>
            <w:vAlign w:val="center"/>
          </w:tcPr>
          <w:p>
            <w:pPr>
              <w:jc w:val="center"/>
            </w:pPr>
            <w:r>
              <w:rPr>
                <w:rFonts w:ascii="Calibri" w:hAnsi="Calibri"/>
                <w:sz w:val="15"/>
              </w:rPr>
              <w:t>36</w:t>
            </w:r>
          </w:p>
        </w:tc>
        <w:tc>
          <w:tcPr>
            <w:tcW w:type="dxa" w:w="1040"/>
            <w:tcMar>
              <w:top w:w="80" w:type="dxa"/>
              <w:bottom w:w="80" w:type="dxa"/>
              <w:start w:w="120" w:type="dxa"/>
              <w:end w:w="120" w:type="dxa"/>
            </w:tcMar>
            <w:vAlign w:val="center"/>
          </w:tcPr>
          <w:p>
            <w:pPr>
              <w:jc w:val="center"/>
            </w:pPr>
            <w:r>
              <w:rPr>
                <w:rFonts w:ascii="Calibri" w:hAnsi="Calibri"/>
                <w:sz w:val="15"/>
              </w:rPr>
              <w:t>0</w:t>
            </w:r>
          </w:p>
        </w:tc>
        <w:tc>
          <w:tcPr>
            <w:tcW w:type="dxa" w:w="1040"/>
            <w:tcMar>
              <w:top w:w="80" w:type="dxa"/>
              <w:bottom w:w="80" w:type="dxa"/>
              <w:start w:w="120" w:type="dxa"/>
              <w:end w:w="120" w:type="dxa"/>
            </w:tcMar>
            <w:vAlign w:val="center"/>
          </w:tcPr>
          <w:p>
            <w:pPr>
              <w:jc w:val="center"/>
            </w:pPr>
            <w:r>
              <w:rPr>
                <w:rFonts w:ascii="Calibri" w:hAnsi="Calibri"/>
                <w:sz w:val="15"/>
              </w:rPr>
              <w:t>435</w:t>
            </w:r>
          </w:p>
        </w:tc>
      </w:tr>
    </w:tbl>
    <w:p/>
    <w:p>
      <w:pPr>
        <w:pStyle w:val="Heading1"/>
      </w:pPr>
      <w:r>
        <w:t>Lever Discussions</w:t>
      </w:r>
    </w:p>
    <w:p>
      <w:pPr>
        <w:pStyle w:val="Heading2"/>
      </w:pPr>
      <w:r>
        <w:t>Agricultural Optimization and Leasing</w:t>
      </w:r>
    </w:p>
    <w:p>
      <w:pPr>
        <w:jc w:val="left"/>
      </w:pPr>
      <w:r>
        <w:rPr>
          <w:b/>
        </w:rPr>
        <w:t>Accounting category:</w:t>
      </w:r>
      <w:r>
        <w:t xml:space="preserve"> Wet-year dependent and participation-limited.</w:t>
      </w:r>
    </w:p>
    <w:p>
      <w:pPr>
        <w:jc w:val="left"/>
      </w:pPr>
      <w:r>
        <w:rPr>
          <w:b/>
        </w:rPr>
        <w:t>Ceiling used:</w:t>
      </w:r>
      <w:r>
        <w:t xml:space="preserve"> 180 kAf/yr.</w:t>
      </w:r>
    </w:p>
    <w:p>
      <w:pPr>
        <w:jc w:val="left"/>
      </w:pPr>
      <w:r>
        <w:rPr>
          <w:b/>
        </w:rPr>
        <w:t>Annual profile:</w:t>
      </w:r>
      <w:r>
        <w:t xml:space="preserve"> Variable, with full modeled availability only in 2030.</w:t>
      </w:r>
    </w:p>
    <w:p>
      <w:pPr>
        <w:jc w:val="left"/>
      </w:pPr>
      <w:r>
        <w:rPr>
          <w:b/>
        </w:rPr>
        <w:t>Basis and rationale:</w:t>
      </w:r>
      <w:r>
        <w:t xml:space="preserve"> The 2026 Strike Team report states that agricultural water optimization and leasing can contribute meaningfully to lake recovery and identifies temporary water leasing as one of the most technically and economically viable strategies. It reports that several leasing scenarios evaluated in the Great Salt Lake Basin Integrated Plan were capable of achieving up to a 10% reduction in agricultural depletions if widely adopted.</w:t>
      </w:r>
    </w:p>
    <w:p>
      <w:pPr>
        <w:jc w:val="left"/>
      </w:pPr>
      <w:r>
        <w:t>The same report's updated water-budget table gives 2020-2024 agricultural depletion of 1,551 kAf/yr. A strict 10% calculation from that updated average is about 155 kAf/yr. The simulator's 180 kAf/yr ceiling is therefore an aggressive/high-end scenario, roughly consistent with 10% of a 1,700-1,800 kAf agricultural-depletion framing.</w:t>
      </w:r>
    </w:p>
    <w:p>
      <w:pPr>
        <w:jc w:val="left"/>
      </w:pPr>
      <w:r>
        <w:t xml:space="preserve">The USU depletion-methods report is essential because it distinguishes depletion reduction from diversion reduction. It defines irrigation depletion as the net removal of water from the hydrologic system after return flows and groundwater effects are considered, and it recommends practical methods for comparing depletion before and after irrigation practice changes. This source should be cited whenever simulator policy water is described as </w:t>
      </w:r>
      <w:r>
        <w:rPr>
          <w:rFonts w:ascii="Courier New" w:hAnsi="Courier New"/>
        </w:rPr>
        <w:t>depletion reduction</w:t>
      </w:r>
      <w:r>
        <w:t xml:space="preserve"> rather than simple diversion savings.</w:t>
      </w:r>
    </w:p>
    <w:p>
      <w:pPr>
        <w:jc w:val="left"/>
      </w:pPr>
      <w:r>
        <w:t>The CRA/CUWCD Upper Colorado agricultural conservation impact report provides quantitative support that a 180 kAf/yr ceiling is not outlandish in Utah agricultural settings. It estimates that temporary forage fallowing could save about 155.6 kAf/yr at 25% enrollment, 311.2 kAf/yr at 50% enrollment, and 466.7 kAf/yr at 75% enrollment. It also estimates crop-substitution savings near 143-148 kAf/yr and irrigation system conversion savings near 130 kAf/yr at the highest studied scale. That report is for Utah's Upper Colorado River Basin, not the Great Salt Lake Basin, so it supports order-of-magnitude plausibility and methods rather than a direct GSL ceiling.</w:t>
      </w:r>
    </w:p>
    <w:p>
      <w:pPr>
        <w:jc w:val="left"/>
      </w:pPr>
      <w:r>
        <w:t>The annual profile intentionally avoids treating the ceiling as a flat recurring amount. Agricultural leasing and optimization depend on water-year conditions, reservoir carryover, participation, compensation, conveyance ability, and water-right administration. Lower early years reflect ramp-up and limited participation. The 2028-2031 higher window reflects a scenario in which policy programs mature and favorable hydrologic/storage conditions allow more leasing.</w:t>
      </w:r>
    </w:p>
    <w:p>
      <w:pPr>
        <w:jc w:val="left"/>
      </w:pPr>
      <w:r>
        <w:rPr>
          <w:b/>
        </w:rPr>
        <w:t>Review need:</w:t>
      </w:r>
      <w:r>
        <w:t xml:space="preserve"> Compare the 180 kAf/yr ceiling and annual fractions against the full Great Salt Lake Basin agricultural depletion-reduction opportunity report. If reviewers prefer a strict Strike-Team-derived ceiling, use about 155 kAf/yr based on 10% of the 2020-2024 agricultural depletion average.</w:t>
      </w:r>
    </w:p>
    <w:p>
      <w:pPr>
        <w:pStyle w:val="Heading3"/>
      </w:pPr>
      <w:r>
        <w:rPr>
          <w:b/>
        </w:rPr>
        <w:t>Clickable references:</w:t>
      </w:r>
    </w:p>
    <w:p>
      <w:pPr>
        <w:pStyle w:val="ListBullet"/>
      </w:pPr>
      <w:hyperlink r:id="rId10">
        <w:r>
          <w:rPr>
            <w:color w:val="0563C1"/>
            <w:u w:val="single"/>
          </w:rPr>
          <w:t>Great Salt Lake Strike Team 2026 Data and Insights Summary</w:t>
        </w:r>
      </w:hyperlink>
    </w:p>
    <w:p>
      <w:pPr>
        <w:pStyle w:val="ListBullet"/>
      </w:pPr>
      <w:hyperlink r:id="rId11">
        <w:r>
          <w:rPr>
            <w:color w:val="0563C1"/>
            <w:u w:val="single"/>
          </w:rPr>
          <w:t>USU Extension: Evapotranspiration and Crop Water Use</w:t>
        </w:r>
      </w:hyperlink>
    </w:p>
    <w:p>
      <w:pPr>
        <w:pStyle w:val="ListBullet"/>
      </w:pPr>
      <w:hyperlink r:id="rId12">
        <w:r>
          <w:rPr>
            <w:color w:val="0563C1"/>
            <w:u w:val="single"/>
          </w:rPr>
          <w:t>Barker, Yost, and Bildim 2025: Quantifying Depletion Differences from Irrigation Practice Changes in Utah</w:t>
        </w:r>
      </w:hyperlink>
    </w:p>
    <w:p>
      <w:pPr>
        <w:pStyle w:val="ListBullet"/>
      </w:pPr>
      <w:hyperlink r:id="rId13">
        <w:r>
          <w:rPr>
            <w:color w:val="0563C1"/>
            <w:u w:val="single"/>
          </w:rPr>
          <w:t>M.Cubed/Jacobs 2024 CUWCD Agricultural Conservation Impact Report</w:t>
        </w:r>
      </w:hyperlink>
    </w:p>
    <w:p>
      <w:pPr>
        <w:pStyle w:val="ListBullet"/>
      </w:pPr>
      <w:hyperlink r:id="rId14">
        <w:r>
          <w:rPr>
            <w:color w:val="0563C1"/>
            <w:u w:val="single"/>
          </w:rPr>
          <w:t>Great Salt Lake Basin Integrated Plan 2024 Year in Review</w:t>
        </w:r>
      </w:hyperlink>
    </w:p>
    <w:p>
      <w:pPr>
        <w:pStyle w:val="Heading2"/>
      </w:pPr>
      <w:r>
        <w:t>M&amp;I Conservation</w:t>
      </w:r>
    </w:p>
    <w:p>
      <w:pPr>
        <w:jc w:val="left"/>
      </w:pPr>
      <w:r>
        <w:rPr>
          <w:b/>
        </w:rPr>
        <w:t>Accounting category:</w:t>
      </w:r>
      <w:r>
        <w:t xml:space="preserve"> Stable recurring after adoption ramp.</w:t>
      </w:r>
    </w:p>
    <w:p>
      <w:pPr>
        <w:jc w:val="left"/>
      </w:pPr>
      <w:r>
        <w:rPr>
          <w:b/>
        </w:rPr>
        <w:t>Ceiling used:</w:t>
      </w:r>
      <w:r>
        <w:t xml:space="preserve"> 100 kAf/yr.</w:t>
      </w:r>
    </w:p>
    <w:p>
      <w:pPr>
        <w:jc w:val="left"/>
      </w:pPr>
      <w:r>
        <w:rPr>
          <w:b/>
        </w:rPr>
        <w:t>Annual profile:</w:t>
      </w:r>
      <w:r>
        <w:t xml:space="preserve"> 25%, 50%, 75%, then full recurring benefit from 2028 onward.</w:t>
      </w:r>
    </w:p>
    <w:p>
      <w:pPr>
        <w:jc w:val="left"/>
      </w:pPr>
      <w:r>
        <w:rPr>
          <w:b/>
        </w:rPr>
        <w:t>Basis and rationale:</w:t>
      </w:r>
      <w:r>
        <w:t xml:space="preserve"> The 2026 Strike Team report updates human depletion accounting and finds M&amp;I accounts for about 26.8% of human-caused depletions in 2020-2024. It also reports that outdoor water use accounts for nearly all M&amp;I depletion in 2024, and residential lawn watering alone depleted 408.5 kAf.</w:t>
      </w:r>
    </w:p>
    <w:p>
      <w:pPr>
        <w:jc w:val="left"/>
      </w:pPr>
      <w:r>
        <w:t>The M&amp;I Water Conservation Opportunities Report provides stronger ceiling support. It estimates 2019-2023 outdoor M&amp;I depletion at 333 kAf/yr and states that outdoor depletion accounts for 96% of total M&amp;I depletion. Its very-high-priority conservation table estimates turf replacement savings of 87-120 kAf/yr at 40% adoption and 131-180 kAf/yr at 60% adoption. A 100 kAf/yr ceiling is therefore defensible as a moderate-to-ambitious outdoor conservation scenario, especially if paired with turf replacement and irrigation-efficiency programs.</w:t>
      </w:r>
    </w:p>
    <w:p>
      <w:pPr>
        <w:jc w:val="left"/>
      </w:pPr>
      <w:r>
        <w:t>M&amp;I conservation is not physically episodic in the same way as leasing or reservoir release. Once turf conversion, outdoor watering changes, ordinances, rates, and appliance/landscape changes take effect, the depletion reduction can persist. The profile therefore ramps over three years and then holds constant.</w:t>
      </w:r>
    </w:p>
    <w:p>
      <w:pPr>
        <w:jc w:val="left"/>
      </w:pPr>
      <w:r>
        <w:rPr>
          <w:b/>
        </w:rPr>
        <w:t>Review need:</w:t>
      </w:r>
      <w:r>
        <w:t xml:space="preserve"> Verify whether 2028 full adoption is too aggressive. The ceiling is plausible from published outdoor M&amp;I conservation estimates, but the adoption schedule is a policy implementation assumption.</w:t>
      </w:r>
    </w:p>
    <w:p>
      <w:pPr>
        <w:pStyle w:val="Heading3"/>
      </w:pPr>
      <w:r>
        <w:rPr>
          <w:b/>
        </w:rPr>
        <w:t>Clickable references:</w:t>
      </w:r>
    </w:p>
    <w:p>
      <w:pPr>
        <w:pStyle w:val="ListBullet"/>
      </w:pPr>
      <w:hyperlink r:id="rId10">
        <w:r>
          <w:rPr>
            <w:color w:val="0563C1"/>
            <w:u w:val="single"/>
          </w:rPr>
          <w:t>Great Salt Lake Strike Team 2026 Data and Insights Summary</w:t>
        </w:r>
      </w:hyperlink>
    </w:p>
    <w:p>
      <w:pPr>
        <w:pStyle w:val="ListBullet"/>
      </w:pPr>
      <w:hyperlink r:id="rId15">
        <w:r>
          <w:rPr>
            <w:color w:val="0563C1"/>
            <w:u w:val="single"/>
          </w:rPr>
          <w:t>Utah Division of Water Resources 2025 M&amp;I Water Conservation Opportunities Report</w:t>
        </w:r>
      </w:hyperlink>
    </w:p>
    <w:p>
      <w:pPr>
        <w:pStyle w:val="Heading2"/>
      </w:pPr>
      <w:r>
        <w:t>Phragmites Management</w:t>
      </w:r>
    </w:p>
    <w:p>
      <w:pPr>
        <w:jc w:val="left"/>
      </w:pPr>
      <w:r>
        <w:rPr>
          <w:b/>
        </w:rPr>
        <w:t>Accounting category:</w:t>
      </w:r>
      <w:r>
        <w:t xml:space="preserve"> Buildout trajectory with maintenance.</w:t>
      </w:r>
    </w:p>
    <w:p>
      <w:pPr>
        <w:jc w:val="left"/>
      </w:pPr>
      <w:r>
        <w:rPr>
          <w:b/>
        </w:rPr>
        <w:t>Ceiling used:</w:t>
      </w:r>
      <w:r>
        <w:t xml:space="preserve"> 50 kAf/yr.</w:t>
      </w:r>
    </w:p>
    <w:p>
      <w:pPr>
        <w:jc w:val="left"/>
      </w:pPr>
      <w:r>
        <w:rPr>
          <w:b/>
        </w:rPr>
        <w:t>Annual profile:</w:t>
      </w:r>
      <w:r>
        <w:t xml:space="preserve"> Gradual ramp to full benefit by 2029.</w:t>
      </w:r>
    </w:p>
    <w:p>
      <w:pPr>
        <w:jc w:val="left"/>
      </w:pPr>
      <w:r>
        <w:rPr>
          <w:b/>
        </w:rPr>
        <w:t>Basis and rationale:</w:t>
      </w:r>
      <w:r>
        <w:t xml:space="preserve"> The 2026 Strike Team report confirms phragmites management as a major ongoing effort and notes successful treatment results, including 11,000 acres treated around Great Salt Lake in 2024 and large cover reductions in many areas. It also explicitly states that additional research is needed to quantify water savings from treatment.</w:t>
      </w:r>
    </w:p>
    <w:p>
      <w:pPr>
        <w:jc w:val="left"/>
      </w:pPr>
      <w:r>
        <w:t>The M&amp;I Water Conservation Opportunities Report cites Utah Division of Water Quality 2017 estimates that phragmites consumes 17-57 kAf/yr more water than native wetland vegetation, depending on density and site conditions. A 50 kAf/yr ceiling is within that published range, but because the Strike Team report flags remaining uncertainty, the simulator should keep this as an unverified or method-sensitive ceiling.</w:t>
      </w:r>
    </w:p>
    <w:p>
      <w:pPr>
        <w:jc w:val="left"/>
      </w:pPr>
      <w:r>
        <w:t>Phragmites treatment requires acreage access, herbicide or mechanical treatment, follow-up burning/cutting where appropriate, revegetation, and recurring maintenance. Benefits should not appear instantly. The profile assumes a 2025-2029 buildout and then sustained maintenance. If maintenance fails, recurring benefit should decline.</w:t>
      </w:r>
    </w:p>
    <w:p>
      <w:pPr>
        <w:jc w:val="left"/>
      </w:pPr>
      <w:r>
        <w:rPr>
          <w:b/>
        </w:rPr>
        <w:t>Review need:</w:t>
      </w:r>
      <w:r>
        <w:t xml:space="preserve"> Confirm whether the 50 kAf/yr high-end estimate should be discounted for replacement vegetation, site-specific ET differences, and treatment persistence.</w:t>
      </w:r>
    </w:p>
    <w:p>
      <w:pPr>
        <w:pStyle w:val="Heading3"/>
      </w:pPr>
      <w:r>
        <w:rPr>
          <w:b/>
        </w:rPr>
        <w:t>Clickable references:</w:t>
      </w:r>
    </w:p>
    <w:p>
      <w:pPr>
        <w:pStyle w:val="ListBullet"/>
      </w:pPr>
      <w:hyperlink r:id="rId10">
        <w:r>
          <w:rPr>
            <w:color w:val="0563C1"/>
            <w:u w:val="single"/>
          </w:rPr>
          <w:t>Great Salt Lake Strike Team 2026 Data and Insights Summary</w:t>
        </w:r>
      </w:hyperlink>
    </w:p>
    <w:p>
      <w:pPr>
        <w:pStyle w:val="ListBullet"/>
      </w:pPr>
      <w:hyperlink r:id="rId15">
        <w:r>
          <w:rPr>
            <w:color w:val="0563C1"/>
            <w:u w:val="single"/>
          </w:rPr>
          <w:t>Utah Division of Water Resources 2025 M&amp;I Water Conservation Opportunities Report</w:t>
        </w:r>
      </w:hyperlink>
    </w:p>
    <w:p>
      <w:pPr>
        <w:pStyle w:val="ListBullet"/>
      </w:pPr>
      <w:hyperlink r:id="rId16">
        <w:r>
          <w:rPr>
            <w:color w:val="0563C1"/>
            <w:u w:val="single"/>
          </w:rPr>
          <w:t>Great Salt Lake official Actions and Resources: Phragmites Removal</w:t>
        </w:r>
      </w:hyperlink>
    </w:p>
    <w:p>
      <w:pPr>
        <w:pStyle w:val="Heading2"/>
      </w:pPr>
      <w:r>
        <w:t>Newfoundland Evaporation Basin</w:t>
      </w:r>
    </w:p>
    <w:p>
      <w:pPr>
        <w:jc w:val="left"/>
      </w:pPr>
      <w:r>
        <w:rPr>
          <w:b/>
        </w:rPr>
        <w:t>Accounting category:</w:t>
      </w:r>
      <w:r>
        <w:t xml:space="preserve"> One-time or refillable stock transfer.</w:t>
      </w:r>
    </w:p>
    <w:p>
      <w:pPr>
        <w:jc w:val="left"/>
      </w:pPr>
      <w:r>
        <w:rPr>
          <w:b/>
        </w:rPr>
        <w:t>Ceiling used:</w:t>
      </w:r>
      <w:r>
        <w:t xml:space="preserve"> 50 kAf/yr.</w:t>
      </w:r>
    </w:p>
    <w:p>
      <w:pPr>
        <w:jc w:val="left"/>
      </w:pPr>
      <w:r>
        <w:rPr>
          <w:b/>
        </w:rPr>
        <w:t>Annual profile:</w:t>
      </w:r>
      <w:r>
        <w:t xml:space="preserve"> Front-loaded in 2025-2027, then zero without explicit refill.</w:t>
      </w:r>
    </w:p>
    <w:p>
      <w:pPr>
        <w:jc w:val="left"/>
      </w:pPr>
      <w:r>
        <w:rPr>
          <w:b/>
        </w:rPr>
        <w:t>Basis and rationale:</w:t>
      </w:r>
      <w:r>
        <w:t xml:space="preserve"> This is one of the strongest directly supported lever ceilings. The 2026 Strike Team report states that wet-year surface water can exceed 100 kAf, dry years can be zero, median annual maximum storage is about 34 kAf, and practical diversion potential is estimated at 20-50 kAf/yr depending on hydrologic conditions. It also states that sustained delivery of this volume could increase long-term lake elevation by about 0.2-0.5 ft.</w:t>
      </w:r>
    </w:p>
    <w:p>
      <w:pPr>
        <w:jc w:val="left"/>
      </w:pPr>
      <w:r>
        <w:t>The HydroShare resource by Tarboton, Perry, Radwin, Abualqumboz, and Neilson reports the same practical 20-50 kAf/yr finding and describes the method: Landsat imagery, DEM analysis, evaporation estimates, and remote-sensing products over the prior 12 years.</w:t>
      </w:r>
    </w:p>
    <w:p>
      <w:pPr>
        <w:jc w:val="left"/>
      </w:pPr>
      <w:r>
        <w:t>This lever is best treated as stored or episodic water, not a recurring conservation program. If water is diverted out of the Newfoundland evaporation basin, that stock is spent unless later hydrology refills it. The current profile assumes an initial available stock spread over three years and no subsequent refill scenario.</w:t>
      </w:r>
    </w:p>
    <w:p>
      <w:pPr>
        <w:jc w:val="left"/>
      </w:pPr>
      <w:r>
        <w:rPr>
          <w:b/>
        </w:rPr>
        <w:t>Review need:</w:t>
      </w:r>
      <w:r>
        <w:t xml:space="preserve"> Create an alternate profile for explicit 2026-2027 El Nino partial-refill assumptions if hydrologic evidence supports it.</w:t>
      </w:r>
    </w:p>
    <w:p>
      <w:pPr>
        <w:pStyle w:val="Heading3"/>
      </w:pPr>
      <w:r>
        <w:rPr>
          <w:b/>
        </w:rPr>
        <w:t>Clickable references:</w:t>
      </w:r>
    </w:p>
    <w:p>
      <w:pPr>
        <w:pStyle w:val="ListBullet"/>
      </w:pPr>
      <w:hyperlink r:id="rId10">
        <w:r>
          <w:rPr>
            <w:color w:val="0563C1"/>
            <w:u w:val="single"/>
          </w:rPr>
          <w:t>Great Salt Lake Strike Team 2026 Data and Insights Summary</w:t>
        </w:r>
      </w:hyperlink>
    </w:p>
    <w:p>
      <w:pPr>
        <w:pStyle w:val="ListBullet"/>
      </w:pPr>
      <w:hyperlink r:id="rId17">
        <w:r>
          <w:rPr>
            <w:color w:val="0563C1"/>
            <w:u w:val="single"/>
          </w:rPr>
          <w:t>Tarboton et al. 2026 HydroShare: Preliminary Newfoundland Evaporation Basin Surface Water Availability Assessment</w:t>
        </w:r>
      </w:hyperlink>
    </w:p>
    <w:p>
      <w:pPr>
        <w:pStyle w:val="Heading2"/>
      </w:pPr>
      <w:r>
        <w:t>Mineral Extraction Reduction</w:t>
      </w:r>
    </w:p>
    <w:p>
      <w:pPr>
        <w:jc w:val="left"/>
      </w:pPr>
      <w:r>
        <w:rPr>
          <w:b/>
        </w:rPr>
        <w:t>Accounting category:</w:t>
      </w:r>
      <w:r>
        <w:t xml:space="preserve"> Industrial depletion-reduction scenario.</w:t>
      </w:r>
    </w:p>
    <w:p>
      <w:pPr>
        <w:jc w:val="left"/>
      </w:pPr>
      <w:r>
        <w:rPr>
          <w:b/>
        </w:rPr>
        <w:t>Ceiling used:</w:t>
      </w:r>
      <w:r>
        <w:t xml:space="preserve"> 150 kAf/yr in v14.1.</w:t>
      </w:r>
    </w:p>
    <w:p>
      <w:pPr>
        <w:jc w:val="left"/>
      </w:pPr>
      <w:r>
        <w:rPr>
          <w:b/>
        </w:rPr>
        <w:t>Annual profile:</w:t>
      </w:r>
      <w:r>
        <w:t xml:space="preserve"> 50%, 75%, then full recurring benefit from 2027 onward.</w:t>
      </w:r>
    </w:p>
    <w:p>
      <w:pPr>
        <w:jc w:val="left"/>
      </w:pPr>
      <w:r>
        <w:rPr>
          <w:b/>
        </w:rPr>
        <w:t>Basis and rationale:</w:t>
      </w:r>
      <w:r>
        <w:t xml:space="preserve"> The 2026 Strike Team report documents that mineral extraction policies changed significantly after 2022 and that reductions in mineral depletions have largely been voluntary. It reports that depletions from the three mineral companies declined from 186 kAf in 2020 to 77 kAf in 2024. The updated depletion table gives a 2020-2024 lake mineral extraction average of 136 kAf/yr.</w:t>
      </w:r>
    </w:p>
    <w:p>
      <w:pPr>
        <w:jc w:val="left"/>
      </w:pPr>
      <w:r>
        <w:t>These data justify tracking mineral extraction as a meaningful water-use category, but they do not by themselves justify a clean prospective recurring 150 kAf/yr policy ceiling. A 150 kAf/yr ceiling is best treated as an aggressive counterfactual or maximum scenario around historical depletion, not as a vetted deliverable reduction from current conditions.</w:t>
      </w:r>
    </w:p>
    <w:p>
      <w:pPr>
        <w:jc w:val="left"/>
      </w:pPr>
      <w:r>
        <w:t>The profile treats mineral extraction reduction as a structural industrial change that can persist after transition. This is the most sensitive ceiling/profile combination because recent reductions may already be partly embedded in the baseline.</w:t>
      </w:r>
    </w:p>
    <w:p>
      <w:pPr>
        <w:jc w:val="left"/>
      </w:pPr>
      <w:r>
        <w:rPr>
          <w:b/>
        </w:rPr>
        <w:t>USMag self-check:</w:t>
      </w:r>
      <w:r>
        <w:t xml:space="preserve"> US Magnesium is not a v14.1 lever. It is displayed separately as structural baseline gain. Therefore the mineral slider should not also include USMag-type avoided depletion unless the scenario is explicitly using a pre-USMag counterfactual baseline. If the mineral slider is intended to represent additional current/future mineral-sector policy water beyond already-realized USMag protection, then the current 150 kAf/yr ceiling is too high.</w:t>
      </w:r>
    </w:p>
    <w:p>
      <w:pPr>
        <w:jc w:val="left"/>
      </w:pPr>
      <w:r>
        <w:rPr>
          <w:b/>
        </w:rPr>
        <w:t>Recommended v14.2 adjustment:</w:t>
      </w:r>
      <w:r>
        <w:t xml:space="preserve"> reduce the mineral extraction slider ceiling to about 75-80 kAf/yr, matching the order of magnitude of reported 2024 remaining mineral depletion after the major recent reductions. Keep the 150 kAf/yr value only as an optional historical-counterfactual scenario, not as the default additive policy lever.</w:t>
      </w:r>
    </w:p>
    <w:p>
      <w:pPr>
        <w:jc w:val="left"/>
      </w:pPr>
      <w:r>
        <w:rPr>
          <w:b/>
        </w:rPr>
        <w:t>Review need:</w:t>
      </w:r>
      <w:r>
        <w:t xml:space="preserve"> Verify current operator-specific depletions and separate already-realized reductions from new prospective water. Decide whether v14.2 should lower the public mineral lever to 80 kAf/yr while retaining a hidden/reference note that historical mineral depletion reached about 186 kAf/yr in 2020 and averaged about 136 kAf/yr during 2020-2024.</w:t>
      </w:r>
    </w:p>
    <w:p>
      <w:pPr>
        <w:pStyle w:val="Heading3"/>
      </w:pPr>
      <w:r>
        <w:rPr>
          <w:b/>
        </w:rPr>
        <w:t>Clickable references:</w:t>
      </w:r>
    </w:p>
    <w:p>
      <w:pPr>
        <w:pStyle w:val="ListBullet"/>
      </w:pPr>
      <w:hyperlink r:id="rId10">
        <w:r>
          <w:rPr>
            <w:color w:val="0563C1"/>
            <w:u w:val="single"/>
          </w:rPr>
          <w:t>Great Salt Lake Strike Team 2026 Data and Insights Summary</w:t>
        </w:r>
      </w:hyperlink>
    </w:p>
    <w:p>
      <w:pPr>
        <w:pStyle w:val="ListBullet"/>
      </w:pPr>
      <w:hyperlink r:id="rId18">
        <w:r>
          <w:rPr>
            <w:color w:val="0563C1"/>
            <w:u w:val="single"/>
          </w:rPr>
          <w:t>Great Salt Lake Distribution Management Plan</w:t>
        </w:r>
      </w:hyperlink>
    </w:p>
    <w:p>
      <w:pPr>
        <w:pStyle w:val="ListBullet"/>
      </w:pPr>
      <w:hyperlink r:id="rId19">
        <w:r>
          <w:rPr>
            <w:color w:val="0563C1"/>
            <w:u w:val="single"/>
          </w:rPr>
          <w:t>Compass Minerals voluntary agreement</w:t>
        </w:r>
      </w:hyperlink>
    </w:p>
    <w:p>
      <w:pPr>
        <w:pStyle w:val="Heading2"/>
      </w:pPr>
      <w:r>
        <w:t>US Magnesium-Type Avoided Depletion</w:t>
      </w:r>
    </w:p>
    <w:p>
      <w:pPr>
        <w:jc w:val="left"/>
      </w:pPr>
      <w:r>
        <w:rPr>
          <w:b/>
        </w:rPr>
        <w:t>Accounting category:</w:t>
      </w:r>
      <w:r>
        <w:t xml:space="preserve"> Structural baseline gain, not new policy water and not a simulator lever.</w:t>
      </w:r>
    </w:p>
    <w:p>
      <w:pPr>
        <w:jc w:val="left"/>
      </w:pPr>
      <w:r>
        <w:rPr>
          <w:b/>
        </w:rPr>
        <w:t>Number currently displayed in v14.1:</w:t>
      </w:r>
      <w:r>
        <w:t xml:space="preserve"> 65 kAf/yr.</w:t>
      </w:r>
    </w:p>
    <w:p>
      <w:pPr>
        <w:jc w:val="left"/>
      </w:pPr>
      <w:r>
        <w:rPr>
          <w:b/>
        </w:rPr>
        <w:t>Related legal/right numbers:</w:t>
      </w:r>
      <w:r>
        <w:t xml:space="preserve"> Utah's acquisition of US Magnesium assets has been reported as including roughly 144,000-145,000 acre-feet of associated water rights. The Great Salt Lake Comprehensive Management Plan's older water-right table lists multiple US Magnesium rights that together are well above the 50-80 kAf/yr operational-use framing used in the simulator. Recent public reporting also states that US Magnesium pumped more than 52,000 acre-feet of lake brine and groundwater in 2024.</w:t>
      </w:r>
    </w:p>
    <w:p>
      <w:pPr>
        <w:jc w:val="left"/>
      </w:pPr>
      <w:r>
        <w:rPr>
          <w:b/>
        </w:rPr>
        <w:t>Accounting answer:</w:t>
      </w:r>
      <w:r>
        <w:t xml:space="preserve"> US Magnesium-type avoided depletion should not be counted only in the first year. If the counterfactual is </w:t>
      </w:r>
      <w:r>
        <w:rPr>
          <w:rFonts w:ascii="Courier New" w:hAnsi="Courier New"/>
        </w:rPr>
        <w:t>US Magnesium continues withdrawing/depleting lake water every year</w:t>
      </w:r>
      <w:r>
        <w:t>, then ending or acquiring those water rights creates an annual avoided-depletion benefit for as long as the water is legally and operationally protected for the lake. In the lake water-balance equation:</w:t>
      </w:r>
    </w:p>
    <w:p>
      <w:pPr>
        <w:spacing w:after="160"/>
        <w:ind w:left="360"/>
      </w:pPr>
      <w:r>
        <w:rPr>
          <w:rFonts w:ascii="Courier New" w:hAnsi="Courier New"/>
          <w:sz w:val="18"/>
        </w:rPr>
        <w:t>change in storage = inflow - evaporation - withdrawals/depletions</w:t>
      </w:r>
    </w:p>
    <w:p>
      <w:pPr>
        <w:jc w:val="left"/>
      </w:pPr>
      <w:r>
        <w:t xml:space="preserve">Reducing a withdrawal by </w:t>
      </w:r>
      <w:r>
        <w:rPr>
          <w:rFonts w:ascii="Courier New" w:hAnsi="Courier New"/>
        </w:rPr>
        <w:t>X</w:t>
      </w:r>
      <w:r>
        <w:t xml:space="preserve"> kAf/yr improves lake storage by </w:t>
      </w:r>
      <w:r>
        <w:rPr>
          <w:rFonts w:ascii="Courier New" w:hAnsi="Courier New"/>
        </w:rPr>
        <w:t>X</w:t>
      </w:r>
      <w:r>
        <w:t xml:space="preserve"> kAf/yr, which is mathematically inflow-equivalent for lake-elevation modeling. It is not literally new tributary inflow; it is avoided loss. In a terminal lake budget, avoided depletion and added inflow have the same first-order sign and magnitude in storage accounting.</w:t>
      </w:r>
    </w:p>
    <w:p>
      <w:pPr>
        <w:jc w:val="left"/>
      </w:pPr>
      <w:r>
        <w:rPr>
          <w:b/>
        </w:rPr>
        <w:t>Why v14.1 keeps it separate:</w:t>
      </w:r>
      <w:r>
        <w:t xml:space="preserve"> If the simulator forecast is anchored to current USGS elevation and current/post-cessation depletion conditions, then the US Magnesium gain may already be partly embedded in the baseline. Counting it again as slider-driven policy water would double-count it. For that reason, v14.1 displays US Magnesium-type gain as structural accounting context and excludes it from </w:t>
      </w:r>
      <w:r>
        <w:rPr>
          <w:rFonts w:ascii="Courier New" w:hAnsi="Courier New"/>
        </w:rPr>
        <w:t>modeledTotal</w:t>
      </w:r>
      <w:r>
        <w:t>.</w:t>
      </w:r>
    </w:p>
    <w:p>
      <w:pPr>
        <w:jc w:val="left"/>
      </w:pPr>
      <w:r>
        <w:rPr>
          <w:b/>
        </w:rPr>
        <w:t>Best accounting rule:</w:t>
      </w:r>
      <w:r>
        <w:t xml:space="preserve"> Treat US Magnesium as recurring avoided depletion in an historical/counterfactual budget, but as structural baseline context in the current forecast. Do not include it in new annual policy water unless the baseline explicitly assumes continued US Magnesium withdrawals. If USMag remains structurally protected, it should reduce the remaining mineral-sector lever ceiling rather than add to it.</w:t>
      </w:r>
    </w:p>
    <w:p>
      <w:pPr>
        <w:jc w:val="left"/>
      </w:pPr>
      <w:r>
        <w:rPr>
          <w:b/>
        </w:rPr>
        <w:t>Review need:</w:t>
      </w:r>
      <w:r>
        <w:t xml:space="preserve"> Decide whether the 65 kAf/yr displayed value should be updated to one of three distinct quantities:</w:t>
      </w:r>
    </w:p>
    <w:p>
      <w:pPr>
        <w:pStyle w:val="ListBullet"/>
      </w:pPr>
      <w:r>
        <w:rPr>
          <w:rFonts w:ascii="Courier New" w:hAnsi="Courier New"/>
        </w:rPr>
        <w:t>~52 kAf/yr</w:t>
      </w:r>
      <w:r>
        <w:t>: recent actual 2024 pumping/use reported in public sources.</w:t>
      </w:r>
    </w:p>
    <w:p>
      <w:pPr>
        <w:pStyle w:val="ListBullet"/>
      </w:pPr>
      <w:r>
        <w:rPr>
          <w:rFonts w:ascii="Courier New" w:hAnsi="Courier New"/>
        </w:rPr>
        <w:t>50-80 kAf/yr</w:t>
      </w:r>
      <w:r>
        <w:t>: historical operational-use range used in prior simulator drafts.</w:t>
      </w:r>
    </w:p>
    <w:p>
      <w:pPr>
        <w:pStyle w:val="ListBullet"/>
      </w:pPr>
      <w:r>
        <w:rPr>
          <w:rFonts w:ascii="Courier New" w:hAnsi="Courier New"/>
        </w:rPr>
        <w:t>~144-145 kAf/yr</w:t>
      </w:r>
      <w:r>
        <w:t>: legal water-right volume acquired by the state, which should be treated as protected right/capacity rather than automatic annual hydrologic gain.</w:t>
      </w:r>
    </w:p>
    <w:p>
      <w:pPr>
        <w:pStyle w:val="Heading3"/>
      </w:pPr>
      <w:r>
        <w:rPr>
          <w:b/>
        </w:rPr>
        <w:t>Clickable references:</w:t>
      </w:r>
    </w:p>
    <w:p>
      <w:pPr>
        <w:pStyle w:val="ListBullet"/>
      </w:pPr>
      <w:hyperlink r:id="rId20">
        <w:r>
          <w:rPr>
            <w:color w:val="0563C1"/>
            <w:u w:val="single"/>
          </w:rPr>
          <w:t>Utah Legislature: 2026 Great Salt Lake legislation, including $30 million for U.S. Magnesium purchase</w:t>
        </w:r>
      </w:hyperlink>
    </w:p>
    <w:p>
      <w:pPr>
        <w:pStyle w:val="ListBullet"/>
      </w:pPr>
      <w:hyperlink r:id="rId21">
        <w:r>
          <w:rPr>
            <w:color w:val="0563C1"/>
            <w:u w:val="single"/>
          </w:rPr>
          <w:t>Utah House: 2026 Great Salt Lake laws and US Magnesium acquisition</w:t>
        </w:r>
      </w:hyperlink>
    </w:p>
    <w:p>
      <w:pPr>
        <w:pStyle w:val="ListBullet"/>
      </w:pPr>
      <w:hyperlink r:id="rId22">
        <w:r>
          <w:rPr>
            <w:color w:val="0563C1"/>
            <w:u w:val="single"/>
          </w:rPr>
          <w:t>KSL: Utah to buy US Magnesium plant and secure over 144,000 acre-feet of water rights</w:t>
        </w:r>
      </w:hyperlink>
    </w:p>
    <w:p>
      <w:pPr>
        <w:pStyle w:val="ListBullet"/>
      </w:pPr>
      <w:hyperlink r:id="rId23">
        <w:r>
          <w:rPr>
            <w:color w:val="0563C1"/>
            <w:u w:val="single"/>
          </w:rPr>
          <w:t>Deseret News: Utah purchase includes water rights to just over 144,000 acre-feet</w:t>
        </w:r>
      </w:hyperlink>
    </w:p>
    <w:p>
      <w:pPr>
        <w:pStyle w:val="ListBullet"/>
      </w:pPr>
      <w:hyperlink r:id="rId24">
        <w:r>
          <w:rPr>
            <w:color w:val="0563C1"/>
            <w:u w:val="single"/>
          </w:rPr>
          <w:t>Utah Business: Utah secures US Magnesium assets</w:t>
        </w:r>
      </w:hyperlink>
    </w:p>
    <w:p>
      <w:pPr>
        <w:pStyle w:val="ListBullet"/>
      </w:pPr>
      <w:hyperlink r:id="rId25">
        <w:r>
          <w:rPr>
            <w:color w:val="0563C1"/>
            <w:u w:val="single"/>
          </w:rPr>
          <w:t>FFSL 2013 Great Salt Lake Comprehensive Management Plan, water-right table</w:t>
        </w:r>
      </w:hyperlink>
    </w:p>
    <w:p>
      <w:pPr>
        <w:pStyle w:val="ListBullet"/>
      </w:pPr>
      <w:hyperlink r:id="rId26">
        <w:r>
          <w:rPr>
            <w:color w:val="0563C1"/>
            <w:u w:val="single"/>
          </w:rPr>
          <w:t>Utah DEQ: US Magnesium canal continuation project background</w:t>
        </w:r>
      </w:hyperlink>
    </w:p>
    <w:p>
      <w:pPr>
        <w:pStyle w:val="Heading2"/>
      </w:pPr>
      <w:r>
        <w:t>Reservoir Operations and Releases</w:t>
      </w:r>
    </w:p>
    <w:p>
      <w:pPr>
        <w:jc w:val="left"/>
      </w:pPr>
      <w:r>
        <w:rPr>
          <w:b/>
        </w:rPr>
        <w:t>Accounting category:</w:t>
      </w:r>
      <w:r>
        <w:t xml:space="preserve"> Episodic operational release.</w:t>
      </w:r>
    </w:p>
    <w:p>
      <w:pPr>
        <w:jc w:val="left"/>
      </w:pPr>
      <w:r>
        <w:rPr>
          <w:b/>
        </w:rPr>
        <w:t>Ceiling used:</w:t>
      </w:r>
      <w:r>
        <w:t xml:space="preserve"> 180 kAf/yr.</w:t>
      </w:r>
    </w:p>
    <w:p>
      <w:pPr>
        <w:jc w:val="left"/>
      </w:pPr>
      <w:r>
        <w:rPr>
          <w:b/>
        </w:rPr>
        <w:t>Annual profile:</w:t>
      </w:r>
      <w:r>
        <w:t xml:space="preserve"> Strongly variable.</w:t>
      </w:r>
    </w:p>
    <w:p>
      <w:pPr>
        <w:jc w:val="left"/>
      </w:pPr>
      <w:r>
        <w:rPr>
          <w:b/>
        </w:rPr>
        <w:t>Basis and rationale:</w:t>
      </w:r>
      <w:r>
        <w:t xml:space="preserve"> The 2026 Strike Team report directly supports the 180 kAf/yr event-scale ceiling. It states that controlled releases of 80,000 acre-feet from Utah Lake delivered water to Great Salt Lake and that Weber Basin Water Conservancy District discharged over 100 kAf through Willard Spur into Bear River Bay. The simulator's 180 kAf/yr ceiling is the rounded sum of those two observed 2025 actions.</w:t>
      </w:r>
    </w:p>
    <w:p>
      <w:pPr>
        <w:jc w:val="left"/>
      </w:pPr>
      <w:r>
        <w:t>Repeated annual availability depends on storage, water rights, downstream needs, flood-control constraints, irrigation demand, and prior-year hydrology. The profile intentionally includes zero and low years because reservoir operations are opportunistic, not a guaranteed recurring supply.</w:t>
      </w:r>
    </w:p>
    <w:p>
      <w:pPr>
        <w:jc w:val="left"/>
      </w:pPr>
      <w:r>
        <w:rPr>
          <w:b/>
        </w:rPr>
        <w:t>Review need:</w:t>
      </w:r>
      <w:r>
        <w:t xml:space="preserve"> Align annual fractions with a hydrologic trigger rule, such as reservoir carryover, snowpack percentile, streamflow forecast, or administrative release plan.</w:t>
      </w:r>
    </w:p>
    <w:p>
      <w:pPr>
        <w:pStyle w:val="Heading3"/>
      </w:pPr>
      <w:r>
        <w:rPr>
          <w:b/>
        </w:rPr>
        <w:t>Clickable references:</w:t>
      </w:r>
    </w:p>
    <w:p>
      <w:pPr>
        <w:pStyle w:val="ListBullet"/>
      </w:pPr>
      <w:hyperlink r:id="rId10">
        <w:r>
          <w:rPr>
            <w:color w:val="0563C1"/>
            <w:u w:val="single"/>
          </w:rPr>
          <w:t>Great Salt Lake Strike Team 2026 Data and Insights Summary</w:t>
        </w:r>
      </w:hyperlink>
    </w:p>
    <w:p>
      <w:pPr>
        <w:pStyle w:val="ListBullet"/>
      </w:pPr>
      <w:hyperlink r:id="rId27">
        <w:r>
          <w:rPr>
            <w:color w:val="0563C1"/>
            <w:u w:val="single"/>
          </w:rPr>
          <w:t>Great Salt Lake Strike Team Supplemental Resources</w:t>
        </w:r>
      </w:hyperlink>
    </w:p>
    <w:p>
      <w:pPr>
        <w:pStyle w:val="Heading2"/>
      </w:pPr>
      <w:r>
        <w:t>New Water Augmentation</w:t>
      </w:r>
    </w:p>
    <w:p>
      <w:pPr>
        <w:jc w:val="left"/>
      </w:pPr>
      <w:r>
        <w:rPr>
          <w:b/>
        </w:rPr>
        <w:t>Accounting category:</w:t>
      </w:r>
      <w:r>
        <w:t xml:space="preserve"> External augmentation stress test.</w:t>
      </w:r>
    </w:p>
    <w:p>
      <w:pPr>
        <w:jc w:val="left"/>
      </w:pPr>
      <w:r>
        <w:rPr>
          <w:b/>
        </w:rPr>
        <w:t>Ceiling used in simulator:</w:t>
      </w:r>
      <w:r>
        <w:t xml:space="preserve"> 1,500 kAf/yr.</w:t>
      </w:r>
    </w:p>
    <w:p>
      <w:pPr>
        <w:jc w:val="left"/>
      </w:pPr>
      <w:r>
        <w:rPr>
          <w:b/>
        </w:rPr>
        <w:t>Annual profile:</w:t>
      </w:r>
      <w:r>
        <w:t xml:space="preserve"> Construction-style ramp, but zero in the max-policy/zero-augmentation scenario.</w:t>
      </w:r>
    </w:p>
    <w:p>
      <w:pPr>
        <w:jc w:val="left"/>
      </w:pPr>
      <w:r>
        <w:rPr>
          <w:b/>
        </w:rPr>
        <w:t>Basis and rationale:</w:t>
      </w:r>
      <w:r>
        <w:t xml:space="preserve"> The Strike Team report and Tarboton projections support sustained additional-inflow benchmarks of 250 kAf/yr and 800 kAf/yr, with 800 kAf/yr associated with a long-term mean lake level near 4,198 ft. The simulator's 1,500 kAf/yr slider ceiling goes beyond those published conservation/inflow benchmarks and functions as a stress-test or external augmentation scenario.</w:t>
      </w:r>
    </w:p>
    <w:p>
      <w:pPr>
        <w:jc w:val="left"/>
      </w:pPr>
      <w:r>
        <w:t>Augmentation is excluded from the documented max-policy scenario because the user specifically set augmentation to zero. The simulator keeps an augmentation ramp profile for other scenarios because large external supply projects have construction, permitting, funding, and conveyance delays.</w:t>
      </w:r>
    </w:p>
    <w:p>
      <w:pPr>
        <w:jc w:val="left"/>
      </w:pPr>
      <w:r>
        <w:rPr>
          <w:b/>
        </w:rPr>
        <w:t>Review need:</w:t>
      </w:r>
      <w:r>
        <w:t xml:space="preserve"> Keep augmentation documentation separate from Strike Team conservation-lever documentation unless a specific augmentation project, source volume, conveyance plan, cost, and schedule are cited.</w:t>
      </w:r>
    </w:p>
    <w:p>
      <w:pPr>
        <w:pStyle w:val="Heading3"/>
      </w:pPr>
      <w:r>
        <w:rPr>
          <w:b/>
        </w:rPr>
        <w:t>Clickable references:</w:t>
      </w:r>
    </w:p>
    <w:p>
      <w:pPr>
        <w:pStyle w:val="ListBullet"/>
      </w:pPr>
      <w:hyperlink r:id="rId10">
        <w:r>
          <w:rPr>
            <w:color w:val="0563C1"/>
            <w:u w:val="single"/>
          </w:rPr>
          <w:t>Great Salt Lake Strike Team 2026 Data and Insights Summary</w:t>
        </w:r>
      </w:hyperlink>
    </w:p>
    <w:p>
      <w:pPr>
        <w:pStyle w:val="ListBullet"/>
      </w:pPr>
      <w:hyperlink r:id="rId28">
        <w:r>
          <w:rPr>
            <w:color w:val="0563C1"/>
            <w:u w:val="single"/>
          </w:rPr>
          <w:t>GreatSaltRiver.org</w:t>
        </w:r>
      </w:hyperlink>
    </w:p>
    <w:p>
      <w:pPr>
        <w:pStyle w:val="Heading1"/>
      </w:pPr>
      <w:r>
        <w:t>Open Review Questions</w:t>
      </w:r>
    </w:p>
    <w:p>
      <w:pPr>
        <w:pStyle w:val="ListNumber"/>
      </w:pPr>
      <w:r>
        <w:t>Should the agricultural maximum remain 180 kAf/yr, or should the strictly Strike-Team-derived ceiling be 155 kAf/yr?</w:t>
      </w:r>
    </w:p>
    <w:p>
      <w:pPr>
        <w:pStyle w:val="ListNumber"/>
      </w:pPr>
      <w:r>
        <w:t>Should the mineral extraction slider be lowered from 150 kAf/yr to about 75-80 kAf/yr because US Magnesium is already separated as structural baseline gain?</w:t>
      </w:r>
    </w:p>
    <w:p>
      <w:pPr>
        <w:pStyle w:val="ListNumber"/>
      </w:pPr>
      <w:r>
        <w:t>Should US Magnesium display 52, 65, 80, or 144 kAf/yr, and should the label distinguish actual recent avoided depletion from legal water-right volume?</w:t>
      </w:r>
    </w:p>
    <w:p>
      <w:pPr>
        <w:pStyle w:val="ListNumber"/>
      </w:pPr>
      <w:r>
        <w:t>Should reservoir-release fractions be linked to explicit water-year/storage triggers?</w:t>
      </w:r>
    </w:p>
    <w:p>
      <w:pPr>
        <w:pStyle w:val="ListNumber"/>
      </w:pPr>
      <w:r>
        <w:t>Should Newfoundland have an alternate 2026-2027 refill profile tied to El Nino or observed pond storage?</w:t>
      </w:r>
    </w:p>
    <w:p>
      <w:pPr>
        <w:pStyle w:val="ListNumber"/>
      </w:pPr>
      <w:r>
        <w:t xml:space="preserve">Should the UI labels distinguish </w:t>
      </w:r>
      <w:r>
        <w:rPr>
          <w:rFonts w:ascii="Courier New" w:hAnsi="Courier New"/>
        </w:rPr>
        <w:t>new inflow</w:t>
      </w:r>
      <w:r>
        <w:t xml:space="preserve">, </w:t>
      </w:r>
      <w:r>
        <w:rPr>
          <w:rFonts w:ascii="Courier New" w:hAnsi="Courier New"/>
        </w:rPr>
        <w:t>avoided depletion</w:t>
      </w:r>
      <w:r>
        <w:t xml:space="preserve">, </w:t>
      </w:r>
      <w:r>
        <w:rPr>
          <w:rFonts w:ascii="Courier New" w:hAnsi="Courier New"/>
        </w:rPr>
        <w:t>stock transfer</w:t>
      </w:r>
      <w:r>
        <w:t xml:space="preserve">, and </w:t>
      </w:r>
      <w:r>
        <w:rPr>
          <w:rFonts w:ascii="Courier New" w:hAnsi="Courier New"/>
        </w:rPr>
        <w:t>operational release</w:t>
      </w:r>
      <w:r>
        <w:t xml:space="preserve"> more visibly?</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464"/>
        <w:sz w:val="16"/>
      </w:rPr>
      <w:t>v14.1 Policy Lever Support Memo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36oiwf74r1rap.cloudfront.net/wp-content/uploads/2026/01/GSL-Jan2026.pdf" TargetMode="External"/><Relationship Id="rId11" Type="http://schemas.openxmlformats.org/officeDocument/2006/relationships/hyperlink" Target="https://extension.usu.edu/irrigation/crop-water-use" TargetMode="External"/><Relationship Id="rId12" Type="http://schemas.openxmlformats.org/officeDocument/2006/relationships/hyperlink" Target="https://extension.usu.edu/irrigation/files/QuantifyingDepletionIrrigation_FINAL_Barker_Yost_Bildim_UAES.pdf" TargetMode="External"/><Relationship Id="rId13" Type="http://schemas.openxmlformats.org/officeDocument/2006/relationships/hyperlink" Target="https://cra.utah.gov/wp-content/uploads/2024/09/cuwcd_ag_conservation_impact_report_CLEAN_FINAL.pdf" TargetMode="External"/><Relationship Id="rId14" Type="http://schemas.openxmlformats.org/officeDocument/2006/relationships/hyperlink" Target="https://water.utah.gov/wp-content/uploads/2025/01/GSLBIP-2024-Review.pdf" TargetMode="External"/><Relationship Id="rId15" Type="http://schemas.openxmlformats.org/officeDocument/2006/relationships/hyperlink" Target="https://water.utah.gov/wp-content/uploads/2025/09/MI-Water-Conservation-Opportunities-Report-09_02_2025.pdf" TargetMode="External"/><Relationship Id="rId16" Type="http://schemas.openxmlformats.org/officeDocument/2006/relationships/hyperlink" Target="https://greatsaltlake.utah.gov/actions-resources" TargetMode="External"/><Relationship Id="rId17" Type="http://schemas.openxmlformats.org/officeDocument/2006/relationships/hyperlink" Target="https://www.hydroshare.org/resource/b03f5c8885e2415dbf32f692c580a6e1/" TargetMode="External"/><Relationship Id="rId18" Type="http://schemas.openxmlformats.org/officeDocument/2006/relationships/hyperlink" Target="https://www.waterrights.utah.gov/GSLDMP/" TargetMode="External"/><Relationship Id="rId19" Type="http://schemas.openxmlformats.org/officeDocument/2006/relationships/hyperlink" Target="https://waterrights.utah.gov/GSLDMP/voluntary-arrangements/Compass-Minerals.pdf" TargetMode="External"/><Relationship Id="rId20" Type="http://schemas.openxmlformats.org/officeDocument/2006/relationships/hyperlink" Target="https://greatsaltlake.utah.gov/legislative-actions" TargetMode="External"/><Relationship Id="rId21" Type="http://schemas.openxmlformats.org/officeDocument/2006/relationships/hyperlink" Target="https://house.utleg.gov/utahs-effort-to-save-the-great-salt-lake-historic-water-law-major-acquisitions-and-a-federal-partnership/" TargetMode="External"/><Relationship Id="rId22" Type="http://schemas.openxmlformats.org/officeDocument/2006/relationships/hyperlink" Target="https://www.ksl.com/article/news/utah/environment/utah-to-buy-us-magnesium-plant-for-30m--an-incredible-opportunity-for-the-great-salt-lake/51439648" TargetMode="External"/><Relationship Id="rId23" Type="http://schemas.openxmlformats.org/officeDocument/2006/relationships/hyperlink" Target="https://www.deseret.com/environment/2026/01/28/great-salt-lake-us-magnesium-purchase-water-rights/" TargetMode="External"/><Relationship Id="rId24" Type="http://schemas.openxmlformats.org/officeDocument/2006/relationships/hyperlink" Target="https://www.utahbusiness.com/press-releases/2026/01/30/utah-us-magnesium-assets-protect-great-salt-lake-keep-more-water/" TargetMode="External"/><Relationship Id="rId25" Type="http://schemas.openxmlformats.org/officeDocument/2006/relationships/hyperlink" Target="https://ffsl.utah.gov/wp-content/uploads/OnlineGSL-CMPandROD-March2013.pdf" TargetMode="External"/><Relationship Id="rId26" Type="http://schemas.openxmlformats.org/officeDocument/2006/relationships/hyperlink" Target="https://deq.utah.gov/water-quality/us-magnesium-canal-continuation-project-section-401-water-quality-certification-decision" TargetMode="External"/><Relationship Id="rId27" Type="http://schemas.openxmlformats.org/officeDocument/2006/relationships/hyperlink" Target="https://d36oiwf74r1rap.cloudfront.net/wp-content/uploads/2026/01/GSL-SupplementalResources-Jan2026.pdf" TargetMode="External"/><Relationship Id="rId28" Type="http://schemas.openxmlformats.org/officeDocument/2006/relationships/hyperlink" Target="https://www.greatsaltriver.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v14.1 Policy Lever Support Memo</dc:title>
  <dc:subject/>
  <dc:creator>Ian R. Harvey with OpenAI Codex assistance</dc:creator>
  <cp:keywords/>
  <dc:description>generated by python-docx</dc:description>
  <cp:lastModifiedBy/>
  <cp:revision>1</cp:revision>
  <dcterms:created xsi:type="dcterms:W3CDTF">2013-12-23T23:15:00Z</dcterms:created>
  <dcterms:modified xsi:type="dcterms:W3CDTF">2013-12-23T23:15:00Z</dcterms:modified>
  <cp:category/>
</cp:coreProperties>
</file>