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gsl_rc_model_lag_corrected_statis_8d14ab"/>
      <w:r>
        <w:rPr>
          <w:rFonts w:eastAsia="georgia" w:cs="georgia" w:ascii="georgia" w:hAnsi="georgia"/>
          <w:b/>
          <w:color w:val="000000"/>
          <w:sz w:val="39"/>
        </w:rPr>
        <w:t xml:space="preserve">GSL RC Model — Lag-Corrected Statistical Analysis &amp; PDO×ENSO Alignment</w:t>
      </w:r>
      <w:bookmarkEnd w:id="0"/>
    </w:p>
    <w:p>
      <w:pPr>
        <w:spacing w:line="360" w:before="315" w:after="105" w:lineRule="auto"/>
        <w:ind w:left="-30"/>
        <w:jc w:val="left"/>
      </w:pPr>
      <w:bookmarkStart w:id="1" w:name="revision_v2_0_may_11_2026"/>
      <w:r>
        <w:rPr>
          <w:rFonts w:eastAsia="georgia" w:cs="georgia" w:ascii="georgia" w:hAnsi="georgia"/>
          <w:b/>
          <w:color w:val="000000"/>
          <w:sz w:val="24"/>
        </w:rPr>
        <w:t xml:space="preserve">Revision v2.0 | May 11, 2026</w:t>
      </w:r>
      <w:bookmarkEnd w:id="1"/>
    </w:p>
    <w:p>
      <w:pPr>
        <w:spacing w:line="360" w:after="210" w:lineRule="auto"/>
      </w:pPr>
      <w:r>
        <w:rPr>
          <w:rFonts w:eastAsia="georgia" w:cs="georgia" w:ascii="georgia" w:hAnsi="georgia"/>
          <w:i/>
          <w:color w:val="000000"/>
        </w:rPr>
        <w:t xml:space="preserve">Authors: Harvey, I.R. (lead) | Review: Chikamoto, Y. (USU); Wang, S.-Y. (independent)</w:t>
      </w:r>
      <w:r>
        <w:rPr>
          <w:rFonts w:eastAsia="georgia" w:cs="georgia" w:ascii="georgia" w:hAnsi="georgia"/>
          <w:color w:val="000000"/>
        </w:rPr>
        <w:br w:type="textWrapping"/>
      </w:r>
      <w:r>
        <w:rPr>
          <w:rFonts w:eastAsia="georgia" w:cs="georgia" w:ascii="georgia" w:hAnsi="georgia"/>
          <w:i/>
          <w:color w:val="000000"/>
        </w:rPr>
        <w:t xml:space="preserve">Policy co-authorship: Abbott, B. (BYU)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executive_summary"/>
      <w:r>
        <w:rPr>
          <w:rFonts w:eastAsia="georgia" w:cs="georgia" w:ascii="georgia" w:hAnsi="georgia"/>
          <w:b/>
          <w:color w:val="000000"/>
          <w:sz w:val="24"/>
        </w:rPr>
        <w:t xml:space="preserve">Executive Summary</w:t>
      </w:r>
      <w:bookmarkEnd w:id="2"/>
    </w:p>
    <w:p>
      <w:pPr>
        <w:spacing w:line="360" w:after="210" w:lineRule="auto"/>
      </w:pPr>
      <w:r>
        <w:rPr>
          <w:rFonts w:eastAsia="georgia" w:cs="georgia" w:ascii="georgia" w:hAnsi="georgia"/>
          <w:color w:val="000000"/>
        </w:rPr>
        <w:t xml:space="preserve">This revision incorporates three categories of corrections identified during thread self-review: (1) a factual anchor error in the snow fraction figure, (2) the omission of the Wang/Gillies canonical lag structure from all PDO–GSL correlation tests, and (3) a critical new finding that the 2026 El Niño is developing inside a </w:t>
      </w:r>
      <w:r>
        <w:rPr>
          <w:rFonts w:eastAsia="georgia" w:cs="georgia" w:ascii="georgia" w:hAnsi="georgia"/>
          <w:b/>
          <w:color w:val="000000"/>
        </w:rPr>
        <w:t xml:space="preserve">persistently negative PDO</w:t>
      </w:r>
      <w:r>
        <w:rPr>
          <w:rFonts w:eastAsia="georgia" w:cs="georgia" w:ascii="georgia" w:hAnsi="georgia"/>
          <w:color w:val="000000"/>
        </w:rPr>
        <w:t xml:space="preserve"> — a configuration that materially changes both the AR frequency forecast and the forward stochastic projections relative to the 2022–23 analog. The PDO remained at a historically anomalous </w:t>
      </w:r>
      <w:r>
        <w:rPr>
          <w:rFonts w:eastAsia="georgia" w:cs="georgia" w:ascii="georgia" w:hAnsi="georgia"/>
          <w:b/>
          <w:color w:val="000000"/>
        </w:rPr>
        <w:t xml:space="preserve">−4.0 sigma</w:t>
      </w:r>
      <w:r>
        <w:rPr>
          <w:rFonts w:eastAsia="georgia" w:cs="georgia" w:ascii="georgia" w:hAnsi="georgia"/>
          <w:color w:val="000000"/>
        </w:rPr>
        <w:t xml:space="preserve"> in mid-2025 and is forecast to remain negative through at least the 2026 outlook period. The combination of El Niño + Cool PDO is the "PDO Suppression Paradox" identified in the prior white paper: it produces moderate rather than high AR amplification, and the GSL elevation response to even a strong El Niño is delayed by the full three-year precipitation-to-lake integration lag documented by Gillies et al. (2011).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ection_1_thread_health_identifie_8e6ab9"/>
      <w:r>
        <w:rPr>
          <w:rFonts w:eastAsia="georgia" w:cs="georgia" w:ascii="georgia" w:hAnsi="georgia"/>
          <w:b/>
          <w:color w:val="000000"/>
          <w:sz w:val="24"/>
        </w:rPr>
        <w:t xml:space="preserve">Section 1: Thread Health — Identified Errors and Status</w:t>
      </w:r>
      <w:bookmarkEnd w:id="3"/>
    </w:p>
    <w:p>
      <w:pPr>
        <w:spacing w:line="360" w:before="315" w:after="105" w:lineRule="auto"/>
        <w:ind w:left="-30"/>
        <w:jc w:val="left"/>
      </w:pPr>
      <w:bookmarkStart w:id="4" w:name="bm_1_1_snow_fraction_figure_ancho_db30f3"/>
      <w:r>
        <w:rPr>
          <w:rFonts w:eastAsia="georgia" w:cs="georgia" w:ascii="georgia" w:hAnsi="georgia"/>
          <w:b/>
          <w:color w:val="000000"/>
          <w:sz w:val="24"/>
        </w:rPr>
        <w:t xml:space="preserve">1.1 Snow Fraction Figure Anchor Error (FigD)</w:t>
      </w:r>
      <w:bookmarkEnd w:id="4"/>
    </w:p>
    <w:p>
      <w:pPr>
        <w:spacing w:line="360" w:after="210" w:lineRule="auto"/>
      </w:pPr>
      <w:r>
        <w:rPr>
          <w:rFonts w:eastAsia="georgia" w:cs="georgia" w:ascii="georgia" w:hAnsi="georgia"/>
          <w:color w:val="000000"/>
        </w:rPr>
        <w:t xml:space="preserve">A factual error was identified in the FigD snow fraction analysis. The prior figure used </w:t>
      </w:r>
      <w:r>
        <w:rPr>
          <w:rFonts w:eastAsia="georgia" w:cs="georgia" w:ascii="georgia" w:hAnsi="georgia"/>
          <w:b/>
          <w:color w:val="000000"/>
        </w:rPr>
        <w:t xml:space="preserve">84% as the 1980 anchor value</w:t>
      </w:r>
      <w:r>
        <w:rPr>
          <w:rFonts w:eastAsia="georgia" w:cs="georgia" w:ascii="georgia" w:hAnsi="georgia"/>
          <w:color w:val="000000"/>
        </w:rPr>
        <w:t xml:space="preserve">, but the published source (Wang et al. 2012; Gillies et al. 2011) documents 84% as the </w:t>
      </w:r>
      <w:r>
        <w:rPr>
          <w:rFonts w:eastAsia="georgia" w:cs="georgia" w:ascii="georgia" w:hAnsi="georgia"/>
          <w:b/>
          <w:color w:val="000000"/>
        </w:rPr>
        <w:t xml:space="preserve">1960</w:t>
      </w:r>
      <w:r>
        <w:rPr>
          <w:rFonts w:eastAsia="georgia" w:cs="georgia" w:ascii="georgia" w:hAnsi="georgia"/>
          <w:color w:val="000000"/>
        </w:rPr>
        <w:t xml:space="preserve"> starting value, declining at −0.18%/yr. The correct 1980 value is approximately </w:t>
      </w:r>
      <w:r>
        <w:rPr>
          <w:rFonts w:eastAsia="georgia" w:cs="georgia" w:ascii="georgia" w:hAnsi="georgia"/>
          <w:b/>
          <w:color w:val="000000"/>
        </w:rPr>
        <w:t xml:space="preserve">80.4%</w:t>
      </w:r>
      <w:r>
        <w:rPr>
          <w:rFonts w:eastAsia="georgia" w:cs="georgia" w:ascii="georgia" w:hAnsi="georgia"/>
          <w:color w:val="000000"/>
        </w:rPr>
        <w:t xml:space="preserve">, and the 2025 extrapolated value is </w:t>
      </w:r>
      <w:r>
        <w:rPr>
          <w:rFonts w:eastAsia="georgia" w:cs="georgia" w:ascii="georgia" w:hAnsi="georgia"/>
          <w:b/>
          <w:color w:val="000000"/>
        </w:rPr>
        <w:t xml:space="preserve">~72.3%</w:t>
      </w:r>
      <w:r>
        <w:rPr>
          <w:rFonts w:eastAsia="georgia" w:cs="georgia" w:ascii="georgia" w:hAnsi="georgia"/>
          <w:color w:val="000000"/>
        </w:rPr>
        <w:t xml:space="preserve">. The decline rate (−0.18%/yr) and the 2010–2025 literature anchors are correct and unchanged. FigD has been regenerated with the corrected anchor; FigF (which correctly used 1960 as the starting year at 84%) was validated as accurate.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 FigD (incorrect)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Corrected 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 (series started at 1980)</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84.0%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Wang et al. 2012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1980</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84.0% ← ERROR</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80.4%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Derived (−0.18%/yr from 1960)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~78% (over-estimated)</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75.0%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Gillies et al. 2011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 (over-estimated)</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~72.3%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Extrapolated at −0.18%/yr</w:t>
            </w:r>
          </w:p>
        </w:tc>
      </w:tr>
    </w:tbl>
    <w:p>
      <w:pPr>
        <w:spacing w:lineRule="auto"/>
      </w:pPr>
    </w:p>
    <w:p>
      <w:pPr>
        <w:spacing w:line="360" w:before="315" w:after="105" w:lineRule="auto"/>
        <w:ind w:left="-30"/>
        <w:jc w:val="left"/>
      </w:pPr>
      <w:bookmarkStart w:id="5" w:name="bm_1_2_lag_omission_in_pdo_gsl_co_2019d2"/>
      <w:r>
        <w:rPr>
          <w:rFonts w:eastAsia="georgia" w:cs="georgia" w:ascii="georgia" w:hAnsi="georgia"/>
          <w:b/>
          <w:color w:val="000000"/>
          <w:sz w:val="24"/>
        </w:rPr>
        <w:t xml:space="preserve">1.2 Lag Omission in PDO–GSL Correlation (FigB)</w:t>
      </w:r>
      <w:bookmarkEnd w:id="5"/>
    </w:p>
    <w:p>
      <w:pPr>
        <w:spacing w:line="360" w:after="210" w:lineRule="auto"/>
      </w:pPr>
      <w:r>
        <w:rPr>
          <w:rFonts w:eastAsia="georgia" w:cs="georgia" w:ascii="georgia" w:hAnsi="georgia"/>
          <w:color w:val="000000"/>
        </w:rPr>
        <w:t xml:space="preserve">The most consequential thread error was applying zero lag in the PDO–GSL correlation test, producing a null result (r = −0.046, p = 0.76). The Gillies, Chung, Wang &amp; Kokoszka (2011) </w:t>
      </w:r>
      <w:r>
        <w:rPr>
          <w:rFonts w:eastAsia="georgia" w:cs="georgia" w:ascii="georgia" w:hAnsi="georgia"/>
          <w:i/>
          <w:color w:val="000000"/>
        </w:rPr>
        <w:t xml:space="preserve">Journal of Hydrometeorology</w:t>
      </w:r>
      <w:r>
        <w:rPr>
          <w:rFonts w:eastAsia="georgia" w:cs="georgia" w:ascii="georgia" w:hAnsi="georgia"/>
          <w:color w:val="000000"/>
        </w:rPr>
        <w:t xml:space="preserve"> paper — attached by the author — states in Figure 1's caption:</w:t>
      </w:r>
    </w:p>
    <w:p>
      <w:pPr>
        <w:spacing w:line="360" w:after="210" w:lineRule="auto"/>
        <w:ind w:left="630"/>
      </w:pPr>
      <w:r>
        <w:rPr>
          <w:rFonts w:eastAsia="georgia" w:cs="georgia" w:ascii="georgia" w:hAnsi="georgia"/>
          <w:i/>
          <w:color w:val="000000"/>
        </w:rPr>
        <w:t xml:space="preserve">"The GSL elevation lags the precipitation by 3 yr, while the precipitation lags the Pacific QDO by another 3 yr."</w:t>
      </w:r>
    </w:p>
    <w:p>
      <w:pPr>
        <w:spacing w:line="360" w:after="210" w:lineRule="auto"/>
      </w:pPr>
      <w:r>
        <w:rPr>
          <w:rFonts w:eastAsia="georgia" w:cs="georgia" w:ascii="georgia" w:hAnsi="georgia"/>
          <w:color w:val="000000"/>
        </w:rPr>
        <w:t xml:space="preserve">Applying the documented 6-year lag (Wang et al. 2010b) recovers a correlation of approximately r = −0.47; the 8-year regression lag from Equation 1 of the same paper recovers r ≈ −0.52. Both are statistically significant, replicating the published result. The prior null finding was an artifact of incorrect test design, not a failure of the underlying hypothesis.</w:t>
      </w:r>
    </w:p>
    <w:p>
      <w:pPr>
        <w:spacing w:line="360" w:before="315" w:after="105" w:lineRule="auto"/>
        <w:ind w:left="-30"/>
        <w:jc w:val="left"/>
      </w:pPr>
      <w:bookmarkStart w:id="6" w:name="bm_1_3_thread_health_summary"/>
      <w:r>
        <w:rPr>
          <w:rFonts w:eastAsia="georgia" w:cs="georgia" w:ascii="georgia" w:hAnsi="georgia"/>
          <w:b/>
          <w:color w:val="000000"/>
          <w:sz w:val="24"/>
        </w:rPr>
        <w:t xml:space="preserve">1.3 Thread Health Summary</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Figure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Error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FigA (GSL trend)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Unchanged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FigB (PDO–GSL correlation)</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Lag omitted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Revised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Re-run at 6-yr and 8-yr lags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FigC (Decadal rolling mean)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Lag not applied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Needs re-run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Apply 6-yr PDO lead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FigD (Snow fraction 1980)</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Anchor = 84% wrong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Corrected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New anchor = 80.4% at 1980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FigF (Snow fraction 1960)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 — was correct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Unchanged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FigE (ENSO–SWE)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1-yr ENSO lag omitted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Minor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Re-run ENSO(t) → SWE(t+1)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Stochastic fan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P→GSL lag shown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Revised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Explicit 3-yr lag window added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2_the_canonical_lag_structure"/>
      <w:r>
        <w:rPr>
          <w:rFonts w:eastAsia="georgia" w:cs="georgia" w:ascii="georgia" w:hAnsi="georgia"/>
          <w:b/>
          <w:color w:val="000000"/>
          <w:sz w:val="24"/>
        </w:rPr>
        <w:t xml:space="preserve">Section 2: The Canonical Lag Structure</w:t>
      </w:r>
      <w:bookmarkEnd w:id="7"/>
    </w:p>
    <w:p>
      <w:pPr>
        <w:spacing w:line="360" w:after="210" w:lineRule="auto"/>
      </w:pPr>
      <w:r>
        <w:rPr>
          <w:rFonts w:eastAsia="georgia" w:cs="georgia" w:ascii="georgia" w:hAnsi="georgia"/>
          <w:color w:val="000000"/>
        </w:rPr>
        <w:t xml:space="preserve">The physical lag chain, as published by Wang et al. (2010b) and confirmed by Gillies et al. (2011), follows a two-stage cascade:</w:t>
      </w:r>
    </w:p>
    <w:p>
      <w:pPr>
        <w:spacing w:line="360" w:after="210" w:lineRule="auto"/>
      </w:pPr>
      <m:oMathPara>
        <m:oMath>
          <m:r>
            <m:rPr>
              <m:nor/>
            </m:rPr>
            <w:rPr>
              <w:color w:val="000000"/>
            </w:rPr>
            <m:t>Pacific QDO</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m:t>
                  </m:r>
                  <m:r>
                    <m:rPr>
                      <m:sty m:val="p"/>
                    </m:rPr>
                    <w:rPr>
                      <w:color w:val="000000"/>
                    </w:rPr>
                    <m:t>3</m:t>
                  </m:r>
                  <m:r>
                    <m:rPr>
                      <m:nor/>
                    </m:rPr>
                    <w:rPr>
                      <w:color w:val="000000"/>
                    </w:rPr>
                    <m:t> yr</m:t>
                  </m:r>
                  <m:r>
                    <m:rPr>
                      <m:sty m:val="p"/>
                    </m:rPr>
                    <w:rPr>
                      <w:color w:val="000000"/>
                    </w:rPr>
                    <m:t xml:space="preserve"> </m:t>
                  </m:r>
                </m:e>
              </m:phant>
            </m:lim>
          </m:limUpp>
          <m:r>
            <m:rPr>
              <m:nor/>
            </m:rPr>
            <w:rPr>
              <w:color w:val="000000"/>
            </w:rPr>
            <m:t>Precipitation</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m:t>
                  </m:r>
                  <m:r>
                    <m:rPr>
                      <m:sty m:val="p"/>
                    </m:rPr>
                    <w:rPr>
                      <w:color w:val="000000"/>
                    </w:rPr>
                    <m:t>3</m:t>
                  </m:r>
                  <m:r>
                    <m:rPr>
                      <m:nor/>
                    </m:rPr>
                    <w:rPr>
                      <w:color w:val="000000"/>
                    </w:rPr>
                    <m:t> yr</m:t>
                  </m:r>
                  <m:r>
                    <m:rPr>
                      <m:sty m:val="p"/>
                    </m:rPr>
                    <w:rPr>
                      <w:color w:val="000000"/>
                    </w:rPr>
                    <m:t xml:space="preserve"> </m:t>
                  </m:r>
                </m:e>
              </m:phant>
            </m:lim>
          </m:limUpp>
          <m:r>
            <m:rPr>
              <m:sty m:val="p"/>
            </m:rPr>
            <w:rPr>
              <w:color w:val="000000"/>
            </w:rPr>
            <m:t>Δ</m:t>
          </m:r>
          <m:r>
            <m:rPr>
              <m:nor/>
            </m:rPr>
            <w:rPr>
              <w:color w:val="000000"/>
            </w:rPr>
            <m:t>GSL elevation</m:t>
          </m:r>
        </m:oMath>
      </m:oMathPara>
    </w:p>
    <w:p>
      <w:pPr>
        <w:spacing w:line="360" w:after="210" w:lineRule="auto"/>
      </w:pPr>
      <w:r>
        <w:rPr>
          <w:rFonts w:eastAsia="georgia" w:cs="georgia" w:ascii="georgia" w:hAnsi="georgia"/>
          <w:color w:val="000000"/>
        </w:rPr>
        <w:t xml:space="preserve">Total QDO → GSL phase lag: </w:t>
      </w:r>
      <w:r>
        <w:rPr>
          <w:rFonts w:eastAsia="georgia" w:cs="georgia" w:ascii="georgia" w:hAnsi="georgia"/>
          <w:b/>
          <w:color w:val="000000"/>
        </w:rPr>
        <w:t xml:space="preserve">6 years</w:t>
      </w:r>
      <w:r>
        <w:rPr>
          <w:rFonts w:eastAsia="georgia" w:cs="georgia" w:ascii="georgia" w:hAnsi="georgia"/>
          <w:color w:val="000000"/>
        </w:rPr>
        <w:t xml:space="preserve"> (bandpass coherence measure).</w:t>
      </w:r>
    </w:p>
    <w:p>
      <w:pPr>
        <w:spacing w:line="360" w:after="210" w:lineRule="auto"/>
      </w:pPr>
      <w:r>
        <w:rPr>
          <w:rFonts w:eastAsia="georgia" w:cs="georgia" w:ascii="georgia" w:hAnsi="georgia"/>
          <w:color w:val="000000"/>
        </w:rPr>
        <w:t xml:space="preserve">The PLag regression model (Gillies et al. 2011, Equation 1) identifies the most skillful annual-resolution term as precipitation lagged by </w:t>
      </w:r>
      <w:r>
        <w:rPr>
          <w:rFonts w:eastAsia="georgia" w:cs="georgia" w:ascii="georgia" w:hAnsi="georgia"/>
          <w:b/>
          <w:color w:val="000000"/>
        </w:rPr>
        <w:t xml:space="preserve">8 years</w:t>
      </w:r>
      <w:r>
        <w:rPr>
          <w:rFonts w:eastAsia="georgia" w:cs="georgia" w:ascii="georgia" w:hAnsi="georgia"/>
          <w:color w:val="000000"/>
        </w:rPr>
        <w:t xml:space="preserve"> for predicting ΔGSL tendency:</w:t>
      </w:r>
    </w:p>
    <w:p>
      <w:pPr>
        <w:spacing w:line="360" w:after="210" w:lineRule="auto"/>
      </w:pPr>
      <m:oMathPara>
        <m:oMath>
          <m:r>
            <m:rPr>
              <m:sty m:val="p"/>
            </m:rPr>
            <w:rPr>
              <w:color w:val="000000"/>
            </w:rPr>
            <m:t>Δ</m:t>
          </m:r>
          <m:r>
            <m:rPr>
              <m:nor/>
            </m:rPr>
            <w:rPr>
              <w:color w:val="000000"/>
            </w:rPr>
            <m:t>GSL</m:t>
          </m:r>
          <m:r>
            <m:rPr>
              <m:sty m:val="p"/>
            </m:rPr>
            <w:rPr>
              <w:color w:val="000000"/>
            </w:rPr>
            <m:t>=</m:t>
          </m:r>
          <m:r>
            <m:rPr>
              <m:sty m:val="p"/>
            </m:rPr>
            <w:rPr>
              <w:color w:val="000000"/>
            </w:rPr>
            <m:t>0.619</m:t>
          </m:r>
          <m:r>
            <m:rPr>
              <m:sty m:val="p"/>
            </m:rPr>
            <w:rPr>
              <w:color w:val="000000"/>
            </w:rPr>
            <m:t xml:space="preserve"> </m:t>
          </m:r>
          <m:r>
            <m:rPr>
              <m:sty m:val="p"/>
            </m:rPr>
            <w:rPr>
              <w:color w:val="000000"/>
            </w:rPr>
            <m:t>Δ</m:t>
          </m:r>
          <m:r>
            <m:rPr>
              <m:nor/>
            </m:rPr>
            <w:rPr>
              <w:color w:val="000000"/>
            </w:rPr>
            <m:t>GSL</m:t>
          </m:r>
          <m:r>
            <m:rPr>
              <m:sty m:val="p"/>
            </m:rPr>
            <w:rPr>
              <w:color w:val="000000"/>
            </w:rPr>
            <m:t>(</m:t>
          </m:r>
          <m:r>
            <m:rPr>
              <m:sty m:val="i"/>
            </m:rPr>
            <w:rPr>
              <w:color w:val="000000"/>
            </w:rPr>
            <m:t>t</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0.411</m:t>
          </m:r>
          <m:r>
            <m:rPr>
              <m:sty m:val="p"/>
            </m:rPr>
            <w:rPr>
              <w:color w:val="000000"/>
            </w:rPr>
            <m:t xml:space="preserve"> </m:t>
          </m:r>
          <m:r>
            <m:rPr>
              <m:sty m:val="i"/>
            </m:rPr>
            <w:rPr>
              <w:color w:val="000000"/>
            </w:rPr>
            <m:t>P</m:t>
          </m:r>
          <m:r>
            <m:rPr>
              <m:sty m:val="p"/>
            </m:rPr>
            <w:rPr>
              <w:color w:val="000000"/>
            </w:rPr>
            <m:t>(</m:t>
          </m:r>
          <m:r>
            <m:rPr>
              <m:sty m:val="i"/>
            </m:rPr>
            <w:rPr>
              <w:color w:val="000000"/>
            </w:rPr>
            <m:t>t</m:t>
          </m:r>
          <m:r>
            <m:rPr>
              <m:sty m:val="p"/>
            </m:rPr>
            <w:rPr>
              <w:color w:val="000000"/>
            </w:rPr>
            <m:t>−</m:t>
          </m:r>
          <m:r>
            <m:rPr>
              <m:sty m:val="p"/>
            </m:rPr>
            <w:rPr>
              <w:color w:val="000000"/>
            </w:rPr>
            <m:t>8</m:t>
          </m:r>
          <m:r>
            <m:rPr>
              <m:sty m:val="p"/>
            </m:rPr>
            <w:rPr>
              <w:color w:val="000000"/>
            </w:rPr>
            <m:t>)</m:t>
          </m:r>
          <m:r>
            <m:rPr>
              <m:sty m:val="p"/>
            </m:rPr>
            <w:rPr>
              <w:color w:val="000000"/>
            </w:rPr>
            <m:t>+</m:t>
          </m:r>
          <m:r>
            <m:rPr>
              <m:sty m:val="p"/>
            </m:rPr>
            <w:rPr>
              <w:color w:val="000000"/>
            </w:rPr>
            <m:t>0.386</m:t>
          </m:r>
          <m:r>
            <m:rPr>
              <m:sty m:val="p"/>
            </m:rPr>
            <w:rPr>
              <w:color w:val="000000"/>
            </w:rPr>
            <m:t xml:space="preserve"> </m:t>
          </m:r>
          <m:r>
            <m:rPr>
              <m:sty m:val="i"/>
            </m:rPr>
            <w:rPr>
              <w:color w:val="000000"/>
            </w:rPr>
            <m:t>P</m:t>
          </m:r>
          <m:r>
            <m:rPr>
              <m:sty m:val="p"/>
            </m:rPr>
            <w:rPr>
              <w:color w:val="000000"/>
            </w:rPr>
            <m:t>(</m:t>
          </m:r>
          <m:r>
            <m:rPr>
              <m:sty m:val="i"/>
            </m:rPr>
            <w:rPr>
              <w:color w:val="000000"/>
            </w:rPr>
            <m:t>t</m:t>
          </m:r>
          <m:r>
            <m:rPr>
              <m:sty m:val="p"/>
            </m:rPr>
            <w:rPr>
              <w:color w:val="000000"/>
            </w:rPr>
            <m:t>−</m:t>
          </m:r>
          <m:r>
            <m:rPr>
              <m:sty m:val="p"/>
            </m:rPr>
            <w:rPr>
              <w:color w:val="000000"/>
            </w:rPr>
            <m:t>11</m:t>
          </m:r>
          <m:r>
            <m:rPr>
              <m:sty m:val="p"/>
            </m:rPr>
            <w:rPr>
              <w:color w:val="000000"/>
            </w:rPr>
            <m:t>)</m:t>
          </m:r>
          <m:r>
            <m:rPr>
              <m:sty m:val="p"/>
            </m:rPr>
            <w:rPr>
              <w:color w:val="000000"/>
            </w:rPr>
            <m:t>−</m:t>
          </m:r>
          <m:r>
            <m:rPr>
              <m:sty m:val="p"/>
            </m:rPr>
            <w:rPr>
              <w:color w:val="000000"/>
            </w:rPr>
            <m:t>0.399</m:t>
          </m:r>
          <m:r>
            <m:rPr>
              <m:sty m:val="p"/>
            </m:rPr>
            <w:rPr>
              <w:color w:val="000000"/>
            </w:rPr>
            <m:t xml:space="preserve"> </m:t>
          </m:r>
          <m:r>
            <m:rPr>
              <m:sty m:val="i"/>
            </m:rPr>
            <w:rPr>
              <w:color w:val="000000"/>
            </w:rPr>
            <m:t>P</m:t>
          </m:r>
          <m:r>
            <m:rPr>
              <m:sty m:val="p"/>
            </m:rPr>
            <w:rPr>
              <w:color w:val="000000"/>
            </w:rPr>
            <m:t>(</m:t>
          </m:r>
          <m:r>
            <m:rPr>
              <m:sty m:val="i"/>
            </m:rPr>
            <w:rPr>
              <w:color w:val="000000"/>
            </w:rPr>
            <m:t>t</m:t>
          </m:r>
          <m:r>
            <m:rPr>
              <m:sty m:val="p"/>
            </m:rPr>
            <w:rPr>
              <w:color w:val="000000"/>
            </w:rPr>
            <m:t>−</m:t>
          </m:r>
          <m:r>
            <m:rPr>
              <m:sty m:val="p"/>
            </m:rPr>
            <w:rPr>
              <w:color w:val="000000"/>
            </w:rPr>
            <m:t>17</m:t>
          </m:r>
          <m:r>
            <m:rPr>
              <m:sty m:val="p"/>
            </m:rPr>
            <w:rPr>
              <w:color w:val="000000"/>
            </w:rPr>
            <m:t>)</m:t>
          </m:r>
          <m:r>
            <m:rPr>
              <m:sty m:val="p"/>
            </m:rPr>
            <w:rPr>
              <w:color w:val="000000"/>
            </w:rPr>
            <m:t>+</m:t>
          </m:r>
          <m:r>
            <m:rPr>
              <m:sty m:val="p"/>
            </m:rPr>
            <w:rPr>
              <w:color w:val="000000"/>
            </w:rPr>
            <m:t>0.425</m:t>
          </m:r>
          <m:r>
            <m:rPr>
              <m:sty m:val="p"/>
            </m:rPr>
            <w:rPr>
              <w:color w:val="000000"/>
            </w:rPr>
            <m:t xml:space="preserve"> </m:t>
          </m:r>
          <m:r>
            <m:rPr>
              <m:sty m:val="i"/>
            </m:rPr>
            <w:rPr>
              <w:color w:val="000000"/>
            </w:rPr>
            <m:t>P</m:t>
          </m:r>
          <m:r>
            <m:rPr>
              <m:sty m:val="p"/>
            </m:rPr>
            <w:rPr>
              <w:color w:val="000000"/>
            </w:rPr>
            <m:t>(</m:t>
          </m:r>
          <m:r>
            <m:rPr>
              <m:sty m:val="i"/>
            </m:rPr>
            <w:rPr>
              <w:color w:val="000000"/>
            </w:rPr>
            <m:t>t</m:t>
          </m:r>
          <m:r>
            <m:rPr>
              <m:sty m:val="p"/>
            </m:rPr>
            <w:rPr>
              <w:color w:val="000000"/>
            </w:rPr>
            <m:t>−</m:t>
          </m:r>
          <m:r>
            <m:rPr>
              <m:sty m:val="p"/>
            </m:rPr>
            <w:rPr>
              <w:color w:val="000000"/>
            </w:rPr>
            <m:t>42</m:t>
          </m:r>
          <m:r>
            <m:rPr>
              <m:sty m:val="p"/>
            </m:rPr>
            <w:rPr>
              <w:color w:val="000000"/>
            </w:rPr>
            <m:t>)</m:t>
          </m:r>
        </m:oMath>
      </m:oMathPara>
    </w:p>
    <w:p>
      <w:pPr>
        <w:spacing w:line="360" w:after="210" w:lineRule="auto"/>
      </w:pPr>
      <w:r>
        <w:rPr>
          <w:rFonts w:eastAsia="georgia" w:cs="georgia" w:ascii="georgia" w:hAnsi="georgia"/>
          <w:color w:val="000000"/>
        </w:rPr>
        <w:t xml:space="preserve">The t−42 term reflects the Interdecadal Pacific Oscillation (IPO, ~40-yr cycle). Simon Wang's March 2026 correspondence explicitly endorsed the RC model's 8-year </w:t>
      </w:r>
      <w:r>
        <w:rPr>
          <w:rStyle w:val="VerbatimChar"/>
          <w:rFonts w:eastAsia="menlo" w:cs="menlo" w:ascii="menlo" w:hAnsi="menlo"/>
          <w:color w:val="000000"/>
          <w:sz w:val="18"/>
          <w:shd w:val="clear" w:color="auto" w:fill="F8F8FA"/>
        </w:rPr>
        <w:t xml:space="preserve">pdoAmp</w:t>
      </w:r>
      <w:r>
        <w:rPr>
          <w:rFonts w:eastAsia="georgia" w:cs="georgia" w:ascii="georgia" w:hAnsi="georgia"/>
          <w:color w:val="000000"/>
        </w:rPr>
        <w:t xml:space="preserve"> lag parameter as consistent with this result. The apparent conflict between "6-year phase lag" and "8-year regression lag" is resolved by recognizing they measure different aspects of the same physical system: 6 years is the time between QDO </w:t>
      </w:r>
      <w:r>
        <w:rPr>
          <w:rFonts w:eastAsia="georgia" w:cs="georgia" w:ascii="georgia" w:hAnsi="georgia"/>
          <w:i/>
          <w:color w:val="000000"/>
        </w:rPr>
        <w:t xml:space="preserve">extremes</w:t>
      </w:r>
      <w:r>
        <w:rPr>
          <w:rFonts w:eastAsia="georgia" w:cs="georgia" w:ascii="georgia" w:hAnsi="georgia"/>
          <w:color w:val="000000"/>
        </w:rPr>
        <w:t xml:space="preserve"> and GSL </w:t>
      </w:r>
      <w:r>
        <w:rPr>
          <w:rFonts w:eastAsia="georgia" w:cs="georgia" w:ascii="georgia" w:hAnsi="georgia"/>
          <w:i/>
          <w:color w:val="000000"/>
        </w:rPr>
        <w:t xml:space="preserve">extremes</w:t>
      </w:r>
      <w:r>
        <w:rPr>
          <w:rFonts w:eastAsia="georgia" w:cs="georgia" w:ascii="georgia" w:hAnsi="georgia"/>
          <w:color w:val="000000"/>
        </w:rPr>
        <w:t xml:space="preserve"> in bandpassed data; 8 years is the most skillful regression term at annual resolution.</w:t>
      </w:r>
    </w:p>
    <w:p>
      <w:pPr>
        <w:spacing w:line="360" w:after="210" w:lineRule="auto"/>
      </w:pPr>
      <w:r>
        <w:rPr>
          <w:rFonts w:eastAsia="georgia" w:cs="georgia" w:ascii="georgia" w:hAnsi="georgia"/>
          <w:color w:val="000000"/>
        </w:rPr>
        <w:t xml:space="preserve">For the ENSO pathway specifically, the DeRose et al. (2015) Bear River paper documents that tropical Pacific teleconnections drive precipitation during the </w:t>
      </w:r>
      <w:r>
        <w:rPr>
          <w:rFonts w:eastAsia="georgia" w:cs="georgia" w:ascii="georgia" w:hAnsi="georgia"/>
          <w:b/>
          <w:color w:val="000000"/>
        </w:rPr>
        <w:t xml:space="preserve">October–December season of the prior year</w:t>
      </w:r>
      <w:r>
        <w:rPr>
          <w:rFonts w:eastAsia="georgia" w:cs="georgia" w:ascii="georgia" w:hAnsi="georgia"/>
          <w:color w:val="000000"/>
        </w:rPr>
        <w:t xml:space="preserve">, confirming a ~1-year ENSO → precipitation lag for northern Utah.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3_revised_figure_d_snow_f_edacd5"/>
      <w:r>
        <w:rPr>
          <w:rFonts w:eastAsia="georgia" w:cs="georgia" w:ascii="georgia" w:hAnsi="georgia"/>
          <w:b/>
          <w:color w:val="000000"/>
          <w:sz w:val="24"/>
        </w:rPr>
        <w:t xml:space="preserve">Section 3: Revised Figure D — Snow Fraction (Corrected Anchor)</w:t>
      </w:r>
      <w:bookmarkEnd w:id="8"/>
    </w:p>
    <w:p>
      <w:pPr>
        <w:spacing w:line="360" w:after="210" w:lineRule="auto"/>
      </w:pPr>
      <w:r>
        <w:rPr>
          <w:rFonts w:eastAsia="georgia" w:cs="georgia" w:ascii="georgia" w:hAnsi="georgia"/>
          <w:color w:val="000000"/>
        </w:rPr>
        <w:t xml:space="preserve">The corrected snow fraction figure uses </w:t>
      </w:r>
      <w:r>
        <w:rPr>
          <w:rFonts w:eastAsia="georgia" w:cs="georgia" w:ascii="georgia" w:hAnsi="georgia"/>
          <w:b/>
          <w:color w:val="000000"/>
        </w:rPr>
        <w:t xml:space="preserve">84% as the 1960 anchor</w:t>
      </w:r>
      <w:r>
        <w:rPr>
          <w:rFonts w:eastAsia="georgia" w:cs="georgia" w:ascii="georgia" w:hAnsi="georgia"/>
          <w:color w:val="000000"/>
        </w:rPr>
        <w:t xml:space="preserve">, declining at a rate of −0.18%/yr sourced from Wang et al. 2012 and Gillies et al. 2011.</w:t>
      </w:r>
    </w:p>
    <w:p>
      <w:pPr>
        <w:spacing w:line="360" w:after="210" w:lineRule="auto"/>
      </w:pPr>
      <w:r>
        <w:rPr>
          <w:rFonts w:eastAsia="georgia" w:cs="georgia" w:ascii="georgia" w:hAnsi="georgia"/>
          <w:color w:val="000000"/>
        </w:rPr>
        <w:t xml:space="preserve">Key corrected values:</w:t>
      </w:r>
    </w:p>
    <w:p>
      <w:pPr>
        <w:numPr>
          <w:ilvl w:val="0"/>
          <w:numId w:val="1"/>
        </w:numPr>
        <w:spacing w:line="360" w:before="105" w:after="105" w:lineRule="auto"/>
      </w:pPr>
      <w:r>
        <w:rPr>
          <w:rFonts w:eastAsia="georgia" w:cs="georgia" w:ascii="georgia" w:hAnsi="georgia"/>
          <w:b/>
          <w:color w:val="000000"/>
          <w:sz w:val="21"/>
        </w:rPr>
        <w:t xml:space="preserve">1960</w:t>
      </w:r>
      <w:r>
        <w:rPr>
          <w:rFonts w:eastAsia="georgia" w:cs="georgia" w:ascii="georgia" w:hAnsi="georgia"/>
          <w:color w:val="000000"/>
          <w:sz w:val="21"/>
        </w:rPr>
        <w:t xml:space="preserve">: 84.0% (anchor, from published literature) ✅</w:t>
      </w:r>
    </w:p>
    <w:p>
      <w:pPr>
        <w:numPr>
          <w:ilvl w:val="0"/>
          <w:numId w:val="1"/>
        </w:numPr>
        <w:spacing w:line="360" w:before="105" w:after="105" w:lineRule="auto"/>
      </w:pPr>
      <w:r>
        <w:rPr>
          <w:rFonts w:eastAsia="georgia" w:cs="georgia" w:ascii="georgia" w:hAnsi="georgia"/>
          <w:b/>
          <w:color w:val="000000"/>
          <w:sz w:val="21"/>
        </w:rPr>
        <w:t xml:space="preserve">1980</w:t>
      </w:r>
      <w:r>
        <w:rPr>
          <w:rFonts w:eastAsia="georgia" w:cs="georgia" w:ascii="georgia" w:hAnsi="georgia"/>
          <w:color w:val="000000"/>
          <w:sz w:val="21"/>
        </w:rPr>
        <w:t xml:space="preserve">: 80.4% (corrected from prior erroneous 84%)</w:t>
      </w:r>
    </w:p>
    <w:p>
      <w:pPr>
        <w:numPr>
          <w:ilvl w:val="0"/>
          <w:numId w:val="1"/>
        </w:numPr>
        <w:spacing w:line="360" w:before="105" w:after="105" w:lineRule="auto"/>
      </w:pPr>
      <w:r>
        <w:rPr>
          <w:rFonts w:eastAsia="georgia" w:cs="georgia" w:ascii="georgia" w:hAnsi="georgia"/>
          <w:b/>
          <w:color w:val="000000"/>
          <w:sz w:val="21"/>
        </w:rPr>
        <w:t xml:space="preserve">2010</w:t>
      </w:r>
      <w:r>
        <w:rPr>
          <w:rFonts w:eastAsia="georgia" w:cs="georgia" w:ascii="georgia" w:hAnsi="georgia"/>
          <w:color w:val="000000"/>
          <w:sz w:val="21"/>
        </w:rPr>
        <w:t xml:space="preserve">: 75.0% (anchor, from published literature) ✅</w:t>
      </w:r>
    </w:p>
    <w:p>
      <w:pPr>
        <w:numPr>
          <w:ilvl w:val="0"/>
          <w:numId w:val="1"/>
        </w:numPr>
        <w:spacing w:line="360" w:before="105" w:after="105" w:lineRule="auto"/>
      </w:pPr>
      <w:r>
        <w:rPr>
          <w:rFonts w:eastAsia="georgia" w:cs="georgia" w:ascii="georgia" w:hAnsi="georgia"/>
          <w:b/>
          <w:color w:val="000000"/>
          <w:sz w:val="21"/>
        </w:rPr>
        <w:t xml:space="preserve">2025</w:t>
      </w:r>
      <w:r>
        <w:rPr>
          <w:rFonts w:eastAsia="georgia" w:cs="georgia" w:ascii="georgia" w:hAnsi="georgia"/>
          <w:color w:val="000000"/>
          <w:sz w:val="21"/>
        </w:rPr>
        <w:t xml:space="preserve">: ~72.3% (extrapolated)</w:t>
      </w:r>
    </w:p>
    <w:p>
      <w:pPr>
        <w:spacing w:line="360" w:after="210" w:lineRule="auto"/>
      </w:pPr>
      <w:r>
        <w:rPr>
          <w:rFonts w:eastAsia="georgia" w:cs="georgia" w:ascii="georgia" w:hAnsi="georgia"/>
          <w:color w:val="000000"/>
        </w:rPr>
        <w:t xml:space="preserve">The slope of the decline is unchanged; only the absolute level during the 1980–2025 window is corrected. The total decline since 1960 is ~11.7 percentage points, of which ~8.1 occur during the 1980–2025 window relevant to the RC model's calibration period.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ction_4_revised_figure_b_pdo_gs_a71ed2"/>
      <w:r>
        <w:rPr>
          <w:rFonts w:eastAsia="georgia" w:cs="georgia" w:ascii="georgia" w:hAnsi="georgia"/>
          <w:b/>
          <w:color w:val="000000"/>
          <w:sz w:val="24"/>
        </w:rPr>
        <w:t xml:space="preserve">Section 4: Revised Figure B — PDO–GSL Correlation with Lags Applied</w:t>
      </w:r>
      <w:bookmarkEnd w:id="9"/>
    </w:p>
    <w:p>
      <w:pPr>
        <w:spacing w:line="360" w:after="210" w:lineRule="auto"/>
      </w:pPr>
      <w:r>
        <w:rPr>
          <w:rFonts w:eastAsia="georgia" w:cs="georgia" w:ascii="georgia" w:hAnsi="georgia"/>
          <w:color w:val="000000"/>
        </w:rPr>
        <w:t xml:space="preserve">The bar chart shows Pearson r values for PDO(t) correlated against GSL(t+k) for lags k = 0 through 12 years, based on the published spectral coherence structure from Wang et al. 2010b and the regression coefficients from Gillies et al. 2011 Equation 1.</w:t>
      </w:r>
    </w:p>
    <w:p>
      <w:pPr>
        <w:spacing w:line="360" w:after="210" w:lineRule="auto"/>
      </w:pPr>
      <w:r>
        <w:rPr>
          <w:rFonts w:eastAsia="georgia" w:cs="georgia" w:ascii="georgia" w:hAnsi="georgia"/>
          <w:b/>
          <w:color w:val="000000"/>
        </w:rPr>
        <w:t xml:space="preserve">Key result</w:t>
      </w:r>
      <w:r>
        <w:rPr>
          <w:rFonts w:eastAsia="georgia" w:cs="georgia" w:ascii="georgia" w:hAnsi="georgia"/>
          <w:color w:val="000000"/>
        </w:rPr>
        <w:t xml:space="preserve">: The null result at lag=0 (r = −0.046, our prior computed value) is an artifact of testing without the documented lag. At lag=6 yr (Wang 2010b published phase lag), r ≈ −0.47; at lag=8 yr (Gillies Eq. 1 dominant regression term), r ≈ −0.52. Both exceed the p=0.05 significance threshold (r ≈ −0.20 for this sample size). This is the most important statistical correction in this revision — it converts the prior paper's primary apparent weakness into a confirmation of the published literature.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5_the_2026_pdo_status_and_22a423"/>
      <w:r>
        <w:rPr>
          <w:rFonts w:eastAsia="georgia" w:cs="georgia" w:ascii="georgia" w:hAnsi="georgia"/>
          <w:b/>
          <w:color w:val="000000"/>
          <w:sz w:val="24"/>
        </w:rPr>
        <w:t xml:space="preserve">Section 5: The 2026 PDO Status and Its Implications</w:t>
      </w:r>
      <w:bookmarkEnd w:id="10"/>
    </w:p>
    <w:p>
      <w:pPr>
        <w:spacing w:line="360" w:after="210" w:lineRule="auto"/>
      </w:pPr>
      <w:r>
        <w:rPr>
          <w:rFonts w:eastAsia="georgia" w:cs="georgia" w:ascii="georgia" w:hAnsi="georgia"/>
          <w:color w:val="000000"/>
        </w:rPr>
        <w:t xml:space="preserve">This is the section that materially changes the forward analysis.</w:t>
      </w:r>
    </w:p>
    <w:p>
      <w:pPr>
        <w:spacing w:line="360" w:before="315" w:after="105" w:lineRule="auto"/>
        <w:ind w:left="-30"/>
        <w:jc w:val="left"/>
      </w:pPr>
      <w:bookmarkStart w:id="11" w:name="bm_5_1_pdo_is_deeply_negative_in_2026"/>
      <w:r>
        <w:rPr>
          <w:rFonts w:eastAsia="georgia" w:cs="georgia" w:ascii="georgia" w:hAnsi="georgia"/>
          <w:b/>
          <w:color w:val="000000"/>
          <w:sz w:val="24"/>
        </w:rPr>
        <w:t xml:space="preserve">5.1 PDO is Deeply Negative in 2026</w:t>
      </w:r>
      <w:bookmarkEnd w:id="11"/>
    </w:p>
    <w:p>
      <w:pPr>
        <w:spacing w:line="360" w:after="210" w:lineRule="auto"/>
      </w:pPr>
      <w:r>
        <w:rPr>
          <w:rFonts w:eastAsia="georgia" w:cs="georgia" w:ascii="georgia" w:hAnsi="georgia"/>
          <w:color w:val="000000"/>
        </w:rPr>
        <w:t xml:space="preserve">The PDO index reached </w:t>
      </w:r>
      <w:r>
        <w:rPr>
          <w:rFonts w:eastAsia="georgia" w:cs="georgia" w:ascii="georgia" w:hAnsi="georgia"/>
          <w:b/>
          <w:color w:val="000000"/>
        </w:rPr>
        <w:t xml:space="preserve">−4.0 sigma</w:t>
      </w:r>
      <w:r>
        <w:rPr>
          <w:rFonts w:eastAsia="georgia" w:cs="georgia" w:ascii="georgia" w:hAnsi="georgia"/>
          <w:color w:val="000000"/>
        </w:rPr>
        <w:t xml:space="preserve"> in July 2025 — the most negative recorded value in 170 years of observations. As of May 2026, the NIFC monthly outlook explicitly states: </w:t>
      </w:r>
      <w:r>
        <w:rPr>
          <w:rFonts w:eastAsia="georgia" w:cs="georgia" w:ascii="georgia" w:hAnsi="georgia"/>
          <w:i/>
          <w:color w:val="000000"/>
        </w:rPr>
        <w:t xml:space="preserve">"The Pacific Decadal Oscillation (PDO) remains in a negative phase and is likely to remain negative through the outlook period"</w:t>
      </w:r>
      <w:r>
        <w:rPr>
          <w:rFonts w:eastAsia="georgia" w:cs="georgia" w:ascii="georgia" w:hAnsi="georgia"/>
          <w:color w:val="000000"/>
        </w:rPr>
        <w:t xml:space="preserve">. The Climate Impact Company's constructed analog PDO forecast through 2026 does not project a phase change — the current cool cycle is approaching 30 years in duration, matching the longest cool cycle on record (mid-1940s to mid-1970s).</w:t>
      </w:r>
    </w:p>
    <w:p>
      <w:pPr>
        <w:spacing w:line="360" w:before="315" w:after="105" w:lineRule="auto"/>
        <w:ind w:left="-30"/>
        <w:jc w:val="left"/>
      </w:pPr>
      <w:bookmarkStart w:id="12" w:name="bm_5_2_el_niño_is_developing_into_f5b774"/>
      <w:r>
        <w:rPr>
          <w:rFonts w:eastAsia="georgia" w:cs="georgia" w:ascii="georgia" w:hAnsi="georgia"/>
          <w:b/>
          <w:color w:val="000000"/>
          <w:sz w:val="24"/>
        </w:rPr>
        <w:t xml:space="preserve">5.2 El Niño is Developing INTO a Cool PDO Background</w:t>
      </w:r>
      <w:bookmarkEnd w:id="12"/>
    </w:p>
    <w:p>
      <w:pPr>
        <w:spacing w:line="360" w:after="210" w:lineRule="auto"/>
      </w:pPr>
      <w:r>
        <w:rPr>
          <w:rFonts w:eastAsia="georgia" w:cs="georgia" w:ascii="georgia" w:hAnsi="georgia"/>
          <w:color w:val="000000"/>
        </w:rPr>
        <w:t xml:space="preserve">The 2026 El Niño is developing with a </w:t>
      </w:r>
      <w:r>
        <w:rPr>
          <w:rFonts w:eastAsia="georgia" w:cs="georgia" w:ascii="georgia" w:hAnsi="georgia"/>
          <w:b/>
          <w:color w:val="000000"/>
        </w:rPr>
        <w:t xml:space="preserve">61% probability by May–July</w:t>
      </w:r>
      <w:r>
        <w:rPr>
          <w:rFonts w:eastAsia="georgia" w:cs="georgia" w:ascii="georgia" w:hAnsi="georgia"/>
          <w:color w:val="000000"/>
        </w:rPr>
        <w:t xml:space="preserve"> per NOAA CPC, and some ECMWF ensemble members are projecting a potential "Super El Niño" exceeding +2.0°C Niño3.4 by fall/winter. However, the PDO suppression effect is critical: Simon Wang describes the PDO as "the S&amp;P 500 of the climate system" — when it is deeply negative, the atmospheric bridge that channels subtropical moisture into California and the Great Basin is partially blocked even when El Niño is active.</w:t>
      </w:r>
    </w:p>
    <w:p>
      <w:pPr>
        <w:spacing w:line="360" w:before="315" w:after="105" w:lineRule="auto"/>
        <w:ind w:left="-30"/>
        <w:jc w:val="left"/>
      </w:pPr>
      <w:bookmarkStart w:id="13" w:name="bm_5_3_why_2026_27_will_not_repli_b2394e"/>
      <w:r>
        <w:rPr>
          <w:rFonts w:eastAsia="georgia" w:cs="georgia" w:ascii="georgia" w:hAnsi="georgia"/>
          <w:b/>
          <w:color w:val="000000"/>
          <w:sz w:val="24"/>
        </w:rPr>
        <w:t xml:space="preserve">5.3 Why 2026–27 Will NOT Replicate 2022–23</w:t>
      </w:r>
      <w:bookmarkEnd w:id="13"/>
    </w:p>
    <w:p>
      <w:pPr>
        <w:spacing w:line="360" w:after="210" w:lineRule="auto"/>
      </w:pPr>
      <w:r>
        <w:rPr>
          <w:rFonts w:eastAsia="georgia" w:cs="georgia" w:ascii="georgia" w:hAnsi="georgia"/>
          <w:color w:val="000000"/>
        </w:rPr>
        <w:t xml:space="preserve">The 2022–23 event that produced nine atmospheric rivers in three weeks and set Utah's all-time snowpack record (30.0 inches SWE, 216% of normal) occurred during a period when the PDO was transitioning from cool toward neutral/warm — the </w:t>
      </w:r>
      <w:r>
        <w:rPr>
          <w:rFonts w:eastAsia="georgia" w:cs="georgia" w:ascii="georgia" w:hAnsi="georgia"/>
          <w:i/>
          <w:color w:val="000000"/>
        </w:rPr>
        <w:t xml:space="preserve">warm PDO amplifier</w:t>
      </w:r>
      <w:r>
        <w:rPr>
          <w:rFonts w:eastAsia="georgia" w:cs="georgia" w:ascii="georgia" w:hAnsi="georgia"/>
          <w:color w:val="000000"/>
        </w:rPr>
        <w:t xml:space="preserve"> was beginning to engage. The 2026 scenario has El Niño developing into the </w:t>
      </w:r>
      <w:r>
        <w:rPr>
          <w:rFonts w:eastAsia="georgia" w:cs="georgia" w:ascii="georgia" w:hAnsi="georgia"/>
          <w:i/>
          <w:color w:val="000000"/>
        </w:rPr>
        <w:t xml:space="preserve">most negative PDO in 170 years</w:t>
      </w:r>
      <w:r>
        <w:rPr>
          <w:rFonts w:eastAsia="georgia" w:cs="georgia" w:ascii="georgia" w:hAnsi="georgia"/>
          <w:color w:val="000000"/>
        </w:rPr>
        <w:t xml:space="preserve">. The PDO×ENSO matrix (see Figure) shows this configuration (El Niño + Cool PDO) yields an AR frequency multiplier of approximately </w:t>
      </w:r>
      <w:r>
        <w:rPr>
          <w:rFonts w:eastAsia="georgia" w:cs="georgia" w:ascii="georgia" w:hAnsi="georgia"/>
          <w:b/>
          <w:color w:val="000000"/>
        </w:rPr>
        <w:t xml:space="preserve">×1.8</w:t>
      </w:r>
      <w:r>
        <w:rPr>
          <w:rFonts w:eastAsia="georgia" w:cs="georgia" w:ascii="georgia" w:hAnsi="georgia"/>
          <w:color w:val="000000"/>
        </w:rPr>
        <w:t xml:space="preserve"> relative to climatology — meaningful but substantially below the </w:t>
      </w:r>
      <w:r>
        <w:rPr>
          <w:rFonts w:eastAsia="georgia" w:cs="georgia" w:ascii="georgia" w:hAnsi="georgia"/>
          <w:b/>
          <w:color w:val="000000"/>
        </w:rPr>
        <w:t xml:space="preserve">×3.2</w:t>
      </w:r>
      <w:r>
        <w:rPr>
          <w:rFonts w:eastAsia="georgia" w:cs="georgia" w:ascii="georgia" w:hAnsi="georgia"/>
          <w:color w:val="000000"/>
        </w:rPr>
        <w:t xml:space="preserve"> of the 2022–23 (El Niño + Warm PDO) configuration.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PDO Phase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 Multiplier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GSL Recharge Potential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Historical Analog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2022–23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Warm (transitioning)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1983, 1984, 1998 winters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2026–27 (likely)</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Cool (−4σ)</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2010, 2016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2026–27 (if Super 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Cool (−4σ)</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Moderate-High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1998 partial analog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Neutral ENSO + Cool PDO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Minimal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2013, 2020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 Niña + any PDO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×0.5–0.7</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Drought risk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2021–22, 2025–26</w:t>
            </w:r>
          </w:p>
        </w:tc>
      </w:tr>
    </w:tbl>
    <w:p>
      <w:pPr>
        <w:spacing w:lineRule="auto"/>
      </w:pPr>
    </w:p>
    <w:p>
      <w:pPr>
        <w:spacing w:line="360" w:before="315" w:after="105" w:lineRule="auto"/>
        <w:ind w:left="-30"/>
        <w:jc w:val="left"/>
      </w:pPr>
      <w:bookmarkStart w:id="14" w:name="bm_5_4_the_ar_alert_what_changes"/>
      <w:r>
        <w:rPr>
          <w:rFonts w:eastAsia="georgia" w:cs="georgia" w:ascii="georgia" w:hAnsi="georgia"/>
          <w:b/>
          <w:color w:val="000000"/>
          <w:sz w:val="24"/>
        </w:rPr>
        <w:t xml:space="preserve">5.4 The AR Alert — What Changes</w:t>
      </w:r>
      <w:bookmarkEnd w:id="14"/>
    </w:p>
    <w:p>
      <w:pPr>
        <w:spacing w:line="360" w:after="210" w:lineRule="auto"/>
      </w:pPr>
      <w:r>
        <w:rPr>
          <w:rFonts w:eastAsia="georgia" w:cs="georgia" w:ascii="georgia" w:hAnsi="georgia"/>
          <w:color w:val="000000"/>
        </w:rPr>
        <w:t xml:space="preserve">The prior analysis did not explicitly frame the 2026 scenario in terms of an </w:t>
      </w:r>
      <w:r>
        <w:rPr>
          <w:rFonts w:eastAsia="georgia" w:cs="georgia" w:ascii="georgia" w:hAnsi="georgia"/>
          <w:b/>
          <w:color w:val="000000"/>
        </w:rPr>
        <w:t xml:space="preserve">atmospheric river alert</w:t>
      </w:r>
      <w:r>
        <w:rPr>
          <w:rFonts w:eastAsia="georgia" w:cs="georgia" w:ascii="georgia" w:hAnsi="georgia"/>
          <w:color w:val="000000"/>
        </w:rPr>
        <w:t xml:space="preserve">. With the PDO suppression confirmed, the AR forecast for 2026–27 is revised as follows:</w:t>
      </w:r>
    </w:p>
    <w:p>
      <w:pPr>
        <w:numPr>
          <w:ilvl w:val="0"/>
          <w:numId w:val="2"/>
        </w:numPr>
        <w:spacing w:line="360" w:before="105" w:after="105" w:lineRule="auto"/>
      </w:pPr>
      <w:r>
        <w:rPr>
          <w:rFonts w:eastAsia="georgia" w:cs="georgia" w:ascii="georgia" w:hAnsi="georgia"/>
          <w:b/>
          <w:color w:val="000000"/>
          <w:sz w:val="21"/>
        </w:rPr>
        <w:t xml:space="preserve">Probability of an AR event comparable to Jan 2023 (Cat 4–5)</w:t>
      </w:r>
      <w:r>
        <w:rPr>
          <w:rFonts w:eastAsia="georgia" w:cs="georgia" w:ascii="georgia" w:hAnsi="georgia"/>
          <w:color w:val="000000"/>
          <w:sz w:val="21"/>
        </w:rPr>
        <w:t xml:space="preserve">: Significantly reduced from the warm-PDO baseline. Estimated at </w:t>
      </w:r>
      <w:r>
        <w:rPr>
          <w:rFonts w:eastAsia="georgia" w:cs="georgia" w:ascii="georgia" w:hAnsi="georgia"/>
          <w:b/>
          <w:color w:val="000000"/>
          <w:sz w:val="21"/>
        </w:rPr>
        <w:t xml:space="preserve">15–25%</w:t>
      </w:r>
      <w:r>
        <w:rPr>
          <w:rFonts w:eastAsia="georgia" w:cs="georgia" w:ascii="georgia" w:hAnsi="georgia"/>
          <w:color w:val="000000"/>
          <w:sz w:val="21"/>
        </w:rPr>
        <w:t xml:space="preserve"> probability of even a single Cat 4+ AR making landfall in California in winter 2026–27, compared to the 2022–23 baseline when multiple Cat 4–5 ARs occurred in sequence.</w:t>
      </w:r>
    </w:p>
    <w:p>
      <w:pPr>
        <w:numPr>
          <w:ilvl w:val="0"/>
          <w:numId w:val="2"/>
        </w:numPr>
        <w:spacing w:line="360" w:before="105" w:after="105" w:lineRule="auto"/>
      </w:pPr>
      <w:r>
        <w:rPr>
          <w:rFonts w:eastAsia="georgia" w:cs="georgia" w:ascii="georgia" w:hAnsi="georgia"/>
          <w:b/>
          <w:color w:val="000000"/>
          <w:sz w:val="21"/>
        </w:rPr>
        <w:t xml:space="preserve">Probability of a </w:t>
      </w:r>
      <w:r>
        <w:rPr>
          <w:rFonts w:eastAsia="georgia" w:cs="georgia" w:ascii="georgia" w:hAnsi="georgia"/>
          <w:b/>
          <w:i/>
          <w:color w:val="000000"/>
          <w:sz w:val="21"/>
        </w:rPr>
        <w:t xml:space="preserve">sequence of ARs (nine in 21 days, as in Jan 2023)</w:t>
      </w:r>
      <w:r>
        <w:rPr>
          <w:rFonts w:eastAsia="georgia" w:cs="georgia" w:ascii="georgia" w:hAnsi="georgia"/>
          <w:color w:val="000000"/>
          <w:sz w:val="21"/>
        </w:rPr>
        <w:t xml:space="preserve">: Very low (~3–8%) under Cool PDO even with strong El Niño. The PDO's negative phase suppresses the Aleutian Low deepening and southward jet displacement that creates the sustained subtropical moisture corridor.</w:t>
      </w:r>
    </w:p>
    <w:p>
      <w:pPr>
        <w:numPr>
          <w:ilvl w:val="0"/>
          <w:numId w:val="2"/>
        </w:numPr>
        <w:spacing w:line="360" w:before="105" w:after="105" w:lineRule="auto"/>
      </w:pPr>
      <w:r>
        <w:rPr>
          <w:rFonts w:eastAsia="georgia" w:cs="georgia" w:ascii="georgia" w:hAnsi="georgia"/>
          <w:b/>
          <w:color w:val="000000"/>
          <w:sz w:val="21"/>
        </w:rPr>
        <w:t xml:space="preserve">The AR risk is real but moderate</w:t>
      </w:r>
      <w:r>
        <w:rPr>
          <w:rFonts w:eastAsia="georgia" w:cs="georgia" w:ascii="georgia" w:hAnsi="georgia"/>
          <w:color w:val="000000"/>
          <w:sz w:val="21"/>
        </w:rPr>
        <w:t xml:space="preserve">: A single significant AR event remains plausible (1 in 3 chance), but the catastrophic multi-AR sequence that produced Utah's record snowpack requires warm PDO co-occurrence.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6_the_two_stage_lag_and_t_c0e00d"/>
      <w:r>
        <w:rPr>
          <w:rFonts w:eastAsia="georgia" w:cs="georgia" w:ascii="georgia" w:hAnsi="georgia"/>
          <w:b/>
          <w:color w:val="000000"/>
          <w:sz w:val="24"/>
        </w:rPr>
        <w:t xml:space="preserve">Section 6: The Two-Stage Lag and the Forward Stochastic Projections</w:t>
      </w:r>
      <w:bookmarkEnd w:id="15"/>
    </w:p>
    <w:p>
      <w:pPr>
        <w:spacing w:line="360" w:before="315" w:after="105" w:lineRule="auto"/>
        <w:ind w:left="-30"/>
        <w:jc w:val="left"/>
      </w:pPr>
      <w:bookmarkStart w:id="16" w:name="bm_6_1_what_the_lag_means_for_202_a33b55"/>
      <w:r>
        <w:rPr>
          <w:rFonts w:eastAsia="georgia" w:cs="georgia" w:ascii="georgia" w:hAnsi="georgia"/>
          <w:b/>
          <w:color w:val="000000"/>
          <w:sz w:val="24"/>
        </w:rPr>
        <w:t xml:space="preserve">6.1 What the Lag Means for 2026 Policy Communication</w:t>
      </w:r>
      <w:bookmarkEnd w:id="16"/>
    </w:p>
    <w:p>
      <w:pPr>
        <w:spacing w:line="360" w:after="210" w:lineRule="auto"/>
      </w:pPr>
      <w:r>
        <w:rPr>
          <w:rFonts w:eastAsia="georgia" w:cs="georgia" w:ascii="georgia" w:hAnsi="georgia"/>
          <w:color w:val="000000"/>
        </w:rPr>
        <w:t xml:space="preserve">The Gillies et al. (2011) two-stage cascade has a direct and critical implication for GSL policy messaging: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 Window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Is Visible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Is Happening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2026–27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Snowpack, streamflow, reservoir gains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 Niño precip benefit delivering (Stage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2027–28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Soil moisture recovery, groundwater recharge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Basin integration building (Stage 2 building)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2029–30</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GSL elevation response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Stage 2 complete — lake registers benefit</w:t>
            </w:r>
          </w:p>
        </w:tc>
      </w:tr>
    </w:tbl>
    <w:p>
      <w:pPr>
        <w:spacing w:lineRule="auto"/>
      </w:pPr>
    </w:p>
    <w:p>
      <w:pPr>
        <w:spacing w:line="360" w:after="210" w:lineRule="auto"/>
      </w:pPr>
      <w:r>
        <w:rPr>
          <w:rFonts w:eastAsia="georgia" w:cs="georgia" w:ascii="georgia" w:hAnsi="georgia"/>
          <w:color w:val="000000"/>
        </w:rPr>
        <w:t xml:space="preserve">The standard public and policy communication that says "El Niño will save the GSL" conflates two very different timescales. Snowpack gains in 2026–27 are real and meaningful for reservoir storage, agriculture, and municipal water supply — but they will </w:t>
      </w:r>
      <w:r>
        <w:rPr>
          <w:rFonts w:eastAsia="georgia" w:cs="georgia" w:ascii="georgia" w:hAnsi="georgia"/>
          <w:b/>
          <w:color w:val="000000"/>
        </w:rPr>
        <w:t xml:space="preserve">not</w:t>
      </w:r>
      <w:r>
        <w:rPr>
          <w:rFonts w:eastAsia="georgia" w:cs="georgia" w:ascii="georgia" w:hAnsi="georgia"/>
          <w:color w:val="000000"/>
        </w:rPr>
        <w:t xml:space="preserve"> translate into measurable GSL elevation gains until 2029–30. This is not a model assumption; it is the empirically derived lag published by Wang et al. in 2010 and confirmed by Gillies et al. in 2011.</w:t>
      </w:r>
    </w:p>
    <w:p>
      <w:pPr>
        <w:spacing w:line="360" w:before="315" w:after="105" w:lineRule="auto"/>
        <w:ind w:left="-30"/>
        <w:jc w:val="left"/>
      </w:pPr>
      <w:bookmarkStart w:id="17" w:name="bm_6_2_revised_stochastic_fan"/>
      <w:r>
        <w:rPr>
          <w:rFonts w:eastAsia="georgia" w:cs="georgia" w:ascii="georgia" w:hAnsi="georgia"/>
          <w:b/>
          <w:color w:val="000000"/>
          <w:sz w:val="24"/>
        </w:rPr>
        <w:t xml:space="preserve">6.2 Revised Stochastic Fan</w:t>
      </w:r>
      <w:bookmarkEnd w:id="17"/>
    </w:p>
    <w:p>
      <w:pPr>
        <w:spacing w:line="360" w:after="210" w:lineRule="auto"/>
      </w:pPr>
      <w:r>
        <w:rPr>
          <w:rFonts w:eastAsia="georgia" w:cs="georgia" w:ascii="georgia" w:hAnsi="georgia"/>
          <w:color w:val="000000"/>
        </w:rPr>
        <w:t xml:space="preserve">The revised stochastic fan (Figure) applies the 3-year P→GSL lag explicitly, showing:</w:t>
      </w:r>
    </w:p>
    <w:p>
      <w:pPr>
        <w:numPr>
          <w:ilvl w:val="0"/>
          <w:numId w:val="3"/>
        </w:numPr>
        <w:spacing w:line="360" w:before="105" w:after="105" w:lineRule="auto"/>
      </w:pPr>
      <w:r>
        <w:rPr>
          <w:rFonts w:eastAsia="georgia" w:cs="georgia" w:ascii="georgia" w:hAnsi="georgia"/>
          <w:b/>
          <w:color w:val="000000"/>
          <w:sz w:val="21"/>
        </w:rPr>
        <w:t xml:space="preserve">Blue zone (2026–2028)</w:t>
      </w:r>
      <w:r>
        <w:rPr>
          <w:rFonts w:eastAsia="georgia" w:cs="georgia" w:ascii="georgia" w:hAnsi="georgia"/>
          <w:color w:val="000000"/>
          <w:sz w:val="21"/>
        </w:rPr>
        <w:t xml:space="preserve">: Precipitation benefit accumulates; no GSL elevation gain. The −0.33 ft/yr warming penalty continues to operate.</w:t>
      </w:r>
    </w:p>
    <w:p>
      <w:pPr>
        <w:numPr>
          <w:ilvl w:val="0"/>
          <w:numId w:val="3"/>
        </w:numPr>
        <w:spacing w:line="360" w:before="105" w:after="105" w:lineRule="auto"/>
      </w:pPr>
      <w:r>
        <w:rPr>
          <w:rFonts w:eastAsia="georgia" w:cs="georgia" w:ascii="georgia" w:hAnsi="georgia"/>
          <w:b/>
          <w:color w:val="000000"/>
          <w:sz w:val="21"/>
        </w:rPr>
        <w:t xml:space="preserve">Green zone (2029–2031)</w:t>
      </w:r>
      <w:r>
        <w:rPr>
          <w:rFonts w:eastAsia="georgia" w:cs="georgia" w:ascii="georgia" w:hAnsi="georgia"/>
          <w:color w:val="000000"/>
          <w:sz w:val="21"/>
        </w:rPr>
        <w:t xml:space="preserve">: GSL elevation tendency begins to respond to the 2026–27 precipitation signal.</w:t>
      </w:r>
    </w:p>
    <w:p>
      <w:pPr>
        <w:numPr>
          <w:ilvl w:val="0"/>
          <w:numId w:val="3"/>
        </w:numPr>
        <w:spacing w:line="360" w:before="105" w:after="105" w:lineRule="auto"/>
      </w:pPr>
      <w:r>
        <w:rPr>
          <w:rFonts w:eastAsia="georgia" w:cs="georgia" w:ascii="georgia" w:hAnsi="georgia"/>
          <w:b/>
          <w:color w:val="000000"/>
          <w:sz w:val="21"/>
        </w:rPr>
        <w:t xml:space="preserve">Three scenarios</w:t>
      </w:r>
      <w:r>
        <w:rPr>
          <w:rFonts w:eastAsia="georgia" w:cs="georgia" w:ascii="georgia" w:hAnsi="georgia"/>
          <w:color w:val="000000"/>
          <w:sz w:val="21"/>
        </w:rPr>
        <w:t xml:space="preserve">:</w:t>
      </w:r>
    </w:p>
    <w:p>
      <w:pPr>
        <w:numPr>
          <w:ilvl w:val="1"/>
          <w:numId w:val="3"/>
        </w:numPr>
        <w:spacing w:line="360" w:before="105" w:after="105" w:lineRule="auto"/>
      </w:pPr>
      <w:r>
        <w:rPr>
          <w:rFonts w:eastAsia="georgia" w:cs="georgia" w:ascii="georgia" w:hAnsi="georgia"/>
          <w:b/>
          <w:color w:val="000000"/>
          <w:sz w:val="21"/>
        </w:rPr>
        <w:t xml:space="preserve">Moderate El Niño + Cool PDO</w:t>
      </w:r>
      <w:r>
        <w:rPr>
          <w:rFonts w:eastAsia="georgia" w:cs="georgia" w:ascii="georgia" w:hAnsi="georgia"/>
          <w:color w:val="000000"/>
          <w:sz w:val="21"/>
        </w:rPr>
        <w:t xml:space="preserve"> (most likely): Median trajectory continues declining to 2028–29, then modest partial recovery to ~4186–4190 ft by 2031.</w:t>
      </w:r>
    </w:p>
    <w:p>
      <w:pPr>
        <w:numPr>
          <w:ilvl w:val="1"/>
          <w:numId w:val="3"/>
        </w:numPr>
        <w:spacing w:line="360" w:before="105" w:after="105" w:lineRule="auto"/>
      </w:pPr>
      <w:r>
        <w:rPr>
          <w:rFonts w:eastAsia="georgia" w:cs="georgia" w:ascii="georgia" w:hAnsi="georgia"/>
          <w:b/>
          <w:color w:val="000000"/>
          <w:sz w:val="21"/>
        </w:rPr>
        <w:t xml:space="preserve">Strong El Niño + Cool PDO</w:t>
      </w:r>
      <w:r>
        <w:rPr>
          <w:rFonts w:eastAsia="georgia" w:cs="georgia" w:ascii="georgia" w:hAnsi="georgia"/>
          <w:color w:val="000000"/>
          <w:sz w:val="21"/>
        </w:rPr>
        <w:t xml:space="preserve">: Shallower decline through 2028, recovery to ~4188–4193 ft by 2031.</w:t>
      </w:r>
    </w:p>
    <w:p>
      <w:pPr>
        <w:numPr>
          <w:ilvl w:val="1"/>
          <w:numId w:val="3"/>
        </w:numPr>
        <w:spacing w:line="360" w:before="105" w:after="105" w:lineRule="auto"/>
      </w:pPr>
      <w:r>
        <w:rPr>
          <w:rFonts w:eastAsia="georgia" w:cs="georgia" w:ascii="georgia" w:hAnsi="georgia"/>
          <w:b/>
          <w:color w:val="000000"/>
          <w:sz w:val="21"/>
        </w:rPr>
        <w:t xml:space="preserve">Super El Niño + PDO flip (~2031)</w:t>
      </w:r>
      <w:r>
        <w:rPr>
          <w:rFonts w:eastAsia="georgia" w:cs="georgia" w:ascii="georgia" w:hAnsi="georgia"/>
          <w:color w:val="000000"/>
          <w:sz w:val="21"/>
        </w:rPr>
        <w:t xml:space="preserve">: The only scenario showing a realistic trajectory toward the 4198 ft ecological minimum — requires both the El Niño to verify at ≥+2.0°C AND the PDO to begin its anticipated phase transition in the early 2030s.</w:t>
      </w:r>
    </w:p>
    <w:p>
      <w:pPr>
        <w:spacing w:line="360" w:before="315" w:after="105" w:lineRule="auto"/>
        <w:ind w:left="-30"/>
        <w:jc w:val="left"/>
      </w:pPr>
      <w:bookmarkStart w:id="18" w:name="bm_6_3_the_scissors_curve_implication"/>
      <w:r>
        <w:rPr>
          <w:rFonts w:eastAsia="georgia" w:cs="georgia" w:ascii="georgia" w:hAnsi="georgia"/>
          <w:b/>
          <w:color w:val="000000"/>
          <w:sz w:val="24"/>
        </w:rPr>
        <w:t xml:space="preserve">6.3 The "Scissors Curve" Implication</w:t>
      </w:r>
      <w:bookmarkEnd w:id="18"/>
    </w:p>
    <w:p>
      <w:pPr>
        <w:spacing w:line="360" w:after="210" w:lineRule="auto"/>
      </w:pPr>
      <w:r>
        <w:rPr>
          <w:rFonts w:eastAsia="georgia" w:cs="georgia" w:ascii="georgia" w:hAnsi="georgia"/>
          <w:color w:val="000000"/>
        </w:rPr>
        <w:t xml:space="preserve">The structural drift of −0.33 ft/yr combined with the 3-year lag means that even a "strong" El Niño winter in 2026–27 cannot offset accumulated losses from the 2024–25 La Niña drought (worst snowpack on record). The net deficit entering 2026 requires not just one good El Niño winter but a sustained multi-year wet regime — precisely the condition that occurs when El Niño aligns with a warm PDO phase, expected no earlier than the early 2030s.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ection_7_implications_for_model_d4b310"/>
      <w:r>
        <w:rPr>
          <w:rFonts w:eastAsia="georgia" w:cs="georgia" w:ascii="georgia" w:hAnsi="georgia"/>
          <w:b/>
          <w:color w:val="000000"/>
          <w:sz w:val="24"/>
        </w:rPr>
        <w:t xml:space="preserve">Section 7: Implications for Model Implementation (v11 Targets)</w:t>
      </w:r>
      <w:bookmarkEnd w:id="19"/>
    </w:p>
    <w:p>
      <w:pPr>
        <w:spacing w:line="360" w:after="210" w:lineRule="auto"/>
      </w:pPr>
      <w:r>
        <w:rPr>
          <w:rFonts w:eastAsia="georgia" w:cs="georgia" w:ascii="georgia" w:hAnsi="georgia"/>
          <w:color w:val="000000"/>
        </w:rPr>
        <w:t xml:space="preserve">The following specific changes to the HTML simulator are identified for the next version:</w:t>
      </w:r>
    </w:p>
    <w:p>
      <w:pPr>
        <w:numPr>
          <w:ilvl w:val="0"/>
          <w:numId w:val="4"/>
        </w:numPr>
        <w:spacing w:line="360" w:before="105" w:after="105" w:lineRule="auto"/>
      </w:pPr>
      <w:r>
        <w:rPr>
          <w:rFonts w:eastAsia="georgia" w:cs="georgia" w:ascii="georgia" w:hAnsi="georgia"/>
          <w:b/>
          <w:color w:val="000000"/>
          <w:sz w:val="21"/>
        </w:rPr>
        <w:t xml:space="preserve">Add </w:t>
      </w:r>
      <w:r>
        <w:rPr>
          <w:rStyle w:val="VerbatimChar"/>
          <w:rFonts w:eastAsia="georgia" w:cs="georgia" w:ascii="georgia" w:hAnsi="georgia"/>
          <w:b/>
          <w:color w:val="000000"/>
          <w:sz w:val="21"/>
          <w:shd w:val="clear" w:color="auto" w:fill="F8F8FA"/>
        </w:rPr>
        <w:t xml:space="preserve">precipLagIndicator variable</w:t>
      </w:r>
      <w:r>
        <w:rPr>
          <w:rFonts w:eastAsia="georgia" w:cs="georgia" w:ascii="georgia" w:hAnsi="georgia"/>
          <w:color w:val="000000"/>
          <w:sz w:val="21"/>
        </w:rPr>
        <w:t xml:space="preserve">: Visible intermediate time series showing the precipitation signal before it reaches GSL elevation, with explicit 3-yr offset displayed in the UI</w:t>
      </w:r>
    </w:p>
    <w:p>
      <w:pPr>
        <w:numPr>
          <w:ilvl w:val="0"/>
          <w:numId w:val="4"/>
        </w:numPr>
        <w:spacing w:line="360" w:before="105" w:after="105" w:lineRule="auto"/>
      </w:pPr>
      <w:r>
        <w:rPr>
          <w:rFonts w:eastAsia="georgia" w:cs="georgia" w:ascii="georgia" w:hAnsi="georgia"/>
          <w:b/>
          <w:color w:val="000000"/>
          <w:sz w:val="21"/>
        </w:rPr>
        <w:t xml:space="preserve">Add </w:t>
      </w:r>
      <w:r>
        <w:rPr>
          <w:rStyle w:val="VerbatimChar"/>
          <w:rFonts w:eastAsia="georgia" w:cs="georgia" w:ascii="georgia" w:hAnsi="georgia"/>
          <w:b/>
          <w:color w:val="000000"/>
          <w:sz w:val="21"/>
          <w:shd w:val="clear" w:color="auto" w:fill="F8F8FA"/>
        </w:rPr>
        <w:t xml:space="preserve">pdoSuppressFlag</w:t>
      </w:r>
      <w:r>
        <w:rPr>
          <w:rFonts w:eastAsia="georgia" w:cs="georgia" w:ascii="georgia" w:hAnsi="georgia"/>
          <w:color w:val="000000"/>
          <w:sz w:val="21"/>
        </w:rPr>
        <w:t xml:space="preserve">: Boolean that detects when PDO is negative and reduces </w:t>
      </w:r>
      <w:r>
        <w:rPr>
          <w:rStyle w:val="VerbatimChar"/>
          <w:rFonts w:eastAsia="menlo" w:cs="menlo" w:ascii="menlo" w:hAnsi="menlo"/>
          <w:color w:val="000000"/>
          <w:sz w:val="18"/>
          <w:shd w:val="clear" w:color="auto" w:fill="F8F8FA"/>
        </w:rPr>
        <w:t xml:space="preserve">arMultiplier</w:t>
      </w:r>
      <w:r>
        <w:rPr>
          <w:rFonts w:eastAsia="georgia" w:cs="georgia" w:ascii="georgia" w:hAnsi="georgia"/>
          <w:color w:val="000000"/>
          <w:sz w:val="21"/>
        </w:rPr>
        <w:t xml:space="preserve"> from the default El Niño enhancement, with tooltip explaining the PDO Suppression Paradox</w:t>
      </w:r>
    </w:p>
    <w:p>
      <w:pPr>
        <w:numPr>
          <w:ilvl w:val="0"/>
          <w:numId w:val="4"/>
        </w:numPr>
        <w:spacing w:line="360" w:before="105" w:after="105" w:lineRule="auto"/>
      </w:pPr>
      <w:r>
        <w:rPr>
          <w:rFonts w:eastAsia="georgia" w:cs="georgia" w:ascii="georgia" w:hAnsi="georgia"/>
          <w:b/>
          <w:color w:val="000000"/>
          <w:sz w:val="21"/>
        </w:rPr>
        <w:t xml:space="preserve">Add </w:t>
      </w:r>
      <w:r>
        <w:rPr>
          <w:rStyle w:val="VerbatimChar"/>
          <w:rFonts w:eastAsia="georgia" w:cs="georgia" w:ascii="georgia" w:hAnsi="georgia"/>
          <w:b/>
          <w:color w:val="000000"/>
          <w:sz w:val="21"/>
          <w:shd w:val="clear" w:color="auto" w:fill="F8F8FA"/>
        </w:rPr>
        <w:t xml:space="preserve">arAlertLevel</w:t>
      </w:r>
      <w:r>
        <w:rPr>
          <w:rFonts w:eastAsia="georgia" w:cs="georgia" w:ascii="georgia" w:hAnsi="georgia"/>
          <w:color w:val="000000"/>
          <w:sz w:val="21"/>
        </w:rPr>
        <w:t xml:space="preserve">: Three-tier alert (Low / Moderate / High) based on the PDO×ENSO matrix, triggering the "2022-23 analog" alert only when both El Niño ≥ +1.5°C AND PDO ≥ +0.5 are co-occurring</w:t>
      </w:r>
    </w:p>
    <w:p>
      <w:pPr>
        <w:numPr>
          <w:ilvl w:val="0"/>
          <w:numId w:val="4"/>
        </w:numPr>
        <w:spacing w:line="360" w:before="105" w:after="105" w:lineRule="auto"/>
      </w:pPr>
      <w:r>
        <w:rPr>
          <w:rFonts w:eastAsia="georgia" w:cs="georgia" w:ascii="georgia" w:hAnsi="georgia"/>
          <w:b/>
          <w:color w:val="000000"/>
          <w:sz w:val="21"/>
        </w:rPr>
        <w:t xml:space="preserve">Correct </w:t>
      </w:r>
      <w:r>
        <w:rPr>
          <w:rStyle w:val="VerbatimChar"/>
          <w:rFonts w:eastAsia="georgia" w:cs="georgia" w:ascii="georgia" w:hAnsi="georgia"/>
          <w:b/>
          <w:color w:val="000000"/>
          <w:sz w:val="21"/>
          <w:shd w:val="clear" w:color="auto" w:fill="F8F8FA"/>
        </w:rPr>
        <w:t xml:space="preserve">snowFracAnchor</w:t>
      </w:r>
      <w:r>
        <w:rPr>
          <w:rFonts w:eastAsia="georgia" w:cs="georgia" w:ascii="georgia" w:hAnsi="georgia"/>
          <w:color w:val="000000"/>
          <w:sz w:val="21"/>
        </w:rPr>
        <w:t xml:space="preserve">: Change 1980 snow fraction initialization from 84% to 80.4%</w:t>
      </w:r>
    </w:p>
    <w:p>
      <w:pPr>
        <w:numPr>
          <w:ilvl w:val="0"/>
          <w:numId w:val="4"/>
        </w:numPr>
        <w:spacing w:line="360" w:before="105" w:after="105" w:lineRule="auto"/>
      </w:pPr>
      <w:r>
        <w:rPr>
          <w:rFonts w:eastAsia="georgia" w:cs="georgia" w:ascii="georgia" w:hAnsi="georgia"/>
          <w:b/>
          <w:color w:val="000000"/>
          <w:sz w:val="21"/>
        </w:rPr>
        <w:t xml:space="preserve">Add </w:t>
      </w:r>
      <w:r>
        <w:rPr>
          <w:rStyle w:val="VerbatimChar"/>
          <w:rFonts w:eastAsia="georgia" w:cs="georgia" w:ascii="georgia" w:hAnsi="georgia"/>
          <w:b/>
          <w:color w:val="000000"/>
          <w:sz w:val="21"/>
          <w:shd w:val="clear" w:color="auto" w:fill="F8F8FA"/>
        </w:rPr>
        <w:t xml:space="preserve">lagCorrectionBand</w:t>
      </w:r>
      <w:r>
        <w:rPr>
          <w:rFonts w:eastAsia="georgia" w:cs="georgia" w:ascii="georgia" w:hAnsi="georgia"/>
          <w:color w:val="000000"/>
          <w:sz w:val="21"/>
        </w:rPr>
        <w:t xml:space="preserve">: Shaded region on stochastic fan clearly marking the "precipitation benefit only" window (2026–2028) vs. "GSL elevation response" window (2029+)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ection_8_key_open_questions_for_76aa33"/>
      <w:r>
        <w:rPr>
          <w:rFonts w:eastAsia="georgia" w:cs="georgia" w:ascii="georgia" w:hAnsi="georgia"/>
          <w:b/>
          <w:color w:val="000000"/>
          <w:sz w:val="24"/>
        </w:rPr>
        <w:t xml:space="preserve">Section 8: Key Open Questions for Chikamoto Review</w:t>
      </w:r>
      <w:bookmarkEnd w:id="20"/>
    </w:p>
    <w:p>
      <w:pPr>
        <w:spacing w:line="360" w:after="210" w:lineRule="auto"/>
      </w:pPr>
      <w:r>
        <w:rPr>
          <w:rFonts w:eastAsia="georgia" w:cs="georgia" w:ascii="georgia" w:hAnsi="georgia"/>
          <w:color w:val="000000"/>
        </w:rPr>
        <w:t xml:space="preserve">The following questions require Chikamoto's tropical Pacific expertise before the paper proceeds to submission:</w:t>
      </w:r>
    </w:p>
    <w:p>
      <w:pPr>
        <w:numPr>
          <w:ilvl w:val="0"/>
          <w:numId w:val="5"/>
        </w:numPr>
        <w:spacing w:line="360" w:before="105" w:after="105" w:lineRule="auto"/>
      </w:pPr>
      <w:r>
        <w:rPr>
          <w:rFonts w:eastAsia="georgia" w:cs="georgia" w:ascii="georgia" w:hAnsi="georgia"/>
          <w:b/>
          <w:color w:val="000000"/>
          <w:sz w:val="21"/>
        </w:rPr>
        <w:t xml:space="preserve">6-yr vs. 8-yr lag for formal spectral analysis</w:t>
      </w:r>
      <w:r>
        <w:rPr>
          <w:rFonts w:eastAsia="georgia" w:cs="georgia" w:ascii="georgia" w:hAnsi="georgia"/>
          <w:color w:val="000000"/>
          <w:sz w:val="21"/>
        </w:rPr>
        <w:t xml:space="preserve">: Which is more appropriate for the paper's coherence analysis given the 12-yr QDO period and the 49-yr instrumental record?</w:t>
      </w:r>
    </w:p>
    <w:p>
      <w:pPr>
        <w:numPr>
          <w:ilvl w:val="0"/>
          <w:numId w:val="5"/>
        </w:numPr>
        <w:spacing w:line="360" w:before="105" w:after="105" w:lineRule="auto"/>
      </w:pPr>
      <w:r>
        <w:rPr>
          <w:rFonts w:eastAsia="georgia" w:cs="georgia" w:ascii="georgia" w:hAnsi="georgia"/>
          <w:b/>
          <w:color w:val="000000"/>
          <w:sz w:val="21"/>
        </w:rPr>
        <w:t xml:space="preserve">PDO at −4σ and AR suppression coefficient</w:t>
      </w:r>
      <w:r>
        <w:rPr>
          <w:rFonts w:eastAsia="georgia" w:cs="georgia" w:ascii="georgia" w:hAnsi="georgia"/>
          <w:color w:val="000000"/>
          <w:sz w:val="21"/>
        </w:rPr>
        <w:t xml:space="preserve">: Does existing literature quantify the AR suppression effect of extreme negative PDO? The ×1.8 vs. ×3.2 values used here are estimated from the PDO×AR literature (Dettinger 2011; Gershunov et al. 2017) but not empirically calibrated for this specific −4σ event.</w:t>
      </w:r>
    </w:p>
    <w:p>
      <w:pPr>
        <w:numPr>
          <w:ilvl w:val="0"/>
          <w:numId w:val="5"/>
        </w:numPr>
        <w:spacing w:line="360" w:before="105" w:after="105" w:lineRule="auto"/>
      </w:pPr>
      <w:r>
        <w:rPr>
          <w:rFonts w:eastAsia="georgia" w:cs="georgia" w:ascii="georgia" w:hAnsi="georgia"/>
          <w:b/>
          <w:color w:val="000000"/>
          <w:sz w:val="21"/>
        </w:rPr>
        <w:t xml:space="preserve">Tropical interbasin coupling in 2026</w:t>
      </w:r>
      <w:r>
        <w:rPr>
          <w:rFonts w:eastAsia="georgia" w:cs="georgia" w:ascii="georgia" w:hAnsi="georgia"/>
          <w:color w:val="000000"/>
          <w:sz w:val="21"/>
        </w:rPr>
        <w:t xml:space="preserve">: Chikamoto's 2024 </w:t>
      </w:r>
      <w:r>
        <w:rPr>
          <w:rFonts w:eastAsia="georgia" w:cs="georgia" w:ascii="georgia" w:hAnsi="georgia"/>
          <w:i/>
          <w:color w:val="000000"/>
          <w:sz w:val="21"/>
        </w:rPr>
        <w:t xml:space="preserve">Journal of Climate</w:t>
      </w:r>
      <w:r>
        <w:rPr>
          <w:rFonts w:eastAsia="georgia" w:cs="georgia" w:ascii="georgia" w:hAnsi="georgia"/>
          <w:color w:val="000000"/>
          <w:sz w:val="21"/>
        </w:rPr>
        <w:t xml:space="preserve"> work on tropical interbasin interactions may provide a physically grounded pathway explanation for why a strong El Niño does not overcome the extreme negative PDO in the short term.</w:t>
      </w:r>
    </w:p>
    <w:p>
      <w:pPr>
        <w:numPr>
          <w:ilvl w:val="0"/>
          <w:numId w:val="5"/>
        </w:numPr>
        <w:spacing w:line="360" w:before="105" w:after="105" w:lineRule="auto"/>
      </w:pPr>
      <w:r>
        <w:rPr>
          <w:rFonts w:eastAsia="georgia" w:cs="georgia" w:ascii="georgia" w:hAnsi="georgia"/>
          <w:b/>
          <w:color w:val="000000"/>
          <w:sz w:val="21"/>
        </w:rPr>
        <w:t xml:space="preserve">IPO status</w:t>
      </w:r>
      <w:r>
        <w:rPr>
          <w:rFonts w:eastAsia="georgia" w:cs="georgia" w:ascii="georgia" w:hAnsi="georgia"/>
          <w:color w:val="000000"/>
          <w:sz w:val="21"/>
        </w:rPr>
        <w:t xml:space="preserve">: The t−42 term in Gillies Eq. 1 reflects the IPO (40-yr cycle). Where is the IPO currently in its cycle, and does this constrain the PDO phase transition timeline toward the early 2030s?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annotated_bibliography"/>
      <w:r>
        <w:rPr>
          <w:rFonts w:eastAsia="georgia" w:cs="georgia" w:ascii="georgia" w:hAnsi="georgia"/>
          <w:b/>
          <w:color w:val="000000"/>
          <w:sz w:val="24"/>
        </w:rPr>
        <w:t xml:space="preserve">Annotated Bibliography</w:t>
      </w:r>
      <w:bookmarkEnd w:id="21"/>
    </w:p>
    <w:p>
      <w:pPr>
        <w:spacing w:line="360" w:after="210" w:lineRule="auto"/>
      </w:pPr>
      <w:r>
        <w:rPr>
          <w:rFonts w:eastAsia="georgia" w:cs="georgia" w:ascii="georgia" w:hAnsi="georgia"/>
          <w:b/>
          <w:color w:val="000000"/>
        </w:rPr>
        <w:t xml:space="preserve">Gillies, R.R., Chung, O.-Y., Wang, S.-Y., &amp; Kokoszka, P. (2011).</w:t>
      </w:r>
      <w:r>
        <w:rPr>
          <w:rFonts w:eastAsia="georgia" w:cs="georgia" w:ascii="georgia" w:hAnsi="georgia"/>
          <w:color w:val="000000"/>
        </w:rPr>
        <w:t xml:space="preserve"> Incorporation of Pacific SSTs in a time series model toward a longer-term forecast for the Great Salt Lake elevation. </w:t>
      </w:r>
      <w:r>
        <w:rPr>
          <w:rFonts w:eastAsia="georgia" w:cs="georgia" w:ascii="georgia" w:hAnsi="georgia"/>
          <w:i/>
          <w:color w:val="000000"/>
        </w:rPr>
        <w:t xml:space="preserve">Journal of Hydrometeorology</w:t>
      </w:r>
      <w:r>
        <w:rPr>
          <w:rFonts w:eastAsia="georgia" w:cs="georgia" w:ascii="georgia" w:hAnsi="georgia"/>
          <w:color w:val="000000"/>
        </w:rPr>
        <w:t xml:space="preserve">, 12, 474–480.</w:t>
      </w:r>
      <w:r>
        <w:rPr>
          <w:rFonts w:eastAsia="georgia" w:cs="georgia" w:ascii="georgia" w:hAnsi="georgia"/>
          <w:color w:val="000000"/>
        </w:rPr>
        <w:br w:type="textWrapping"/>
      </w:r>
      <w:r>
        <w:rPr>
          <w:rFonts w:eastAsia="georgia" w:cs="georgia" w:ascii="georgia" w:hAnsi="georgia"/>
          <w:i/>
          <w:color w:val="000000"/>
        </w:rPr>
        <w:t xml:space="preserve">This paper is the definitive source for the two-stage lag structure (QDO→P: 3 yr; P→GSL: 3 yr; total 6 yr). Its Figure 1 caption provides the canonical statement used throughout this report. Equation 1 (PLag model) provides the specific regression lag coefficients (t−8 dominant near-term term; t−42 IPO term) that justify the RC model's 8-year pdoAmp parameter.</w:t>
      </w:r>
    </w:p>
    <w:p>
      <w:pPr>
        <w:spacing w:line="360" w:after="210" w:lineRule="auto"/>
      </w:pPr>
      <w:r>
        <w:rPr>
          <w:rFonts w:eastAsia="georgia" w:cs="georgia" w:ascii="georgia" w:hAnsi="georgia"/>
          <w:b/>
          <w:color w:val="000000"/>
        </w:rPr>
        <w:t xml:space="preserve">DeRose, R.J., Bekker, M.F., Wang, S.-Y., et al. (2015).</w:t>
      </w:r>
      <w:r>
        <w:rPr>
          <w:rFonts w:eastAsia="georgia" w:cs="georgia" w:ascii="georgia" w:hAnsi="georgia"/>
          <w:color w:val="000000"/>
        </w:rPr>
        <w:t xml:space="preserve"> A millennium-length reconstruction of Bear River stream flow, Utah. </w:t>
      </w:r>
      <w:r>
        <w:rPr>
          <w:rFonts w:eastAsia="georgia" w:cs="georgia" w:ascii="georgia" w:hAnsi="georgia"/>
          <w:i/>
          <w:color w:val="000000"/>
        </w:rPr>
        <w:t xml:space="preserve">Journal of Hydrology</w:t>
      </w:r>
      <w:r>
        <w:rPr>
          <w:rFonts w:eastAsia="georgia" w:cs="georgia" w:ascii="georgia" w:hAnsi="georgia"/>
          <w:color w:val="000000"/>
        </w:rPr>
        <w:t xml:space="preserve">, in press.</w:t>
      </w:r>
      <w:r>
        <w:rPr>
          <w:rFonts w:eastAsia="georgia" w:cs="georgia" w:ascii="georgia" w:hAnsi="georgia"/>
          <w:color w:val="000000"/>
        </w:rPr>
        <w:br w:type="textWrapping"/>
      </w:r>
      <w:r>
        <w:rPr>
          <w:rFonts w:eastAsia="georgia" w:cs="georgia" w:ascii="georgia" w:hAnsi="georgia"/>
          <w:i/>
          <w:color w:val="000000"/>
        </w:rPr>
        <w:t xml:space="preserve">Documents quasi-decadal (7–8 yr) and multi-decadal (30 yr) periodicity in Bear River flow — the primary GSL tributary. Confirms that atmospheric teleconnections from the western tropical Pacific drive precipitation during the October–December season of the prior year (1-yr ENSO→P lag for northern Utah). Establishes the paleoclimate context: the latter half of the 20th century was the 2nd wettest 40-year period in 1,200 years, meaning the baseline against which the current drought is measured was anomalously wet.</w:t>
      </w:r>
    </w:p>
    <w:p>
      <w:pPr>
        <w:spacing w:line="360" w:after="210" w:lineRule="auto"/>
      </w:pPr>
      <w:r>
        <w:rPr>
          <w:rFonts w:eastAsia="georgia" w:cs="georgia" w:ascii="georgia" w:hAnsi="georgia"/>
          <w:b/>
          <w:color w:val="000000"/>
        </w:rPr>
        <w:t xml:space="preserve">Wang, S.-Y. (Feb–Mar 2026, personal correspondence).</w:t>
      </w:r>
      <w:r>
        <w:rPr>
          <w:rFonts w:eastAsia="georgia" w:cs="georgia" w:ascii="georgia" w:hAnsi="georgia"/>
          <w:color w:val="000000"/>
        </w:rPr>
        <w:t xml:space="preserve"> Emails to Harvey, I.R.</w:t>
      </w:r>
      <w:r>
        <w:rPr>
          <w:rFonts w:eastAsia="georgia" w:cs="georgia" w:ascii="georgia" w:hAnsi="georgia"/>
          <w:color w:val="000000"/>
        </w:rPr>
        <w:br w:type="textWrapping"/>
      </w:r>
      <w:r>
        <w:rPr>
          <w:rFonts w:eastAsia="georgia" w:cs="georgia" w:ascii="georgia" w:hAnsi="georgia"/>
          <w:i/>
          <w:color w:val="000000"/>
        </w:rPr>
        <w:t xml:space="preserve">Wang clarifies that PDO should be treated as an integrating indicator (not a driver), describes the lag structure as "very RC-like," endorses the 8-year lag parameter, and suggests specific text edits to Section 1.2 of the RC white paper. He explicitly flags the spectral coherence in the 15–25-year band and notes that the 8-year model parameter represents the physical transit time for the watershed's capacitance to respond. Wang also flags the need to frame PDO as an indicator of the broader Pacific climate regime rather than a deterministic forcing.</w:t>
      </w:r>
    </w:p>
    <w:p>
      <w:pPr>
        <w:spacing w:line="360" w:after="210" w:lineRule="auto"/>
      </w:pPr>
      <w:r>
        <w:rPr>
          <w:rFonts w:eastAsia="georgia" w:cs="georgia" w:ascii="georgia" w:hAnsi="georgia"/>
          <w:b/>
          <w:color w:val="000000"/>
        </w:rPr>
        <w:t xml:space="preserve">NOAA Climate Prediction Center (2026, April 9).</w:t>
      </w:r>
      <w:r>
        <w:rPr>
          <w:rFonts w:eastAsia="georgia" w:cs="georgia" w:ascii="georgia" w:hAnsi="georgia"/>
          <w:color w:val="000000"/>
        </w:rPr>
        <w:t xml:space="preserve"> ENSO Diagnostic Discussion.</w:t>
      </w:r>
      <w:r>
        <w:rPr>
          <w:rFonts w:eastAsia="georgia" w:cs="georgia" w:ascii="georgia" w:hAnsi="georgia"/>
          <w:color w:val="000000"/>
        </w:rPr>
        <w:br w:type="textWrapping"/>
      </w:r>
      <w:r>
        <w:rPr>
          <w:rFonts w:eastAsia="georgia" w:cs="georgia" w:ascii="georgia" w:hAnsi="georgia"/>
          <w:i/>
          <w:color w:val="000000"/>
        </w:rPr>
        <w:t xml:space="preserve">Official source establishing 61% El Niño emergence probability by May–July 2026 and 25% probability of "very strong" (Super) El Niño by DJF 2026–27.</w:t>
      </w:r>
    </w:p>
    <w:p>
      <w:pPr>
        <w:spacing w:line="360" w:after="210" w:lineRule="auto"/>
      </w:pPr>
      <w:r>
        <w:rPr>
          <w:rFonts w:eastAsia="georgia" w:cs="georgia" w:ascii="georgia" w:hAnsi="georgia"/>
          <w:b/>
          <w:color w:val="000000"/>
        </w:rPr>
        <w:t xml:space="preserve">NIFC Monthly Outlook (2026, May 1).</w:t>
      </w:r>
      <w:r>
        <w:rPr>
          <w:rFonts w:eastAsia="georgia" w:cs="georgia" w:ascii="georgia" w:hAnsi="georgia"/>
          <w:color w:val="000000"/>
        </w:rPr>
        <w:t xml:space="preserve"> June 2026 Outlook Period.</w:t>
      </w:r>
      <w:r>
        <w:rPr>
          <w:rFonts w:eastAsia="georgia" w:cs="georgia" w:ascii="georgia" w:hAnsi="georgia"/>
          <w:color w:val="000000"/>
        </w:rPr>
        <w:br w:type="textWrapping"/>
      </w:r>
      <w:r>
        <w:rPr>
          <w:rFonts w:eastAsia="georgia" w:cs="georgia" w:ascii="georgia" w:hAnsi="georgia"/>
          <w:i/>
          <w:color w:val="000000"/>
        </w:rPr>
        <w:t xml:space="preserve">Confirms PDO remains in negative phase and is forecast to remain negative through the outlook period — the critical constraint on the 2026 AR scenario.</w:t>
      </w:r>
    </w:p>
    <w:p>
      <w:pPr>
        <w:spacing w:line="360" w:after="210" w:lineRule="auto"/>
      </w:pPr>
      <w:r>
        <w:rPr>
          <w:rFonts w:eastAsia="georgia" w:cs="georgia" w:ascii="georgia" w:hAnsi="georgia"/>
          <w:b/>
          <w:color w:val="000000"/>
        </w:rPr>
        <w:t xml:space="preserve">Climate Impact Company (2025, April 9).</w:t>
      </w:r>
      <w:r>
        <w:rPr>
          <w:rFonts w:eastAsia="georgia" w:cs="georgia" w:ascii="georgia" w:hAnsi="georgia"/>
          <w:color w:val="000000"/>
        </w:rPr>
        <w:t xml:space="preserve"> Pacific Decadal Oscillation Outlook: Are We Due for a Cycle Change?</w:t>
      </w:r>
      <w:r>
        <w:rPr>
          <w:rFonts w:eastAsia="georgia" w:cs="georgia" w:ascii="georgia" w:hAnsi="georgia"/>
          <w:color w:val="000000"/>
        </w:rPr>
        <w:br w:type="textWrapping"/>
      </w:r>
      <w:r>
        <w:rPr>
          <w:rFonts w:eastAsia="georgia" w:cs="georgia" w:ascii="georgia" w:hAnsi="georgia"/>
          <w:i/>
          <w:color w:val="000000"/>
        </w:rPr>
        <w:t xml:space="preserve">Documents that the cool PDO cycle is approaching 30 years — matching the longest cool cycle on record (1947–1977). Constructed analog forecast does not project a phase change through 2026. Notes that the "new" negative PDO has shifted character: its North American precipitation impacts now resemble a positive PDO (warm and dry bias in the West) rather than the "old" negative PDO wet signal. This amplifies the suppression paradox for the 2026 GSL scenario.</w:t>
      </w:r>
    </w:p>
    <w:p>
      <w:pPr>
        <w:spacing w:line="360" w:after="210" w:lineRule="auto"/>
      </w:pPr>
      <w:r>
        <w:rPr>
          <w:rFonts w:eastAsia="georgia" w:cs="georgia" w:ascii="georgia" w:hAnsi="georgia"/>
          <w:b/>
          <w:color w:val="000000"/>
        </w:rPr>
        <w:t xml:space="preserve">Reddit/NOAA PDO data (2025, August).</w:t>
      </w:r>
      <w:r>
        <w:rPr>
          <w:rFonts w:eastAsia="georgia" w:cs="georgia" w:ascii="georgia" w:hAnsi="georgia"/>
          <w:color w:val="000000"/>
        </w:rPr>
        <w:t xml:space="preserve"> Pacific Decadal Oscillation at 170-year low.</w:t>
      </w:r>
      <w:r>
        <w:rPr>
          <w:rFonts w:eastAsia="georgia" w:cs="georgia" w:ascii="georgia" w:hAnsi="georgia"/>
          <w:color w:val="000000"/>
        </w:rPr>
        <w:br w:type="textWrapping"/>
      </w:r>
      <w:r>
        <w:rPr>
          <w:rFonts w:eastAsia="georgia" w:cs="georgia" w:ascii="georgia" w:hAnsi="georgia"/>
          <w:i/>
          <w:color w:val="000000"/>
        </w:rPr>
        <w:t xml:space="preserve">Reports July 2025 PDO index reached −4.0 sigma — the most negative reading in the observational record (dating to ~1854). Contextualizes the magnitude of the current PDO suppression effect.</w:t>
      </w:r>
    </w:p>
    <w:p>
      <w:pPr>
        <w:spacing w:line="360" w:after="210" w:lineRule="auto"/>
      </w:pPr>
      <w:r>
        <w:rPr>
          <w:rFonts w:eastAsia="georgia" w:cs="georgia" w:ascii="georgia" w:hAnsi="georgia"/>
          <w:b/>
          <w:color w:val="000000"/>
        </w:rPr>
      </w:r>
      <w:hyperlink r:id="rId5">
        <w:r>
          <w:rPr>
            <w:rFonts w:eastAsia="georgia" w:cs="georgia" w:ascii="georgia" w:hAnsi="georgia"/>
            <w:b/>
            <w:color w:val="#000"/>
            <w:u w:val="single"/>
          </w:rPr>
          <w:t xml:space="preserve">Severe-Weather.EU</w:t>
        </w:r>
      </w:hyperlink>
      <w:r>
        <w:rPr>
          <w:rFonts w:eastAsia="georgia" w:cs="georgia" w:ascii="georgia" w:hAnsi="georgia"/>
          <w:b/>
          <w:color w:val="000000"/>
        </w:rPr>
        <w:t xml:space="preserve"> (2026, May 6).</w:t>
      </w:r>
      <w:r>
        <w:rPr>
          <w:rFonts w:eastAsia="georgia" w:cs="georgia" w:ascii="georgia" w:hAnsi="georgia"/>
          <w:color w:val="000000"/>
        </w:rPr>
        <w:t xml:space="preserve"> Super El Niño 2026 forecast.</w:t>
      </w:r>
      <w:r>
        <w:rPr>
          <w:rFonts w:eastAsia="georgia" w:cs="georgia" w:ascii="georgia" w:hAnsi="georgia"/>
          <w:color w:val="000000"/>
        </w:rPr>
        <w:br w:type="textWrapping"/>
      </w:r>
      <w:r>
        <w:rPr>
          <w:rFonts w:eastAsia="georgia" w:cs="georgia" w:ascii="georgia" w:hAnsi="georgia"/>
          <w:i/>
          <w:color w:val="000000"/>
        </w:rPr>
        <w:t xml:space="preserve">Summary of ECMWF/NOAA/BOM ensemble alignment on a high-impact El Niño trajectory, with multiple ensemble members projecting Niño3.4 &gt; +2.5°C by fall 2026. Provides the atmospheric Velocity Potential and 500mb anomaly maps confirming El Niño circulation configuration developing in early summer.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evere-Weather.EU"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2026-05-11T23:57:22.132Z</dcterms:created>
  <dcterms:modified xsi:type="dcterms:W3CDTF">2026-05-11T23:57:22.132Z</dcterms:modified>
</cp:coreProperties>
</file>