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sz w:val="22"/>
        </w:rPr>
        <w:t>KONECTA BTO, S.L. SUCURSAL EN PERU</w:t>
      </w:r>
    </w:p>
    <w:p w14:paraId="6B154C8A" w14:textId="40C5D8E6" w:rsidR="00BB656C" w:rsidRDefault="00FD6A21" w:rsidP="007D028C">
      <w:pPr>
        <w:rPr>
          <w:rFonts w:ascii="Arial" w:hAnsi="Arial" w:cs="Arial"/>
          <w:color w:val="000000"/>
          <w:sz w:val="22"/>
          <w:szCs w:val="22"/>
        </w:rPr>
      </w:pPr>
      <w:r>
        <w:rPr>
          <w:rFonts w:ascii="Arial" w:hAnsi="Arial"/>
          <w:sz w:val="22"/>
        </w:rPr>
        <w:t xml:space="preserve">Av. Elmer Faucett Nro. 2889 (Edificio B, Tercer Piso) , Callao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Callao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sz w:val="22"/>
        </w:rPr>
        <w:t>Lima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ascii="Arial" w:hAnsi="Arial"/>
          <w:sz w:val="22"/>
          <w:szCs w:val="22"/>
        </w:rPr>
        <w:t>De nuestra consideración</w:t>
      </w:r>
      <w:r w:rsidR="00566416" w:rsidRPr="00706359">
        <w:rPr>
          <w:rFonts w:cs="Arial" w:ascii="Arial" w:hAnsi="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35 días de vencida (anexo 1) ascendente a S/ 229396.08 (dos mil trescientos noventa y seis con 08/100 soles) y deuda por vencer ascendente a S/ 47.58 (cuarenta y siete con 58/100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22"/>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sz w:val="22"/>
        </w:rPr>
        <w:t>DEUDA HASTA 35 DÍAS DE VENCIDA</w:t>
      </w:r>
    </w:p>
    <w:p w14:paraId="42DF91AF" w14:textId="58801D38" w:rsidR="00DB0AC2" w:rsidRDefault="0045621E" w:rsidP="0045621E">
      <w:pPr>
        <w:jc w:val="center"/>
        <w:rPr>
          <w:rFonts w:ascii="Arial" w:hAnsi="Arial" w:cs="Arial"/>
          <w:sz w:val="22"/>
          <w:szCs w:val="22"/>
        </w:rPr>
      </w:pPr>
      <w:r>
        <w:rPr>
          <w:rFonts w:ascii="Arial" w:hAnsi="Arial"/>
          <w:sz w:val="22"/>
        </w:rPr>
        <w:t>KONECTA BTO, S.L. SUCURSAL EN PERU</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rFonts w:ascii="Arial" w:hAnsi="Arial"/>
          <w:noProof/>
          <w:sz w:val="22"/>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