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3C1AB" w14:textId="44224978" w:rsidR="00DF4076" w:rsidRPr="00DF4076" w:rsidRDefault="00DF4076" w:rsidP="00DF4076">
      <w:pPr>
        <w:pStyle w:val="NormalWeb"/>
        <w:jc w:val="center"/>
        <w:rPr>
          <w:b/>
          <w:bCs/>
          <w:sz w:val="28"/>
          <w:szCs w:val="28"/>
        </w:rPr>
      </w:pPr>
      <w:r w:rsidRPr="00DF4076">
        <w:rPr>
          <w:b/>
          <w:bCs/>
          <w:sz w:val="28"/>
          <w:szCs w:val="28"/>
        </w:rPr>
        <w:t>Paralelă comparativă între cele trei forme ale educaţiei:</w:t>
      </w:r>
    </w:p>
    <w:p w14:paraId="36E38A0F" w14:textId="6108AB7A" w:rsidR="00DF4076" w:rsidRPr="00DF4076" w:rsidRDefault="00DF4076" w:rsidP="00DF4076">
      <w:pPr>
        <w:jc w:val="center"/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120"/>
        <w:gridCol w:w="4536"/>
        <w:gridCol w:w="3969"/>
      </w:tblGrid>
      <w:tr w:rsidR="00DF4076" w:rsidRPr="00DF4076" w14:paraId="780D4C1C" w14:textId="77777777" w:rsidTr="00C306E1">
        <w:trPr>
          <w:trHeight w:val="662"/>
        </w:trPr>
        <w:tc>
          <w:tcPr>
            <w:tcW w:w="2254" w:type="dxa"/>
          </w:tcPr>
          <w:p w14:paraId="4E3F486E" w14:textId="72696598" w:rsidR="00DF4076" w:rsidRPr="00DF4076" w:rsidRDefault="00DF4076" w:rsidP="00DF4076">
            <w:pPr>
              <w:pStyle w:val="NormalWeb"/>
              <w:jc w:val="center"/>
            </w:pPr>
            <w:r w:rsidRPr="00DF4076">
              <w:rPr>
                <w:b/>
                <w:bCs/>
              </w:rPr>
              <w:t>Criterii de comparaţie</w:t>
            </w:r>
          </w:p>
          <w:p w14:paraId="00648C13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20" w:type="dxa"/>
          </w:tcPr>
          <w:p w14:paraId="71AF749A" w14:textId="506B72BA" w:rsidR="00DF4076" w:rsidRPr="00DF4076" w:rsidRDefault="00DF4076" w:rsidP="00DF4076">
            <w:pPr>
              <w:pStyle w:val="NormalWeb"/>
              <w:jc w:val="center"/>
            </w:pPr>
            <w:r w:rsidRPr="00DF4076">
              <w:rPr>
                <w:b/>
                <w:bCs/>
              </w:rPr>
              <w:t>Educaţia formală</w:t>
            </w:r>
          </w:p>
          <w:p w14:paraId="2C5E5965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3A983CC7" w14:textId="14689D98" w:rsidR="00DF4076" w:rsidRPr="00DF4076" w:rsidRDefault="00DF4076" w:rsidP="00C306E1">
            <w:pPr>
              <w:pStyle w:val="NormalWeb"/>
              <w:jc w:val="center"/>
            </w:pPr>
            <w:r w:rsidRPr="00DF4076">
              <w:rPr>
                <w:b/>
                <w:bCs/>
              </w:rPr>
              <w:t>Educaţia nonformală</w:t>
            </w:r>
          </w:p>
        </w:tc>
        <w:tc>
          <w:tcPr>
            <w:tcW w:w="3969" w:type="dxa"/>
          </w:tcPr>
          <w:p w14:paraId="14AD8814" w14:textId="09CD45DB" w:rsidR="00DF4076" w:rsidRPr="00DF4076" w:rsidRDefault="00DF4076" w:rsidP="00DF4076">
            <w:pPr>
              <w:pStyle w:val="NormalWeb"/>
              <w:jc w:val="center"/>
            </w:pPr>
            <w:r w:rsidRPr="00DF4076">
              <w:rPr>
                <w:b/>
                <w:bCs/>
              </w:rPr>
              <w:t>Educaţia informală</w:t>
            </w:r>
          </w:p>
          <w:p w14:paraId="7D607249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</w:tr>
      <w:tr w:rsidR="00DF4076" w:rsidRPr="00DF4076" w14:paraId="507E27B8" w14:textId="77777777" w:rsidTr="00C306E1">
        <w:trPr>
          <w:trHeight w:val="692"/>
        </w:trPr>
        <w:tc>
          <w:tcPr>
            <w:tcW w:w="2254" w:type="dxa"/>
          </w:tcPr>
          <w:p w14:paraId="312DB619" w14:textId="01ECF081" w:rsidR="00DF4076" w:rsidRPr="00DF4076" w:rsidRDefault="00DF4076" w:rsidP="00DF4076">
            <w:pPr>
              <w:jc w:val="center"/>
              <w:rPr>
                <w:rFonts w:ascii="Times New Roman" w:hAnsi="Times New Roman"/>
                <w:lang w:val="ro-RO"/>
              </w:rPr>
            </w:pPr>
            <w:r w:rsidRPr="00DF4076">
              <w:rPr>
                <w:rFonts w:ascii="Times New Roman" w:hAnsi="Times New Roman"/>
                <w:lang w:val="ro-RO"/>
              </w:rPr>
              <w:t>Scop</w:t>
            </w:r>
          </w:p>
        </w:tc>
        <w:tc>
          <w:tcPr>
            <w:tcW w:w="4120" w:type="dxa"/>
          </w:tcPr>
          <w:p w14:paraId="41AFB486" w14:textId="75E17462" w:rsidR="00DF4076" w:rsidRPr="00C306E1" w:rsidRDefault="00DF4076" w:rsidP="00C306E1">
            <w:pPr>
              <w:pStyle w:val="NormalWeb"/>
              <w:shd w:val="clear" w:color="auto" w:fill="FFFFFF"/>
              <w:jc w:val="center"/>
            </w:pPr>
            <w:r w:rsidRPr="00DF4076">
              <w:rPr>
                <w:lang w:val="ro-RO"/>
              </w:rPr>
              <w:t xml:space="preserve">Acces structurat la </w:t>
            </w:r>
            <w:r w:rsidRPr="00DF4076">
              <w:t>valorile culturale în vederea integrării socio-profesionale</w:t>
            </w:r>
          </w:p>
        </w:tc>
        <w:tc>
          <w:tcPr>
            <w:tcW w:w="4536" w:type="dxa"/>
          </w:tcPr>
          <w:p w14:paraId="0CAD518C" w14:textId="0667D7BA" w:rsidR="00DF4076" w:rsidRPr="00DF4076" w:rsidRDefault="00DF4076" w:rsidP="00DF4076">
            <w:pPr>
              <w:jc w:val="center"/>
              <w:rPr>
                <w:rFonts w:ascii="Times New Roman" w:hAnsi="Times New Roman"/>
                <w:lang w:val="ro-RO"/>
              </w:rPr>
            </w:pPr>
            <w:r w:rsidRPr="00DF4076">
              <w:rPr>
                <w:rFonts w:ascii="Times New Roman" w:hAnsi="Times New Roman"/>
                <w:lang w:val="ro-RO"/>
              </w:rPr>
              <w:t>Completează educația formală</w:t>
            </w:r>
          </w:p>
        </w:tc>
        <w:tc>
          <w:tcPr>
            <w:tcW w:w="3969" w:type="dxa"/>
          </w:tcPr>
          <w:p w14:paraId="4DD39C44" w14:textId="0022F356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rPr>
                <w:lang w:val="ro-RO"/>
              </w:rPr>
              <w:t xml:space="preserve">Spectru larg </w:t>
            </w:r>
          </w:p>
          <w:p w14:paraId="701E2BAB" w14:textId="4A1EAF6C" w:rsidR="00DF4076" w:rsidRPr="00DF4076" w:rsidRDefault="00DF4076" w:rsidP="00DF4076">
            <w:pPr>
              <w:jc w:val="center"/>
              <w:rPr>
                <w:rFonts w:ascii="Times New Roman" w:hAnsi="Times New Roman"/>
                <w:lang w:val="ro-RO"/>
              </w:rPr>
            </w:pPr>
          </w:p>
        </w:tc>
      </w:tr>
      <w:tr w:rsidR="00DF4076" w:rsidRPr="00DF4076" w14:paraId="20561530" w14:textId="77777777" w:rsidTr="00DF4076">
        <w:tc>
          <w:tcPr>
            <w:tcW w:w="2254" w:type="dxa"/>
          </w:tcPr>
          <w:p w14:paraId="12C6AD91" w14:textId="7435ED38" w:rsidR="00DF4076" w:rsidRPr="00DF4076" w:rsidRDefault="00DF4076" w:rsidP="00DF4076">
            <w:pPr>
              <w:jc w:val="center"/>
              <w:rPr>
                <w:rFonts w:ascii="Times New Roman" w:hAnsi="Times New Roman"/>
                <w:lang w:val="ro-RO"/>
              </w:rPr>
            </w:pPr>
            <w:r w:rsidRPr="00DF4076">
              <w:rPr>
                <w:rFonts w:ascii="Times New Roman" w:hAnsi="Times New Roman"/>
                <w:lang w:val="ro-RO"/>
              </w:rPr>
              <w:t>Cadru</w:t>
            </w:r>
          </w:p>
        </w:tc>
        <w:tc>
          <w:tcPr>
            <w:tcW w:w="4120" w:type="dxa"/>
          </w:tcPr>
          <w:p w14:paraId="22E38005" w14:textId="0AF6BB79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Instituţionalizat, şcoli</w:t>
            </w:r>
          </w:p>
          <w:p w14:paraId="6AFD407B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109FA05A" w14:textId="46884C3C" w:rsidR="00DF4076" w:rsidRPr="00DF4076" w:rsidRDefault="00DF4076" w:rsidP="00C306E1">
            <w:pPr>
              <w:pStyle w:val="NormalWeb"/>
              <w:shd w:val="clear" w:color="auto" w:fill="FFFFFF"/>
              <w:jc w:val="center"/>
            </w:pPr>
            <w:r w:rsidRPr="00DF4076">
              <w:t>Instituţionalizat, dar în afara sistemului de învăţământ</w:t>
            </w:r>
          </w:p>
        </w:tc>
        <w:tc>
          <w:tcPr>
            <w:tcW w:w="3969" w:type="dxa"/>
          </w:tcPr>
          <w:p w14:paraId="1E857145" w14:textId="515AAC22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Neinstituţionalizat din punct de vedere pedagogic</w:t>
            </w:r>
          </w:p>
          <w:p w14:paraId="56D7654D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</w:tr>
      <w:tr w:rsidR="00DF4076" w:rsidRPr="00DF4076" w14:paraId="63B54819" w14:textId="77777777" w:rsidTr="00DF4076">
        <w:tc>
          <w:tcPr>
            <w:tcW w:w="2254" w:type="dxa"/>
          </w:tcPr>
          <w:p w14:paraId="2BBD3E6C" w14:textId="1E8A7E87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Modalităţi de realizare</w:t>
            </w:r>
          </w:p>
          <w:p w14:paraId="2177A097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120" w:type="dxa"/>
          </w:tcPr>
          <w:p w14:paraId="055885A5" w14:textId="5129AABF" w:rsidR="00DF4076" w:rsidRPr="00DF4076" w:rsidRDefault="00DF4076" w:rsidP="00C306E1">
            <w:pPr>
              <w:pStyle w:val="NormalWeb"/>
              <w:shd w:val="clear" w:color="auto" w:fill="FFFFFF"/>
              <w:jc w:val="center"/>
            </w:pPr>
            <w:r w:rsidRPr="00DF4076">
              <w:t>Activităţi didactice riguros planificate, organizate, evaluate, în raport cu finalităţi, conţinuturi, strategii de instruire şi de evaluare</w:t>
            </w:r>
          </w:p>
        </w:tc>
        <w:tc>
          <w:tcPr>
            <w:tcW w:w="4536" w:type="dxa"/>
          </w:tcPr>
          <w:p w14:paraId="7BCFF89F" w14:textId="5E7477C7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Activităţi extradidactice (cercuri pe discipline, concursuri, olimpiade, competiţii) şi extraşcolare.</w:t>
            </w:r>
          </w:p>
          <w:p w14:paraId="300BB4AE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69" w:type="dxa"/>
          </w:tcPr>
          <w:p w14:paraId="051503E9" w14:textId="532F4751" w:rsidR="00DF4076" w:rsidRPr="000970A0" w:rsidRDefault="00DF4076" w:rsidP="00DF4076">
            <w:pPr>
              <w:pStyle w:val="NormalWeb"/>
              <w:shd w:val="clear" w:color="auto" w:fill="FFFFFF"/>
              <w:jc w:val="center"/>
              <w:rPr>
                <w:lang w:val="ro-RO"/>
              </w:rPr>
            </w:pPr>
            <w:r w:rsidRPr="00DF4076">
              <w:t xml:space="preserve">Spectru larg, </w:t>
            </w:r>
            <w:r w:rsidR="000970A0">
              <w:rPr>
                <w:lang w:val="ro-RO"/>
              </w:rPr>
              <w:t>diverse metode de realizare a activităților.</w:t>
            </w:r>
          </w:p>
          <w:p w14:paraId="4C1F315B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</w:tr>
      <w:tr w:rsidR="00DF4076" w:rsidRPr="00DF4076" w14:paraId="2534012F" w14:textId="77777777" w:rsidTr="00DF4076">
        <w:tc>
          <w:tcPr>
            <w:tcW w:w="2254" w:type="dxa"/>
          </w:tcPr>
          <w:p w14:paraId="3C9BD155" w14:textId="3673867E" w:rsidR="00DF4076" w:rsidRPr="00DF4076" w:rsidRDefault="00DF4076" w:rsidP="00DF4076">
            <w:pPr>
              <w:jc w:val="center"/>
              <w:rPr>
                <w:rFonts w:ascii="Times New Roman" w:hAnsi="Times New Roman"/>
                <w:lang w:val="ro-RO"/>
              </w:rPr>
            </w:pPr>
            <w:r w:rsidRPr="00DF4076">
              <w:rPr>
                <w:rFonts w:ascii="Times New Roman" w:hAnsi="Times New Roman"/>
                <w:lang w:val="ro-RO"/>
              </w:rPr>
              <w:t>Obiective</w:t>
            </w:r>
          </w:p>
        </w:tc>
        <w:tc>
          <w:tcPr>
            <w:tcW w:w="4120" w:type="dxa"/>
          </w:tcPr>
          <w:p w14:paraId="001886DA" w14:textId="77777777" w:rsidR="00DF4076" w:rsidRDefault="00DF4076" w:rsidP="00C306E1">
            <w:pPr>
              <w:pStyle w:val="NormalWeb"/>
              <w:shd w:val="clear" w:color="auto" w:fill="FFFFFF"/>
              <w:jc w:val="center"/>
            </w:pPr>
            <w:r w:rsidRPr="00DF4076">
              <w:t>În documente curriculare: oficiale (planuri, manuale, materiale auxiliare), ale şcolii (orar, catalog, rapoarte), ale profesorului (planificări, proiecte, schiţe)</w:t>
            </w:r>
          </w:p>
          <w:p w14:paraId="40BA7316" w14:textId="7A649797" w:rsidR="000970A0" w:rsidRPr="000970A0" w:rsidRDefault="000970A0" w:rsidP="00C306E1">
            <w:pPr>
              <w:pStyle w:val="NormalWeb"/>
              <w:shd w:val="clear" w:color="auto" w:fill="FFFFFF"/>
              <w:jc w:val="center"/>
              <w:rPr>
                <w:sz w:val="8"/>
                <w:szCs w:val="8"/>
              </w:rPr>
            </w:pPr>
          </w:p>
        </w:tc>
        <w:tc>
          <w:tcPr>
            <w:tcW w:w="4536" w:type="dxa"/>
          </w:tcPr>
          <w:p w14:paraId="752042EF" w14:textId="49D2EDF9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Documente de proiectare a acţiunilor quasioficiale</w:t>
            </w:r>
          </w:p>
          <w:p w14:paraId="4BDDD83A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69" w:type="dxa"/>
          </w:tcPr>
          <w:p w14:paraId="3881EF4D" w14:textId="3C0053B5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Conţinut variat, neorganizat din punct de vedere pedagogic</w:t>
            </w:r>
          </w:p>
          <w:p w14:paraId="18BCFC9E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</w:tr>
      <w:tr w:rsidR="00DF4076" w:rsidRPr="00DF4076" w14:paraId="74E39406" w14:textId="77777777" w:rsidTr="00DF4076">
        <w:tc>
          <w:tcPr>
            <w:tcW w:w="2254" w:type="dxa"/>
          </w:tcPr>
          <w:p w14:paraId="571E1C00" w14:textId="73980FF5" w:rsidR="00DF4076" w:rsidRPr="00DF4076" w:rsidRDefault="00DF4076" w:rsidP="00DF4076">
            <w:pPr>
              <w:jc w:val="center"/>
              <w:rPr>
                <w:rFonts w:ascii="Times New Roman" w:hAnsi="Times New Roman"/>
                <w:lang w:val="ro-RO"/>
              </w:rPr>
            </w:pPr>
            <w:r w:rsidRPr="00DF4076">
              <w:rPr>
                <w:rFonts w:ascii="Times New Roman" w:hAnsi="Times New Roman"/>
                <w:lang w:val="ro-RO"/>
              </w:rPr>
              <w:t>Agenți</w:t>
            </w:r>
          </w:p>
        </w:tc>
        <w:tc>
          <w:tcPr>
            <w:tcW w:w="4120" w:type="dxa"/>
          </w:tcPr>
          <w:p w14:paraId="3925011F" w14:textId="24E06FB1" w:rsidR="00DF4076" w:rsidRPr="00C306E1" w:rsidRDefault="00DF4076" w:rsidP="00C306E1">
            <w:pPr>
              <w:pStyle w:val="NormalWeb"/>
              <w:shd w:val="clear" w:color="auto" w:fill="FFFFFF"/>
              <w:jc w:val="center"/>
              <w:rPr>
                <w:lang w:val="ro-RO"/>
              </w:rPr>
            </w:pPr>
            <w:r w:rsidRPr="00DF4076">
              <w:t>Personal specializat didactic şi auxilia</w:t>
            </w:r>
            <w:r w:rsidR="00C306E1">
              <w:rPr>
                <w:lang w:val="ro-RO"/>
              </w:rPr>
              <w:t>r</w:t>
            </w:r>
          </w:p>
        </w:tc>
        <w:tc>
          <w:tcPr>
            <w:tcW w:w="4536" w:type="dxa"/>
          </w:tcPr>
          <w:p w14:paraId="1A33A6D5" w14:textId="10AE887E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Asociaţii, ONG-uri, organizaţii, diverse persoane etc.</w:t>
            </w:r>
          </w:p>
          <w:p w14:paraId="5BA8C2EC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69" w:type="dxa"/>
          </w:tcPr>
          <w:p w14:paraId="174448B6" w14:textId="12B7118F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Părinţi, rude, prieteni, alţi agenţi sociali</w:t>
            </w:r>
          </w:p>
          <w:p w14:paraId="744ACE91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</w:tr>
      <w:tr w:rsidR="00DF4076" w:rsidRPr="00DF4076" w14:paraId="371072F3" w14:textId="77777777" w:rsidTr="00DF4076">
        <w:tc>
          <w:tcPr>
            <w:tcW w:w="2254" w:type="dxa"/>
          </w:tcPr>
          <w:p w14:paraId="59B2940D" w14:textId="1D962D08" w:rsidR="00DF4076" w:rsidRPr="00DF4076" w:rsidRDefault="00DF4076" w:rsidP="00DF4076">
            <w:pPr>
              <w:jc w:val="center"/>
              <w:rPr>
                <w:rFonts w:ascii="Times New Roman" w:hAnsi="Times New Roman"/>
                <w:lang w:val="ro-RO"/>
              </w:rPr>
            </w:pPr>
            <w:r w:rsidRPr="00DF4076">
              <w:rPr>
                <w:rFonts w:ascii="Times New Roman" w:hAnsi="Times New Roman"/>
                <w:lang w:val="ro-RO"/>
              </w:rPr>
              <w:t>Evaluare</w:t>
            </w:r>
          </w:p>
        </w:tc>
        <w:tc>
          <w:tcPr>
            <w:tcW w:w="4120" w:type="dxa"/>
          </w:tcPr>
          <w:p w14:paraId="5B47C0F6" w14:textId="14294EE1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Criterială, riguroasă</w:t>
            </w:r>
          </w:p>
          <w:p w14:paraId="32E6A9E3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7090C81B" w14:textId="0FC3BC7F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Facultativă şi stimulatoare, cu excepţia evaluărilor din cadrul concursurilor, competiţiilor</w:t>
            </w:r>
          </w:p>
          <w:p w14:paraId="56104A45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69" w:type="dxa"/>
          </w:tcPr>
          <w:p w14:paraId="410F3387" w14:textId="632314CC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Realizată individual, grupal şi social</w:t>
            </w:r>
          </w:p>
          <w:p w14:paraId="49FE2CFB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</w:tr>
      <w:tr w:rsidR="00DF4076" w:rsidRPr="00DF4076" w14:paraId="57BC96A7" w14:textId="77777777" w:rsidTr="00DF4076">
        <w:tc>
          <w:tcPr>
            <w:tcW w:w="2254" w:type="dxa"/>
          </w:tcPr>
          <w:p w14:paraId="0D169EFC" w14:textId="386F370C" w:rsidR="00DF4076" w:rsidRPr="00DF4076" w:rsidRDefault="00DF4076" w:rsidP="00DF4076">
            <w:pPr>
              <w:jc w:val="center"/>
              <w:rPr>
                <w:rFonts w:ascii="Times New Roman" w:hAnsi="Times New Roman"/>
                <w:lang w:val="ro-RO"/>
              </w:rPr>
            </w:pPr>
            <w:r w:rsidRPr="00DF4076">
              <w:rPr>
                <w:rFonts w:ascii="Times New Roman" w:hAnsi="Times New Roman"/>
                <w:lang w:val="ro-RO"/>
              </w:rPr>
              <w:lastRenderedPageBreak/>
              <w:t>Timp</w:t>
            </w:r>
          </w:p>
        </w:tc>
        <w:tc>
          <w:tcPr>
            <w:tcW w:w="4120" w:type="dxa"/>
          </w:tcPr>
          <w:p w14:paraId="396DA12A" w14:textId="53E1CCF2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Perioada şcolarităţii obligatorii şi postobligatorii</w:t>
            </w:r>
          </w:p>
          <w:p w14:paraId="37DDE0B2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7E7242DE" w14:textId="18803CE7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Pe parcursul întregii vieţi, dar discontinuă</w:t>
            </w:r>
          </w:p>
          <w:p w14:paraId="5601DA83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69" w:type="dxa"/>
          </w:tcPr>
          <w:p w14:paraId="2A00A163" w14:textId="0AAD2D5B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Toată viaţa</w:t>
            </w:r>
          </w:p>
          <w:p w14:paraId="2028C93B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</w:tr>
      <w:tr w:rsidR="00DF4076" w:rsidRPr="00DF4076" w14:paraId="6C343B2E" w14:textId="77777777" w:rsidTr="00C306E1">
        <w:trPr>
          <w:trHeight w:val="1156"/>
        </w:trPr>
        <w:tc>
          <w:tcPr>
            <w:tcW w:w="2254" w:type="dxa"/>
          </w:tcPr>
          <w:p w14:paraId="78EC63AD" w14:textId="22AA1CB9" w:rsidR="00DF4076" w:rsidRPr="00DF4076" w:rsidRDefault="00DF4076" w:rsidP="00DF4076">
            <w:pPr>
              <w:jc w:val="center"/>
              <w:rPr>
                <w:rFonts w:ascii="Times New Roman" w:hAnsi="Times New Roman"/>
                <w:lang w:val="ro-RO"/>
              </w:rPr>
            </w:pPr>
            <w:r w:rsidRPr="00DF4076">
              <w:rPr>
                <w:rFonts w:ascii="Times New Roman" w:hAnsi="Times New Roman"/>
                <w:lang w:val="ro-RO"/>
              </w:rPr>
              <w:t>Puncte tari</w:t>
            </w:r>
          </w:p>
        </w:tc>
        <w:tc>
          <w:tcPr>
            <w:tcW w:w="4120" w:type="dxa"/>
          </w:tcPr>
          <w:p w14:paraId="11BCF1B7" w14:textId="30B1C1D1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Rigurozitate, profesionalism, organizare</w:t>
            </w:r>
          </w:p>
          <w:p w14:paraId="1FB8C9FA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0F29457A" w14:textId="0C728C17" w:rsidR="00DF4076" w:rsidRPr="00DF4076" w:rsidRDefault="00DF4076" w:rsidP="00C306E1">
            <w:pPr>
              <w:pStyle w:val="NormalWeb"/>
              <w:shd w:val="clear" w:color="auto" w:fill="FFFFFF"/>
              <w:jc w:val="center"/>
            </w:pPr>
            <w:r w:rsidRPr="00DF4076">
              <w:t>Flexibilitate, caracter motivator, stimulator, dezvoltă latura aptitudinală, abilităţile, competenţele fiecăruia</w:t>
            </w:r>
          </w:p>
        </w:tc>
        <w:tc>
          <w:tcPr>
            <w:tcW w:w="3969" w:type="dxa"/>
          </w:tcPr>
          <w:p w14:paraId="4AE1952C" w14:textId="7F4371C2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Diversitate, posibilitatea de a selecta influenţele pozitive şi negative, de a îmbogăţi experienţa personală</w:t>
            </w:r>
          </w:p>
          <w:p w14:paraId="772D5C2B" w14:textId="4B2497C5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</w:p>
          <w:p w14:paraId="3D5B2200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</w:tr>
      <w:tr w:rsidR="00DF4076" w:rsidRPr="00DF4076" w14:paraId="6A0F339E" w14:textId="77777777" w:rsidTr="00DF4076">
        <w:tc>
          <w:tcPr>
            <w:tcW w:w="2254" w:type="dxa"/>
          </w:tcPr>
          <w:p w14:paraId="2ACF441B" w14:textId="021880CE" w:rsidR="00DF4076" w:rsidRPr="00DF4076" w:rsidRDefault="00DF4076" w:rsidP="00DF4076">
            <w:pPr>
              <w:jc w:val="center"/>
              <w:rPr>
                <w:rFonts w:ascii="Times New Roman" w:hAnsi="Times New Roman"/>
                <w:lang w:val="ro-RO"/>
              </w:rPr>
            </w:pPr>
            <w:r w:rsidRPr="00DF4076">
              <w:rPr>
                <w:rFonts w:ascii="Times New Roman" w:hAnsi="Times New Roman"/>
                <w:lang w:val="ro-RO"/>
              </w:rPr>
              <w:t>Puncte slabe</w:t>
            </w:r>
          </w:p>
        </w:tc>
        <w:tc>
          <w:tcPr>
            <w:tcW w:w="4120" w:type="dxa"/>
          </w:tcPr>
          <w:p w14:paraId="2DC06A76" w14:textId="597022C0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Accent pe informativ, pe memorare, neimplicarea altor agenţi sociali, dotare materială precară</w:t>
            </w:r>
          </w:p>
          <w:p w14:paraId="6C7484F7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36" w:type="dxa"/>
          </w:tcPr>
          <w:p w14:paraId="65E0800E" w14:textId="3DF20295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Lipsa unor acreditări şi a unor certificate, a unor standarde criteriale în evaluare, evaluare facultativă</w:t>
            </w:r>
          </w:p>
          <w:p w14:paraId="4D1DEAAC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969" w:type="dxa"/>
          </w:tcPr>
          <w:p w14:paraId="3839E225" w14:textId="0859D803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Numeroase influenţe negative</w:t>
            </w:r>
          </w:p>
          <w:p w14:paraId="0FC0948A" w14:textId="77777777" w:rsidR="00DF4076" w:rsidRPr="00DF4076" w:rsidRDefault="00DF4076" w:rsidP="00DF4076">
            <w:pPr>
              <w:jc w:val="center"/>
              <w:rPr>
                <w:rFonts w:ascii="Times New Roman" w:hAnsi="Times New Roman"/>
              </w:rPr>
            </w:pPr>
          </w:p>
        </w:tc>
      </w:tr>
      <w:tr w:rsidR="00DF4076" w:rsidRPr="00DF4076" w14:paraId="04A57277" w14:textId="77777777" w:rsidTr="00DF4076">
        <w:tc>
          <w:tcPr>
            <w:tcW w:w="2254" w:type="dxa"/>
          </w:tcPr>
          <w:p w14:paraId="4973E6F3" w14:textId="569D7FE9" w:rsidR="00DF4076" w:rsidRPr="00DF4076" w:rsidRDefault="00DF4076" w:rsidP="00DF4076">
            <w:pPr>
              <w:jc w:val="center"/>
              <w:rPr>
                <w:rFonts w:ascii="Times New Roman" w:hAnsi="Times New Roman"/>
                <w:lang w:val="ro-RO"/>
              </w:rPr>
            </w:pPr>
            <w:r w:rsidRPr="00DF4076">
              <w:rPr>
                <w:rFonts w:ascii="Times New Roman" w:hAnsi="Times New Roman"/>
                <w:lang w:val="ro-RO"/>
              </w:rPr>
              <w:t>Soluții</w:t>
            </w:r>
          </w:p>
        </w:tc>
        <w:tc>
          <w:tcPr>
            <w:tcW w:w="4120" w:type="dxa"/>
          </w:tcPr>
          <w:p w14:paraId="5C1AD910" w14:textId="79C0A24F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Decongestionarea programelor, flexibilizarea ofertei, accent pe competenţe, colaborare cu factorii nonformali şi informali</w:t>
            </w:r>
          </w:p>
          <w:p w14:paraId="7E6FCAEB" w14:textId="77777777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</w:p>
        </w:tc>
        <w:tc>
          <w:tcPr>
            <w:tcW w:w="4536" w:type="dxa"/>
          </w:tcPr>
          <w:p w14:paraId="21C8A6FD" w14:textId="5456980D" w:rsidR="00DF4076" w:rsidRPr="00DF4076" w:rsidRDefault="00DF4076" w:rsidP="00C306E1">
            <w:pPr>
              <w:pStyle w:val="NormalWeb"/>
              <w:shd w:val="clear" w:color="auto" w:fill="FFFFFF"/>
              <w:jc w:val="center"/>
            </w:pPr>
            <w:r w:rsidRPr="00DF4076">
              <w:t>Dezvoltarea ofertei, calităţii ofertei şi a standardelor de evaluare</w:t>
            </w:r>
          </w:p>
        </w:tc>
        <w:tc>
          <w:tcPr>
            <w:tcW w:w="3969" w:type="dxa"/>
          </w:tcPr>
          <w:p w14:paraId="12A7A2EE" w14:textId="5011C841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  <w:r w:rsidRPr="00DF4076">
              <w:t>O bună educaţie (formală şi nonformală) poate conduce la evitarea influenţelor şi a experienţelor negative</w:t>
            </w:r>
          </w:p>
          <w:p w14:paraId="29BAF714" w14:textId="77777777" w:rsidR="00DF4076" w:rsidRPr="00DF4076" w:rsidRDefault="00DF4076" w:rsidP="00DF4076">
            <w:pPr>
              <w:pStyle w:val="NormalWeb"/>
              <w:shd w:val="clear" w:color="auto" w:fill="FFFFFF"/>
              <w:jc w:val="center"/>
            </w:pPr>
          </w:p>
        </w:tc>
      </w:tr>
    </w:tbl>
    <w:p w14:paraId="24A752B2" w14:textId="77777777" w:rsidR="00DF4076" w:rsidRPr="00DF4076" w:rsidRDefault="00DF4076" w:rsidP="00DF4076">
      <w:pPr>
        <w:jc w:val="center"/>
        <w:rPr>
          <w:rFonts w:ascii="Times New Roman" w:hAnsi="Times New Roman"/>
        </w:rPr>
      </w:pPr>
    </w:p>
    <w:sectPr w:rsidR="00DF4076" w:rsidRPr="00DF4076" w:rsidSect="00DF407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76"/>
    <w:rsid w:val="000970A0"/>
    <w:rsid w:val="00213041"/>
    <w:rsid w:val="00C306E1"/>
    <w:rsid w:val="00D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8BC07"/>
  <w15:chartTrackingRefBased/>
  <w15:docId w15:val="{310327A9-ED74-EE4A-9D25-45152979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40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DF4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0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2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0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4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8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3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6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4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3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5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ancutza.duminica@gmail.com</dc:creator>
  <cp:keywords/>
  <dc:description/>
  <cp:lastModifiedBy>ancutza.duminica@gmail.com</cp:lastModifiedBy>
  <cp:revision>3</cp:revision>
  <dcterms:created xsi:type="dcterms:W3CDTF">2021-03-14T19:07:00Z</dcterms:created>
  <dcterms:modified xsi:type="dcterms:W3CDTF">2021-03-15T09:38:00Z</dcterms:modified>
</cp:coreProperties>
</file>