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d"/>
        <w:tblpPr w:bottomFromText="283" w:horzAnchor="text" w:leftFromText="181" w:rightFromText="181" w:tblpX="0" w:tblpXSpec="center" w:tblpY="1" w:topFromText="0" w:vertAnchor="text"/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374"/>
        <w:gridCol w:w="1958"/>
        <w:gridCol w:w="1626"/>
        <w:gridCol w:w="708"/>
        <w:gridCol w:w="1137"/>
        <w:gridCol w:w="1197"/>
        <w:gridCol w:w="2335"/>
        <w:gridCol w:w="20"/>
      </w:tblGrid>
      <w:tr>
        <w:trPr>
          <w:trHeight w:val="719" w:hRule="atLeast"/>
        </w:trPr>
        <w:tc>
          <w:tcPr>
            <w:tcW w:w="9335" w:type="dxa"/>
            <w:gridSpan w:val="7"/>
            <w:tcBorders/>
          </w:tcPr>
          <w:p>
            <w:pPr>
              <w:pStyle w:val="Style15"/>
              <w:widowControl w:val="false"/>
              <w:suppressAutoHyphens w:val="true"/>
              <w:spacing w:before="120" w:after="0"/>
              <w:rPr>
                <w:caps w:val="false"/>
                <w:smallCaps w:val="false"/>
                <w:sz w:val="24"/>
                <w:szCs w:val="24"/>
              </w:rPr>
            </w:pPr>
            <w:r>
              <w:rPr>
                <w:rFonts w:eastAsia="Calibri"/>
                <w:caps w:val="false"/>
                <w:smallCaps w:val="false"/>
                <w:kern w:val="0"/>
                <w:sz w:val="24"/>
                <w:szCs w:val="24"/>
                <w:lang w:val="ru-RU" w:bidi="ar-SA"/>
              </w:rPr>
              <w:t>Государственная корпорация по атомной энергии «Росатом»</w:t>
            </w:r>
          </w:p>
        </w:tc>
        <w:tc>
          <w:tcPr>
            <w:tcW w:w="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</w:tr>
      <w:tr>
        <w:trPr>
          <w:trHeight w:val="719" w:hRule="atLeast"/>
        </w:trPr>
        <w:tc>
          <w:tcPr>
            <w:tcW w:w="9335" w:type="dxa"/>
            <w:gridSpan w:val="7"/>
            <w:tcBorders/>
          </w:tcPr>
          <w:p>
            <w:pPr>
              <w:pStyle w:val="Style15"/>
              <w:widowControl w:val="false"/>
              <w:suppressAutoHyphens w:val="true"/>
              <w:spacing w:before="120" w:after="0"/>
              <w:rPr>
                <w:caps w:val="false"/>
                <w:smallCaps w:val="false"/>
                <w:sz w:val="24"/>
                <w:szCs w:val="24"/>
              </w:rPr>
            </w:pPr>
            <w:sdt>
              <w:sdtPr>
                <w:id w:val="1514445377"/>
                <w:dataBinding w:prefixMappings="xmlns:ns0='http://schemas.openxmlformats.org/officeDocument/2006/extended-properties' " w:xpath="/ns0:Properties[1]/ns0:Company[1]" w:storeItemID="{6668398D-A668-4E3E-A5EB-62B293D839F1}"/>
                <w:placeholder>
                  <w:docPart w:val="802C62901AE04A7A9D29BE41FBB5FEB5"/>
                </w:placeholder>
                <w:alias w:val="Организация"/>
                <w:text/>
              </w:sdtPr>
              <w:sdtContent>
                <w:r>
                  <w:rPr/>
                  <w:t>Организация</w:t>
                </w:r>
              </w:sdtContent>
            </w:sdt>
          </w:p>
          <w:p>
            <w:pPr>
              <w:pStyle w:val="Style15"/>
              <w:widowControl w:val="false"/>
              <w:suppressAutoHyphens w:val="true"/>
              <w:spacing w:before="12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 xml:space="preserve">УДК: </w:t>
            </w:r>
          </w:p>
          <w:p>
            <w:pPr>
              <w:pStyle w:val="Style15"/>
              <w:widowControl w:val="false"/>
              <w:suppressAutoHyphens w:val="true"/>
              <w:spacing w:before="120" w:after="0"/>
              <w:jc w:val="left"/>
              <w:rPr>
                <w:caps w:val="false"/>
                <w:smallCaps w:val="false"/>
                <w:sz w:val="24"/>
                <w:szCs w:val="24"/>
              </w:rPr>
            </w:pPr>
            <w:r>
              <w:rPr>
                <w:rFonts w:eastAsia="Calibri"/>
                <w:caps w:val="false"/>
                <w:smallCaps w:val="false"/>
                <w:kern w:val="0"/>
                <w:sz w:val="24"/>
                <w:szCs w:val="24"/>
                <w:lang w:val="ru-RU" w:bidi="ar-SA"/>
              </w:rPr>
              <w:t xml:space="preserve">Инв. №: </w:t>
            </w:r>
          </w:p>
          <w:p>
            <w:pPr>
              <w:pStyle w:val="Style15"/>
              <w:widowControl w:val="false"/>
              <w:suppressAutoHyphens w:val="true"/>
              <w:spacing w:before="12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</w:tr>
      <w:tr>
        <w:trPr>
          <w:trHeight w:val="429" w:hRule="atLeast"/>
        </w:trPr>
        <w:tc>
          <w:tcPr>
            <w:tcW w:w="4666" w:type="dxa"/>
            <w:gridSpan w:val="4"/>
            <w:tcBorders/>
          </w:tcPr>
          <w:p>
            <w:pPr>
              <w:pStyle w:val="Style15"/>
              <w:widowControl w:val="false"/>
              <w:suppressAutoHyphens w:val="tru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669" w:type="dxa"/>
            <w:gridSpan w:val="3"/>
            <w:tcBorders/>
          </w:tcPr>
          <w:p>
            <w:pPr>
              <w:pStyle w:val="Style15"/>
              <w:widowControl w:val="false"/>
              <w:suppressAutoHyphens w:val="true"/>
              <w:spacing w:before="0" w:after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>УТВЕРЖДАЮ</w:t>
            </w:r>
          </w:p>
        </w:tc>
        <w:tc>
          <w:tcPr>
            <w:tcW w:w="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</w:tr>
      <w:tr>
        <w:trPr>
          <w:trHeight w:val="794" w:hRule="atLeast"/>
        </w:trPr>
        <w:tc>
          <w:tcPr>
            <w:tcW w:w="4666" w:type="dxa"/>
            <w:gridSpan w:val="4"/>
            <w:tcBorders/>
          </w:tcPr>
          <w:p>
            <w:pPr>
              <w:pStyle w:val="Style18"/>
              <w:widowControl w:val="false"/>
              <w:suppressAutoHyphens w:val="true"/>
              <w:spacing w:before="0" w:after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669" w:type="dxa"/>
            <w:gridSpan w:val="3"/>
            <w:tcBorders/>
          </w:tcPr>
          <w:tbl>
            <w:tblPr>
              <w:tblStyle w:val="ad"/>
              <w:tblpPr w:bottomFromText="283" w:horzAnchor="text" w:leftFromText="181" w:rightFromText="181" w:tblpX="0" w:tblpXSpec="center" w:tblpY="1" w:topFromText="0" w:vertAnchor="text"/>
              <w:tblW w:w="5000" w:type="pct"/>
              <w:jc w:val="center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4669"/>
            </w:tblGrid>
            <w:tr>
              <w:trPr>
                <w:trHeight w:val="340" w:hRule="atLeast"/>
              </w:trPr>
              <w:tc>
                <w:tcPr>
                  <w:tcW w:w="4669" w:type="dxa"/>
                  <w:tcBorders/>
                </w:tcPr>
                <w:p>
                  <w:pPr>
                    <w:pStyle w:val="Style16"/>
                    <w:widowControl w:val="false"/>
                    <w:suppressAutoHyphens w:val="true"/>
                    <w:spacing w:before="0" w:after="0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rFonts w:eastAsia="Calibri"/>
                      <w:kern w:val="0"/>
                      <w:sz w:val="24"/>
                      <w:szCs w:val="24"/>
                      <w:lang w:val="ru-RU" w:bidi="ar-SA"/>
                    </w:rPr>
                    <w:t>Должность</w:t>
                  </w:r>
                </w:p>
              </w:tc>
            </w:tr>
          </w:tbl>
          <w:p>
            <w:pPr>
              <w:pStyle w:val="Style16"/>
              <w:widowControl w:val="false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</w:tr>
      <w:tr>
        <w:trPr>
          <w:trHeight w:val="87" w:hRule="atLeast"/>
        </w:trPr>
        <w:tc>
          <w:tcPr>
            <w:tcW w:w="2332" w:type="dxa"/>
            <w:gridSpan w:val="2"/>
            <w:tcBorders/>
          </w:tcPr>
          <w:p>
            <w:pPr>
              <w:pStyle w:val="Style14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34" w:type="dxa"/>
            <w:gridSpan w:val="2"/>
            <w:tcBorders/>
          </w:tcPr>
          <w:p>
            <w:pPr>
              <w:pStyle w:val="Style14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34" w:type="dxa"/>
            <w:gridSpan w:val="2"/>
            <w:tcBorders>
              <w:bottom w:val="single" w:sz="4" w:space="0" w:color="000000"/>
            </w:tcBorders>
          </w:tcPr>
          <w:p>
            <w:pPr>
              <w:pStyle w:val="Style14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35" w:type="dxa"/>
            <w:tcBorders/>
          </w:tcPr>
          <w:p>
            <w:pPr>
              <w:pStyle w:val="Style14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>Ф.И.О.</w:t>
            </w:r>
          </w:p>
        </w:tc>
        <w:tc>
          <w:tcPr>
            <w:tcW w:w="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</w:tr>
      <w:tr>
        <w:trPr>
          <w:trHeight w:val="1077" w:hRule="atLeast"/>
        </w:trPr>
        <w:tc>
          <w:tcPr>
            <w:tcW w:w="4666" w:type="dxa"/>
            <w:gridSpan w:val="4"/>
            <w:tcBorders/>
          </w:tcPr>
          <w:p>
            <w:pPr>
              <w:pStyle w:val="Style14"/>
              <w:widowControl w:val="false"/>
              <w:suppressAutoHyphens w:val="true"/>
              <w:spacing w:before="24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669" w:type="dxa"/>
            <w:gridSpan w:val="3"/>
            <w:tcBorders/>
          </w:tcPr>
          <w:p>
            <w:pPr>
              <w:pStyle w:val="Style14"/>
              <w:widowControl w:val="false"/>
              <w:suppressAutoHyphens w:val="true"/>
              <w:spacing w:before="24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color w:val="000000" w:themeColor="text1"/>
                <w:kern w:val="0"/>
                <w:sz w:val="24"/>
                <w:szCs w:val="24"/>
                <w:lang w:val="ru-RU" w:bidi="ar-SA"/>
              </w:rPr>
              <w:t>«___» _________ 2024 г.</w:t>
            </w:r>
          </w:p>
        </w:tc>
        <w:tc>
          <w:tcPr>
            <w:tcW w:w="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</w:tr>
      <w:tr>
        <w:trPr>
          <w:trHeight w:val="1191" w:hRule="atLeast"/>
        </w:trPr>
        <w:tc>
          <w:tcPr>
            <w:tcW w:w="9335" w:type="dxa"/>
            <w:gridSpan w:val="7"/>
            <w:tcBorders/>
          </w:tcPr>
          <w:p>
            <w:pPr>
              <w:pStyle w:val="Style14"/>
              <w:widowControl w:val="false"/>
              <w:suppressAutoHyphens w:val="true"/>
              <w:spacing w:before="24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>Номер документа</w:t>
            </w:r>
          </w:p>
        </w:tc>
        <w:tc>
          <w:tcPr>
            <w:tcW w:w="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</w:tr>
      <w:tr>
        <w:trPr>
          <w:trHeight w:val="850" w:hRule="atLeast"/>
        </w:trPr>
        <w:tc>
          <w:tcPr>
            <w:tcW w:w="9335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caps/>
                <w:sz w:val="24"/>
                <w:szCs w:val="24"/>
              </w:rPr>
            </w:pPr>
            <w:r>
              <w:rPr>
                <w:rFonts w:eastAsia="Calibri"/>
                <w:caps/>
                <w:color w:val="000000" w:themeColor="text1"/>
                <w:kern w:val="0"/>
                <w:sz w:val="24"/>
                <w:szCs w:val="24"/>
                <w:lang w:val="ru-RU" w:bidi="ar-SA"/>
              </w:rPr>
              <w:t>ОТЧЕТ О проверке гипотезы:</w:t>
            </w:r>
          </w:p>
        </w:tc>
        <w:tc>
          <w:tcPr>
            <w:tcW w:w="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</w:tr>
      <w:tr>
        <w:trPr>
          <w:trHeight w:val="510" w:hRule="atLeast"/>
        </w:trPr>
        <w:tc>
          <w:tcPr>
            <w:tcW w:w="9335" w:type="dxa"/>
            <w:gridSpan w:val="7"/>
            <w:tcBorders/>
          </w:tcPr>
          <w:p>
            <w:pPr>
              <w:pStyle w:val="Style16"/>
              <w:widowControl w:val="false"/>
              <w:suppressAutoHyphens w:val="true"/>
              <w:spacing w:before="0" w:after="0"/>
              <w:rPr>
                <w:caps/>
                <w:color w:val="000000" w:themeColor="text1"/>
                <w:sz w:val="24"/>
                <w:szCs w:val="24"/>
              </w:rPr>
            </w:pPr>
            <w:r>
              <w:rPr>
                <w:rFonts w:eastAsia="Calibri"/>
                <w:caps/>
                <w:color w:val="000000" w:themeColor="text1"/>
                <w:kern w:val="0"/>
                <w:sz w:val="24"/>
                <w:szCs w:val="24"/>
                <w:lang w:val="ru-RU" w:bidi="ar-SA"/>
              </w:rPr>
              <w:t xml:space="preserve">БИНАРНАЯ КЛАССИФИКАЦИЯ АНОМАЛЬНОГО РЕЖИМА РАБОТЫ </w:t>
            </w:r>
          </w:p>
          <w:p>
            <w:pPr>
              <w:pStyle w:val="Style16"/>
              <w:widowControl w:val="false"/>
              <w:suppressAutoHyphens w:val="true"/>
              <w:spacing w:before="0" w:after="0"/>
              <w:rPr>
                <w:shd w:fill="FFFF00" w:val="clear"/>
              </w:rPr>
            </w:pPr>
            <w:r>
              <w:rPr>
                <w:rFonts w:eastAsia="Calibri"/>
                <w:caps/>
                <w:color w:val="000000" w:themeColor="text1"/>
                <w:kern w:val="0"/>
                <w:sz w:val="24"/>
                <w:szCs w:val="24"/>
                <w:lang w:val="ru-RU" w:bidi="ar-SA"/>
              </w:rPr>
              <w:t>НАСОСНОГО ОБОРУДОВАНИЯ НА ДАННЫХ О ПАРАМЕТРАХ ЕГО РАБОТЫ</w:t>
            </w:r>
          </w:p>
        </w:tc>
        <w:tc>
          <w:tcPr>
            <w:tcW w:w="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</w:tr>
      <w:tr>
        <w:trPr>
          <w:trHeight w:val="510" w:hRule="atLeast"/>
        </w:trPr>
        <w:tc>
          <w:tcPr>
            <w:tcW w:w="9335" w:type="dxa"/>
            <w:gridSpan w:val="7"/>
            <w:tcBorders/>
          </w:tcPr>
          <w:p>
            <w:pPr>
              <w:pStyle w:val="Style16"/>
              <w:widowControl w:val="false"/>
              <w:suppressAutoHyphens w:val="true"/>
              <w:spacing w:before="0" w:after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</w:r>
          </w:p>
        </w:tc>
        <w:tc>
          <w:tcPr>
            <w:tcW w:w="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</w:tr>
      <w:tr>
        <w:trPr>
          <w:trHeight w:val="449" w:hRule="atLeast"/>
        </w:trPr>
        <w:tc>
          <w:tcPr>
            <w:tcW w:w="9335" w:type="dxa"/>
            <w:gridSpan w:val="7"/>
            <w:tcBorders/>
          </w:tcPr>
          <w:p>
            <w:pPr>
              <w:pStyle w:val="Style16"/>
              <w:widowControl w:val="false"/>
              <w:suppressAutoHyphens w:val="true"/>
              <w:spacing w:before="0" w:after="0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>Договор № Курс ИИ</w:t>
            </w:r>
          </w:p>
        </w:tc>
        <w:tc>
          <w:tcPr>
            <w:tcW w:w="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</w:tr>
      <w:tr>
        <w:trPr>
          <w:trHeight w:val="443" w:hRule="atLeast"/>
        </w:trPr>
        <w:tc>
          <w:tcPr>
            <w:tcW w:w="9335" w:type="dxa"/>
            <w:gridSpan w:val="7"/>
            <w:tcBorders/>
          </w:tcPr>
          <w:p>
            <w:pPr>
              <w:pStyle w:val="Style15"/>
              <w:widowControl w:val="false"/>
              <w:suppressAutoHyphens w:val="tru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Style15"/>
              <w:widowControl w:val="false"/>
              <w:suppressAutoHyphens w:val="tru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Style15"/>
              <w:widowControl w:val="false"/>
              <w:suppressAutoHyphens w:val="tru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Style15"/>
              <w:widowControl w:val="false"/>
              <w:suppressAutoHyphens w:val="tru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Style15"/>
              <w:widowControl w:val="false"/>
              <w:suppressAutoHyphens w:val="tru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Calibri"/>
                <w:kern w:val="0"/>
                <w:lang w:val="ru-RU" w:bidi="ar-SA"/>
              </w:rPr>
            </w:pPr>
            <w:r>
              <w:rPr>
                <w:rFonts w:eastAsia="Calibri"/>
                <w:kern w:val="0"/>
                <w:lang w:val="ru-RU" w:bidi="ar-SA"/>
              </w:rPr>
            </w:r>
          </w:p>
        </w:tc>
      </w:tr>
      <w:tr>
        <w:trPr>
          <w:trHeight w:val="400" w:hRule="atLeast"/>
        </w:trPr>
        <w:tc>
          <w:tcPr>
            <w:tcW w:w="374" w:type="dxa"/>
            <w:vMerge w:val="restart"/>
            <w:tcBorders/>
          </w:tcPr>
          <w:p>
            <w:pPr>
              <w:pStyle w:val="Style14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584" w:type="dxa"/>
            <w:gridSpan w:val="2"/>
            <w:vMerge w:val="restart"/>
            <w:tcBorders/>
          </w:tcPr>
          <w:p>
            <w:pPr>
              <w:pStyle w:val="Style14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>Руководитель проекта:</w:t>
              <w:br/>
            </w:r>
          </w:p>
        </w:tc>
        <w:tc>
          <w:tcPr>
            <w:tcW w:w="1845" w:type="dxa"/>
            <w:gridSpan w:val="2"/>
            <w:tcBorders>
              <w:bottom w:val="single" w:sz="4" w:space="0" w:color="000000"/>
            </w:tcBorders>
          </w:tcPr>
          <w:p>
            <w:pPr>
              <w:pStyle w:val="Style14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sdt>
              <w:sdtPr>
                <w:id w:val="1777228820"/>
                <w:dataBinding w:prefixMappings="xmlns:ns0='http://schemas.openxmlformats.org/officeDocument/2006/extended-properties' " w:xpath="/ns0:Properties[1]/ns0:Manager[1]" w:storeItemID="{6668398D-A668-4E3E-A5EB-62B293D839F1}"/>
                <w:placeholder>
                  <w:docPart w:val="861537D2767D4197AB8A89776BECA425"/>
                </w:placeholder>
                <w:alias w:val="Руководитель"/>
                <w:text/>
              </w:sdtPr>
              <w:sdtContent>
                <w:r>
                  <w:rPr/>
                  <w:t>Иконникова И.А.</w:t>
                </w:r>
              </w:sdtContent>
            </w:sdt>
          </w:p>
        </w:tc>
        <w:tc>
          <w:tcPr>
            <w:tcW w:w="3552" w:type="dxa"/>
            <w:gridSpan w:val="3"/>
            <w:vMerge w:val="restart"/>
            <w:tcBorders/>
          </w:tcPr>
          <w:p>
            <w:pPr>
              <w:pStyle w:val="Style14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color w:val="000000" w:themeColor="text1"/>
                <w:kern w:val="0"/>
                <w:sz w:val="24"/>
                <w:szCs w:val="24"/>
                <w:lang w:val="ru-RU" w:bidi="ar-SA"/>
              </w:rPr>
              <w:t>2024 г.</w:t>
            </w:r>
          </w:p>
        </w:tc>
      </w:tr>
      <w:tr>
        <w:trPr>
          <w:trHeight w:val="400" w:hRule="atLeast"/>
        </w:trPr>
        <w:tc>
          <w:tcPr>
            <w:tcW w:w="374" w:type="dxa"/>
            <w:vMerge w:val="continue"/>
            <w:tcBorders/>
          </w:tcPr>
          <w:p>
            <w:pPr>
              <w:pStyle w:val="Style14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584" w:type="dxa"/>
            <w:gridSpan w:val="2"/>
            <w:vMerge w:val="continue"/>
            <w:tcBorders/>
          </w:tcPr>
          <w:p>
            <w:pPr>
              <w:pStyle w:val="Style14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5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Style14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bidi="ar-SA"/>
              </w:rPr>
              <w:t>«     »</w:t>
            </w:r>
          </w:p>
        </w:tc>
        <w:tc>
          <w:tcPr>
            <w:tcW w:w="3552" w:type="dxa"/>
            <w:gridSpan w:val="3"/>
            <w:vMerge w:val="continue"/>
            <w:tcBorders/>
          </w:tcPr>
          <w:p>
            <w:pPr>
              <w:pStyle w:val="Style14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535" w:hRule="atLeast"/>
        </w:trPr>
        <w:tc>
          <w:tcPr>
            <w:tcW w:w="374" w:type="dxa"/>
            <w:vMerge w:val="continue"/>
            <w:tcBorders/>
          </w:tcPr>
          <w:p>
            <w:pPr>
              <w:pStyle w:val="Style14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584" w:type="dxa"/>
            <w:gridSpan w:val="2"/>
            <w:vMerge w:val="continue"/>
            <w:tcBorders/>
          </w:tcPr>
          <w:p>
            <w:pPr>
              <w:pStyle w:val="Style14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5" w:type="dxa"/>
            <w:gridSpan w:val="2"/>
            <w:tcBorders>
              <w:top w:val="single" w:sz="4" w:space="0" w:color="000000"/>
            </w:tcBorders>
          </w:tcPr>
          <w:p>
            <w:pPr>
              <w:pStyle w:val="Style14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552" w:type="dxa"/>
            <w:gridSpan w:val="3"/>
            <w:tcBorders/>
          </w:tcPr>
          <w:p>
            <w:pPr>
              <w:pStyle w:val="Style14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70" w:hRule="atLeast"/>
        </w:trPr>
        <w:tc>
          <w:tcPr>
            <w:tcW w:w="374" w:type="dxa"/>
            <w:tcBorders/>
          </w:tcPr>
          <w:p>
            <w:pPr>
              <w:pStyle w:val="Style17"/>
              <w:widowControl w:val="false"/>
              <w:suppressAutoHyphens w:val="tru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584" w:type="dxa"/>
            <w:gridSpan w:val="2"/>
            <w:tcBorders/>
          </w:tcPr>
          <w:p>
            <w:pPr>
              <w:pStyle w:val="Style17"/>
              <w:widowControl w:val="false"/>
              <w:suppressAutoHyphens w:val="tru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5397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300" w:before="240" w:after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00" w:before="240" w:after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170" w:hRule="atLeast"/>
        </w:trPr>
        <w:tc>
          <w:tcPr>
            <w:tcW w:w="374" w:type="dxa"/>
            <w:tcBorders/>
          </w:tcPr>
          <w:p>
            <w:pPr>
              <w:pStyle w:val="Style17"/>
              <w:widowControl w:val="false"/>
              <w:suppressAutoHyphens w:val="tru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981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300" w:before="24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00" w:before="24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00" w:before="240" w:after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eastAsia="Calibri"/>
                <w:color w:val="000000" w:themeColor="text1"/>
                <w:kern w:val="0"/>
                <w:sz w:val="24"/>
                <w:szCs w:val="24"/>
                <w:lang w:val="ru-RU" w:bidi="ar-SA"/>
              </w:rPr>
              <w:t>Москва 2024</w:t>
            </w:r>
          </w:p>
        </w:tc>
      </w:tr>
    </w:tbl>
    <w:p>
      <w:pPr>
        <w:pStyle w:val="ListParagraph"/>
        <w:numPr>
          <w:ilvl w:val="0"/>
          <w:numId w:val="1"/>
        </w:numPr>
        <w:spacing w:before="0" w:after="240"/>
        <w:contextualSpacing/>
        <w:rPr>
          <w:b/>
          <w:b/>
          <w:sz w:val="24"/>
        </w:rPr>
      </w:pPr>
      <w:r>
        <w:rPr>
          <w:b/>
          <w:sz w:val="24"/>
        </w:rPr>
        <w:t>Наименование работ</w:t>
      </w:r>
    </w:p>
    <w:p>
      <w:pPr>
        <w:pStyle w:val="Normal"/>
        <w:spacing w:before="0" w:after="240"/>
        <w:ind w:firstLine="284"/>
        <w:jc w:val="both"/>
        <w:rPr>
          <w:sz w:val="24"/>
        </w:rPr>
      </w:pPr>
      <w:r>
        <w:rPr>
          <w:sz w:val="24"/>
        </w:rPr>
        <w:t>Работы по проверке гипотезы "Бинарная классификация аномального режима работы насосного оборудования на данных о параметрах его работы".</w:t>
      </w:r>
    </w:p>
    <w:p>
      <w:pPr>
        <w:pStyle w:val="ListParagraph"/>
        <w:numPr>
          <w:ilvl w:val="0"/>
          <w:numId w:val="1"/>
        </w:numPr>
        <w:spacing w:before="0" w:after="240"/>
        <w:contextualSpacing/>
        <w:rPr>
          <w:b/>
          <w:b/>
          <w:sz w:val="24"/>
        </w:rPr>
      </w:pPr>
      <w:r>
        <w:rPr>
          <w:b/>
          <w:sz w:val="24"/>
        </w:rPr>
        <w:t>Описание процесса</w:t>
      </w:r>
    </w:p>
    <w:p>
      <w:pPr>
        <w:pStyle w:val="Normal"/>
        <w:spacing w:before="0" w:after="240"/>
        <w:ind w:firstLine="284"/>
        <w:jc w:val="both"/>
        <w:rPr>
          <w:sz w:val="24"/>
        </w:rPr>
      </w:pPr>
      <w:r>
        <w:rPr>
          <w:sz w:val="24"/>
        </w:rPr>
        <w:t>Технологический процесс остужения теплоносителя в конденсаторе заключается в прокачке хладагента по внутритрубному пространству конденсатора. Хладагент забирается из резервуара, прокачивается горизонтальным центробежным насосом через конденсатор и возвращается в резервуар.</w:t>
      </w:r>
    </w:p>
    <w:p>
      <w:pPr>
        <w:pStyle w:val="Normal"/>
        <w:spacing w:before="0" w:after="240"/>
        <w:ind w:firstLine="284"/>
        <w:rPr>
          <w:sz w:val="24"/>
        </w:rPr>
      </w:pPr>
      <w:r>
        <w:rPr>
          <w:sz w:val="24"/>
        </w:rPr>
        <w:t>Упрощенно схема процесса представлена на рисунке ниже:</w:t>
      </w:r>
    </w:p>
    <w:p>
      <w:pPr>
        <w:pStyle w:val="Normal"/>
        <w:jc w:val="center"/>
        <w:rPr>
          <w:sz w:val="24"/>
        </w:rPr>
      </w:pPr>
      <w:r>
        <w:rPr/>
        <w:drawing>
          <wp:inline distT="0" distB="0" distL="0" distR="0">
            <wp:extent cx="5303520" cy="267525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40"/>
        <w:ind w:firstLine="284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spacing w:before="0" w:after="240"/>
        <w:contextualSpacing/>
        <w:rPr>
          <w:b/>
          <w:b/>
          <w:sz w:val="24"/>
        </w:rPr>
      </w:pPr>
      <w:r>
        <w:rPr>
          <w:b/>
          <w:sz w:val="24"/>
        </w:rPr>
        <w:t>Гипотеза</w:t>
      </w:r>
    </w:p>
    <w:p>
      <w:pPr>
        <w:pStyle w:val="TextBody"/>
        <w:spacing w:before="0" w:after="240"/>
        <w:ind w:firstLine="284"/>
        <w:jc w:val="both"/>
        <w:rPr>
          <w:sz w:val="24"/>
        </w:rPr>
      </w:pPr>
      <w:r>
        <w:rPr>
          <w:sz w:val="24"/>
        </w:rPr>
        <w:t xml:space="preserve">Бинарная классификация аномального режима работы насосного оборудования на данных о параметрах его работы. </w:t>
      </w:r>
    </w:p>
    <w:p>
      <w:pPr>
        <w:pStyle w:val="ListParagraph"/>
        <w:numPr>
          <w:ilvl w:val="0"/>
          <w:numId w:val="1"/>
        </w:numPr>
        <w:spacing w:before="0" w:after="240"/>
        <w:contextualSpacing/>
        <w:rPr>
          <w:b/>
          <w:b/>
          <w:sz w:val="24"/>
        </w:rPr>
      </w:pPr>
      <w:r>
        <w:rPr>
          <w:b/>
          <w:sz w:val="24"/>
        </w:rPr>
        <w:t>Критерий успешности</w:t>
      </w:r>
    </w:p>
    <w:p>
      <w:pPr>
        <w:pStyle w:val="Normal"/>
        <w:spacing w:before="0" w:after="240"/>
        <w:ind w:firstLine="284"/>
        <w:jc w:val="both"/>
        <w:rPr>
          <w:sz w:val="24"/>
        </w:rPr>
      </w:pPr>
      <w:r>
        <w:rPr>
          <w:sz w:val="24"/>
        </w:rPr>
        <w:t>Значение метрики модели превышает базовый уровень (F1 &gt; 0.84464).</w:t>
      </w:r>
    </w:p>
    <w:p>
      <w:pPr>
        <w:pStyle w:val="ListParagraph"/>
        <w:numPr>
          <w:ilvl w:val="0"/>
          <w:numId w:val="1"/>
        </w:numPr>
        <w:spacing w:before="0" w:after="240"/>
        <w:contextualSpacing/>
        <w:rPr>
          <w:b/>
          <w:b/>
          <w:sz w:val="24"/>
        </w:rPr>
      </w:pPr>
      <w:r>
        <w:rPr>
          <w:b/>
          <w:sz w:val="24"/>
        </w:rPr>
        <w:t>Метрики</w:t>
      </w:r>
    </w:p>
    <w:p>
      <w:pPr>
        <w:pStyle w:val="Normal"/>
        <w:spacing w:before="0" w:after="240"/>
        <w:ind w:firstLine="284"/>
        <w:rPr>
          <w:sz w:val="24"/>
        </w:rPr>
      </w:pPr>
      <w:r>
        <w:rPr>
          <w:sz w:val="24"/>
        </w:rPr>
        <w:t>Гармоническое среднее значение точности и полноты (F1).</w:t>
      </w:r>
    </w:p>
    <w:p>
      <w:pPr>
        <w:pStyle w:val="ListParagraph"/>
        <w:numPr>
          <w:ilvl w:val="0"/>
          <w:numId w:val="1"/>
        </w:numPr>
        <w:spacing w:before="0" w:after="240"/>
        <w:contextualSpacing/>
        <w:rPr>
          <w:b/>
          <w:b/>
          <w:sz w:val="24"/>
        </w:rPr>
      </w:pPr>
      <w:r>
        <w:rPr>
          <w:b/>
          <w:sz w:val="24"/>
        </w:rPr>
        <w:t>Исходные данные</w:t>
      </w:r>
    </w:p>
    <w:p>
      <w:pPr>
        <w:pStyle w:val="Normal"/>
        <w:spacing w:before="0" w:after="240"/>
        <w:ind w:firstLine="284"/>
        <w:jc w:val="both"/>
        <w:rPr>
          <w:sz w:val="24"/>
        </w:rPr>
      </w:pPr>
      <w:r>
        <w:rPr>
          <w:sz w:val="24"/>
        </w:rPr>
        <w:t>Исходные данные представляют из себя многомерный временной ряд, собранный с датчиков технологической линии.</w:t>
      </w:r>
    </w:p>
    <w:p>
      <w:pPr>
        <w:pStyle w:val="Normal"/>
        <w:keepNext w:val="true"/>
        <w:spacing w:before="0" w:after="240"/>
        <w:ind w:firstLine="284"/>
        <w:rPr>
          <w:sz w:val="24"/>
        </w:rPr>
      </w:pPr>
      <w:r>
        <w:rPr>
          <w:sz w:val="24"/>
        </w:rPr>
        <w:t>Перечень зарегистрированных параметров представлен в таблице ниже:</w:t>
      </w:r>
    </w:p>
    <w:tbl>
      <w:tblPr>
        <w:tblStyle w:val="ae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3"/>
        <w:gridCol w:w="5809"/>
        <w:gridCol w:w="1421"/>
      </w:tblGrid>
      <w:tr>
        <w:trPr/>
        <w:tc>
          <w:tcPr>
            <w:tcW w:w="2263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b/>
                <w:color w:val="auto"/>
                <w:kern w:val="0"/>
                <w:sz w:val="24"/>
                <w:szCs w:val="20"/>
                <w:lang w:val="ru-RU" w:eastAsia="ru-RU" w:bidi="ar-SA"/>
              </w:rPr>
              <w:t>Параметр</w:t>
            </w:r>
          </w:p>
        </w:tc>
        <w:tc>
          <w:tcPr>
            <w:tcW w:w="5809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b/>
                <w:color w:val="auto"/>
                <w:kern w:val="0"/>
                <w:sz w:val="24"/>
                <w:szCs w:val="20"/>
                <w:lang w:val="ru-RU" w:eastAsia="ru-RU" w:bidi="ar-SA"/>
              </w:rPr>
              <w:t>Описание</w:t>
            </w:r>
          </w:p>
        </w:tc>
        <w:tc>
          <w:tcPr>
            <w:tcW w:w="1421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b/>
                <w:color w:val="auto"/>
                <w:kern w:val="0"/>
                <w:sz w:val="24"/>
                <w:szCs w:val="20"/>
                <w:lang w:val="ru-RU" w:eastAsia="ru-RU" w:bidi="ar-SA"/>
              </w:rPr>
              <w:t>Единицы измерения</w:t>
            </w:r>
          </w:p>
        </w:tc>
      </w:tr>
      <w:tr>
        <w:trPr/>
        <w:tc>
          <w:tcPr>
            <w:tcW w:w="2263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60" w:after="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Accelerometer1RMS</w:t>
            </w:r>
          </w:p>
        </w:tc>
        <w:tc>
          <w:tcPr>
            <w:tcW w:w="5809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60" w:after="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Виброускорение</w:t>
            </w:r>
          </w:p>
        </w:tc>
        <w:tc>
          <w:tcPr>
            <w:tcW w:w="1421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60" w:after="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-</w:t>
            </w:r>
          </w:p>
        </w:tc>
      </w:tr>
      <w:tr>
        <w:trPr/>
        <w:tc>
          <w:tcPr>
            <w:tcW w:w="2263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60" w:after="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Accelerometer2RMS</w:t>
            </w:r>
          </w:p>
        </w:tc>
        <w:tc>
          <w:tcPr>
            <w:tcW w:w="5809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60" w:after="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Виброускорение</w:t>
            </w:r>
          </w:p>
        </w:tc>
        <w:tc>
          <w:tcPr>
            <w:tcW w:w="1421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60" w:after="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-</w:t>
            </w:r>
          </w:p>
        </w:tc>
      </w:tr>
      <w:tr>
        <w:trPr/>
        <w:tc>
          <w:tcPr>
            <w:tcW w:w="2263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60" w:after="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Current</w:t>
            </w:r>
          </w:p>
        </w:tc>
        <w:tc>
          <w:tcPr>
            <w:tcW w:w="5809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60" w:after="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Сила тока питания электродвигателя</w:t>
            </w:r>
          </w:p>
        </w:tc>
        <w:tc>
          <w:tcPr>
            <w:tcW w:w="1421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60" w:after="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А</w:t>
            </w:r>
          </w:p>
        </w:tc>
      </w:tr>
      <w:tr>
        <w:trPr/>
        <w:tc>
          <w:tcPr>
            <w:tcW w:w="2263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60" w:after="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Pressure</w:t>
            </w:r>
          </w:p>
        </w:tc>
        <w:tc>
          <w:tcPr>
            <w:tcW w:w="5809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60" w:after="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Давление на выкиде</w:t>
            </w:r>
          </w:p>
        </w:tc>
        <w:tc>
          <w:tcPr>
            <w:tcW w:w="1421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60" w:after="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Bar</w:t>
            </w:r>
          </w:p>
        </w:tc>
      </w:tr>
      <w:tr>
        <w:trPr/>
        <w:tc>
          <w:tcPr>
            <w:tcW w:w="2263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60" w:after="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Temperature</w:t>
            </w:r>
          </w:p>
        </w:tc>
        <w:tc>
          <w:tcPr>
            <w:tcW w:w="5809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60" w:after="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Температура корпуса электродвигателя</w:t>
            </w:r>
          </w:p>
        </w:tc>
        <w:tc>
          <w:tcPr>
            <w:tcW w:w="1421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60" w:after="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vertAlign w:val="superscript"/>
                <w:lang w:val="ru-RU" w:eastAsia="ru-RU" w:bidi="ar-SA"/>
              </w:rPr>
              <w:t>o</w:t>
            </w: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C</w:t>
            </w:r>
          </w:p>
        </w:tc>
      </w:tr>
      <w:tr>
        <w:trPr/>
        <w:tc>
          <w:tcPr>
            <w:tcW w:w="2263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60" w:after="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Thermocouple</w:t>
            </w:r>
          </w:p>
        </w:tc>
        <w:tc>
          <w:tcPr>
            <w:tcW w:w="5809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60" w:after="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Температура перекачиваемой среды (воды)</w:t>
            </w:r>
          </w:p>
        </w:tc>
        <w:tc>
          <w:tcPr>
            <w:tcW w:w="1421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60" w:after="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vertAlign w:val="superscript"/>
                <w:lang w:val="ru-RU" w:eastAsia="ru-RU" w:bidi="ar-SA"/>
              </w:rPr>
              <w:t>o</w:t>
            </w: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C</w:t>
            </w:r>
          </w:p>
        </w:tc>
      </w:tr>
      <w:tr>
        <w:trPr/>
        <w:tc>
          <w:tcPr>
            <w:tcW w:w="2263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60" w:after="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Voltage</w:t>
            </w:r>
          </w:p>
        </w:tc>
        <w:tc>
          <w:tcPr>
            <w:tcW w:w="5809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60" w:after="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Напряжение питания электродвигателя</w:t>
            </w:r>
          </w:p>
        </w:tc>
        <w:tc>
          <w:tcPr>
            <w:tcW w:w="1421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60" w:after="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В</w:t>
            </w:r>
          </w:p>
        </w:tc>
      </w:tr>
      <w:tr>
        <w:trPr/>
        <w:tc>
          <w:tcPr>
            <w:tcW w:w="2263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60" w:after="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RateRMS</w:t>
            </w:r>
          </w:p>
        </w:tc>
        <w:tc>
          <w:tcPr>
            <w:tcW w:w="5809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60" w:after="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Расход перекачиваемой среды (воды)</w:t>
            </w:r>
          </w:p>
        </w:tc>
        <w:tc>
          <w:tcPr>
            <w:tcW w:w="1421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60" w:after="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л/мин</w:t>
            </w:r>
          </w:p>
        </w:tc>
      </w:tr>
      <w:tr>
        <w:trPr/>
        <w:tc>
          <w:tcPr>
            <w:tcW w:w="2263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60" w:after="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anomaly</w:t>
            </w:r>
          </w:p>
        </w:tc>
        <w:tc>
          <w:tcPr>
            <w:tcW w:w="5809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60" w:after="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Флаг аномалии (дискретный параметр)</w:t>
            </w:r>
          </w:p>
        </w:tc>
        <w:tc>
          <w:tcPr>
            <w:tcW w:w="1421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60" w:after="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-</w:t>
            </w:r>
          </w:p>
        </w:tc>
      </w:tr>
      <w:tr>
        <w:trPr/>
        <w:tc>
          <w:tcPr>
            <w:tcW w:w="226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changepoint</w:t>
            </w:r>
          </w:p>
        </w:tc>
        <w:tc>
          <w:tcPr>
            <w:tcW w:w="580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Флаг изменения состояния (дискретный параметр)</w:t>
            </w:r>
          </w:p>
        </w:tc>
        <w:tc>
          <w:tcPr>
            <w:tcW w:w="142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-</w:t>
            </w:r>
          </w:p>
        </w:tc>
      </w:tr>
    </w:tbl>
    <w:p>
      <w:pPr>
        <w:pStyle w:val="Normal"/>
        <w:spacing w:before="0" w:after="240"/>
        <w:ind w:firstLine="284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before="0" w:after="240"/>
        <w:ind w:firstLine="284"/>
        <w:jc w:val="both"/>
        <w:rPr>
          <w:sz w:val="24"/>
        </w:rPr>
      </w:pPr>
      <w:r>
        <w:rPr>
          <w:sz w:val="24"/>
        </w:rPr>
        <w:t>Имеются значения указанных параметров за отдельные периоды в течение 2023 года.</w:t>
      </w:r>
    </w:p>
    <w:p>
      <w:pPr>
        <w:pStyle w:val="Normal"/>
        <w:spacing w:before="0" w:after="240"/>
        <w:ind w:firstLine="284"/>
        <w:jc w:val="both"/>
        <w:rPr>
          <w:sz w:val="24"/>
        </w:rPr>
      </w:pPr>
      <w:r>
        <w:rPr>
          <w:sz w:val="24"/>
        </w:rPr>
        <w:t>Дискретизация параметров составляет для большинства данных - 1 секунда, с периодическими пропусками.</w:t>
      </w:r>
    </w:p>
    <w:p>
      <w:pPr>
        <w:pStyle w:val="ListParagraph"/>
        <w:numPr>
          <w:ilvl w:val="0"/>
          <w:numId w:val="1"/>
        </w:numPr>
        <w:spacing w:before="0" w:after="240"/>
        <w:ind w:left="357" w:hanging="357"/>
        <w:contextualSpacing w:val="false"/>
        <w:rPr>
          <w:b/>
          <w:b/>
          <w:sz w:val="24"/>
        </w:rPr>
      </w:pPr>
      <w:r>
        <w:rPr>
          <w:b/>
          <w:sz w:val="24"/>
        </w:rPr>
        <w:t>Модели</w:t>
      </w:r>
    </w:p>
    <w:p>
      <w:pPr>
        <w:pStyle w:val="ListParagraph"/>
        <w:numPr>
          <w:ilvl w:val="1"/>
          <w:numId w:val="1"/>
        </w:numPr>
        <w:spacing w:before="0" w:after="240"/>
        <w:contextualSpacing w:val="false"/>
        <w:rPr>
          <w:rFonts w:eastAsia="Calibri"/>
          <w:sz w:val="24"/>
        </w:rPr>
      </w:pPr>
      <w:r>
        <w:rPr>
          <w:rFonts w:eastAsia="Calibri"/>
          <w:sz w:val="24"/>
        </w:rPr>
        <w:t>Подготовка данных</w:t>
      </w:r>
    </w:p>
    <w:p>
      <w:pPr>
        <w:pStyle w:val="ListParagraph"/>
        <w:numPr>
          <w:ilvl w:val="2"/>
          <w:numId w:val="1"/>
        </w:numPr>
        <w:spacing w:before="0" w:after="240"/>
        <w:contextualSpacing w:val="false"/>
        <w:rPr>
          <w:rFonts w:eastAsia="Calibri"/>
          <w:sz w:val="24"/>
        </w:rPr>
      </w:pPr>
      <w:r>
        <w:rPr>
          <w:rFonts w:eastAsia="Calibri"/>
          <w:sz w:val="24"/>
        </w:rPr>
        <w:t>Генерация дополнительных признаков:</w:t>
      </w:r>
    </w:p>
    <w:tbl>
      <w:tblPr>
        <w:tblStyle w:val="ae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3"/>
        <w:gridCol w:w="3826"/>
        <w:gridCol w:w="3404"/>
      </w:tblGrid>
      <w:tr>
        <w:trPr/>
        <w:tc>
          <w:tcPr>
            <w:tcW w:w="2263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b/>
                <w:color w:val="auto"/>
                <w:kern w:val="0"/>
                <w:sz w:val="24"/>
                <w:szCs w:val="20"/>
                <w:lang w:val="ru-RU" w:eastAsia="ru-RU" w:bidi="ar-SA"/>
              </w:rPr>
              <w:t>Параметр</w:t>
            </w:r>
          </w:p>
        </w:tc>
        <w:tc>
          <w:tcPr>
            <w:tcW w:w="3826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b/>
                <w:color w:val="auto"/>
                <w:kern w:val="0"/>
                <w:sz w:val="24"/>
                <w:szCs w:val="20"/>
                <w:lang w:val="ru-RU" w:eastAsia="ru-RU" w:bidi="ar-SA"/>
              </w:rPr>
              <w:t>Описание</w:t>
            </w:r>
          </w:p>
        </w:tc>
        <w:tc>
          <w:tcPr>
            <w:tcW w:w="3404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b/>
                <w:color w:val="auto"/>
                <w:kern w:val="0"/>
                <w:sz w:val="24"/>
                <w:szCs w:val="20"/>
                <w:lang w:val="ru-RU" w:eastAsia="ru-RU" w:bidi="ar-SA"/>
              </w:rPr>
              <w:t>Вычисление</w:t>
            </w:r>
          </w:p>
        </w:tc>
      </w:tr>
      <w:tr>
        <w:trPr/>
        <w:tc>
          <w:tcPr>
            <w:tcW w:w="9493" w:type="dxa"/>
            <w:gridSpan w:val="3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b/>
                <w:color w:val="auto"/>
                <w:kern w:val="0"/>
                <w:sz w:val="24"/>
                <w:szCs w:val="20"/>
                <w:lang w:val="ru-RU" w:eastAsia="ru-RU" w:bidi="ar-SA"/>
              </w:rPr>
              <w:t>Признаки, имеющие физический смысл</w:t>
            </w:r>
          </w:p>
        </w:tc>
      </w:tr>
      <w:tr>
        <w:trPr>
          <w:trHeight w:val="523" w:hRule="atLeast"/>
        </w:trPr>
        <w:tc>
          <w:tcPr>
            <w:tcW w:w="2263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Power</w:t>
            </w:r>
          </w:p>
        </w:tc>
        <w:tc>
          <w:tcPr>
            <w:tcW w:w="3826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Мощность тока</w:t>
            </w:r>
          </w:p>
        </w:tc>
        <w:tc>
          <w:tcPr>
            <w:tcW w:w="3404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Current * Voltage</w:t>
            </w:r>
          </w:p>
        </w:tc>
      </w:tr>
      <w:tr>
        <w:trPr>
          <w:trHeight w:val="573" w:hRule="atLeast"/>
        </w:trPr>
        <w:tc>
          <w:tcPr>
            <w:tcW w:w="2263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Power_flow_rate</w:t>
            </w:r>
          </w:p>
        </w:tc>
        <w:tc>
          <w:tcPr>
            <w:tcW w:w="3826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Отношение расхода к мощности</w:t>
            </w:r>
          </w:p>
        </w:tc>
        <w:tc>
          <w:tcPr>
            <w:tcW w:w="3404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Volume Flow RateRMS / Power</w:t>
            </w:r>
          </w:p>
        </w:tc>
      </w:tr>
      <w:tr>
        <w:trPr/>
        <w:tc>
          <w:tcPr>
            <w:tcW w:w="2263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Temperature_diff</w:t>
            </w:r>
          </w:p>
        </w:tc>
        <w:tc>
          <w:tcPr>
            <w:tcW w:w="3826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Разность температур корпуса и перекачиваемой среды</w:t>
            </w:r>
          </w:p>
        </w:tc>
        <w:tc>
          <w:tcPr>
            <w:tcW w:w="3404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Temperature - Thermocouple</w:t>
            </w:r>
          </w:p>
        </w:tc>
      </w:tr>
      <w:tr>
        <w:trPr/>
        <w:tc>
          <w:tcPr>
            <w:tcW w:w="2263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Accel_diff</w:t>
            </w:r>
          </w:p>
        </w:tc>
        <w:tc>
          <w:tcPr>
            <w:tcW w:w="3826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Разность показаний датчиков виброускорения</w:t>
            </w:r>
          </w:p>
        </w:tc>
        <w:tc>
          <w:tcPr>
            <w:tcW w:w="3404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Accelerometer1RMS - Accelerometer2RMS</w:t>
            </w:r>
          </w:p>
        </w:tc>
      </w:tr>
      <w:tr>
        <w:trPr/>
        <w:tc>
          <w:tcPr>
            <w:tcW w:w="9493" w:type="dxa"/>
            <w:gridSpan w:val="3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b/>
                <w:bCs/>
                <w:color w:val="auto"/>
                <w:kern w:val="0"/>
                <w:sz w:val="24"/>
                <w:szCs w:val="20"/>
                <w:lang w:val="ru-RU" w:eastAsia="ru-RU" w:bidi="ar-SA"/>
              </w:rPr>
              <w:t>Признаки на основе сглаживания кривых исходных признаков</w:t>
            </w:r>
          </w:p>
        </w:tc>
      </w:tr>
      <w:tr>
        <w:trPr/>
        <w:tc>
          <w:tcPr>
            <w:tcW w:w="2263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Volume Flow RateRMS_10mean</w:t>
            </w:r>
          </w:p>
        </w:tc>
        <w:tc>
          <w:tcPr>
            <w:tcW w:w="3826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Значение расхода перекачиваемой среды, сглаженное с окном 10</w:t>
            </w:r>
          </w:p>
        </w:tc>
        <w:tc>
          <w:tcPr>
            <w:tcW w:w="3404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Скользящее окно величиной 10</w:t>
            </w:r>
          </w:p>
        </w:tc>
      </w:tr>
      <w:tr>
        <w:trPr/>
        <w:tc>
          <w:tcPr>
            <w:tcW w:w="2263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Volume Flow RateRMS nean 20</w:t>
            </w:r>
          </w:p>
        </w:tc>
        <w:tc>
          <w:tcPr>
            <w:tcW w:w="3826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Значение расхода перекачиваемой среды, сглаженное с окном 20</w:t>
            </w:r>
          </w:p>
        </w:tc>
        <w:tc>
          <w:tcPr>
            <w:tcW w:w="3404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Скользящее окно величиной 20</w:t>
            </w:r>
          </w:p>
        </w:tc>
      </w:tr>
      <w:tr>
        <w:trPr/>
        <w:tc>
          <w:tcPr>
            <w:tcW w:w="2263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Volume Flow RateRMS nean 30</w:t>
            </w:r>
          </w:p>
        </w:tc>
        <w:tc>
          <w:tcPr>
            <w:tcW w:w="3826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Значение расхода перекачиваемой среды, сглаженное с окном 30</w:t>
            </w:r>
          </w:p>
        </w:tc>
        <w:tc>
          <w:tcPr>
            <w:tcW w:w="3404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0"/>
                <w:lang w:val="ru-RU" w:eastAsia="ru-RU" w:bidi="ar-SA"/>
              </w:rPr>
              <w:t>Скользящее окно величиной 30</w:t>
            </w:r>
          </w:p>
        </w:tc>
      </w:tr>
    </w:tbl>
    <w:p>
      <w:pPr>
        <w:pStyle w:val="Normal"/>
        <w:spacing w:before="0" w:after="240"/>
        <w:ind w:left="720" w:hanging="0"/>
        <w:rPr>
          <w:rFonts w:eastAsia="Calibri"/>
          <w:sz w:val="24"/>
        </w:rPr>
      </w:pPr>
      <w:r>
        <w:rPr>
          <w:rFonts w:eastAsia="Calibri"/>
          <w:sz w:val="24"/>
        </w:rPr>
      </w:r>
    </w:p>
    <w:p>
      <w:pPr>
        <w:pStyle w:val="Normal"/>
        <w:spacing w:before="0" w:after="240"/>
        <w:ind w:left="720" w:hanging="0"/>
        <w:rPr>
          <w:rFonts w:eastAsia="Calibri"/>
          <w:sz w:val="24"/>
        </w:rPr>
      </w:pPr>
      <w:r>
        <w:rPr>
          <w:rFonts w:eastAsia="Calibri"/>
          <w:sz w:val="24"/>
        </w:rPr>
      </w:r>
    </w:p>
    <w:p>
      <w:pPr>
        <w:pStyle w:val="ListParagraph"/>
        <w:numPr>
          <w:ilvl w:val="2"/>
          <w:numId w:val="1"/>
        </w:numPr>
        <w:spacing w:before="0" w:after="240"/>
        <w:ind w:left="1225" w:hanging="504"/>
        <w:contextualSpacing w:val="false"/>
        <w:jc w:val="both"/>
        <w:rPr>
          <w:rFonts w:eastAsia="Calibri"/>
          <w:sz w:val="24"/>
        </w:rPr>
      </w:pPr>
      <w:r>
        <w:rPr>
          <w:rFonts w:eastAsia="Calibri"/>
          <w:sz w:val="24"/>
        </w:rPr>
        <w:t>Обработка данных: все признаки отмасштабированы со средним значением, равным 0, стандартным отклонением, равным 1.</w:t>
      </w:r>
    </w:p>
    <w:p>
      <w:pPr>
        <w:pStyle w:val="ListParagraph"/>
        <w:numPr>
          <w:ilvl w:val="1"/>
          <w:numId w:val="1"/>
        </w:numPr>
        <w:spacing w:before="0" w:after="240"/>
        <w:contextualSpacing/>
        <w:rPr>
          <w:rFonts w:eastAsia="Calibri"/>
          <w:sz w:val="24"/>
        </w:rPr>
      </w:pPr>
      <w:r>
        <w:rPr>
          <w:rFonts w:eastAsia="Calibri"/>
          <w:sz w:val="24"/>
        </w:rPr>
        <w:t>Модели</w:t>
      </w:r>
    </w:p>
    <w:p>
      <w:pPr>
        <w:pStyle w:val="ListParagraph"/>
        <w:spacing w:before="0" w:after="240"/>
        <w:ind w:hanging="0"/>
        <w:contextualSpacing/>
        <w:rPr/>
      </w:pPr>
      <w:r>
        <w:rPr/>
      </w:r>
    </w:p>
    <w:p>
      <w:pPr>
        <w:pStyle w:val="ListParagraph"/>
        <w:spacing w:before="0" w:after="240"/>
        <w:ind w:hanging="0"/>
        <w:contextualSpacing/>
        <w:rPr>
          <w:rFonts w:ascii="Times New Roman" w:hAnsi="Times New Roman" w:eastAsia="Calibri" w:cs="Times New Roman" w:eastAsiaTheme="minorHAnsi"/>
          <w:color w:val="auto"/>
          <w:kern w:val="0"/>
          <w:sz w:val="24"/>
          <w:szCs w:val="20"/>
          <w:lang w:val="ru-RU" w:eastAsia="ru-RU" w:bidi="ar-SA"/>
        </w:rPr>
      </w:pPr>
      <w:r>
        <w:rPr>
          <w:rFonts w:eastAsia="Calibri" w:cs="Times New Roman" w:eastAsiaTheme="minorHAnsi"/>
          <w:color w:val="auto"/>
          <w:kern w:val="0"/>
          <w:sz w:val="24"/>
          <w:szCs w:val="20"/>
          <w:lang w:val="ru-RU" w:eastAsia="ru-RU" w:bidi="ar-SA"/>
        </w:rPr>
        <w:t xml:space="preserve">Применение классического алгоритма машинного обучения "случайный лес" обеспечивал метрику F1, превышающую базовый уровень. </w:t>
      </w:r>
    </w:p>
    <w:p>
      <w:pPr>
        <w:pStyle w:val="ListParagraph"/>
        <w:spacing w:before="0" w:after="240"/>
        <w:ind w:hanging="0"/>
        <w:contextualSpacing/>
        <w:rPr/>
      </w:pPr>
      <w:r>
        <w:rPr>
          <w:rFonts w:eastAsia="Calibri" w:cs="Times New Roman" w:eastAsiaTheme="minorHAnsi"/>
          <w:color w:val="auto"/>
          <w:kern w:val="0"/>
          <w:sz w:val="24"/>
          <w:szCs w:val="20"/>
          <w:lang w:val="ru-RU" w:eastAsia="ru-RU" w:bidi="ar-SA"/>
        </w:rPr>
        <w:t xml:space="preserve">Вторым этапом в качестве </w:t>
      </w:r>
      <w:r>
        <w:rPr>
          <w:rFonts w:eastAsia="Calibri"/>
          <w:sz w:val="24"/>
        </w:rPr>
        <w:t>модели применена нейронная сеть – сверточный автоэнкодер.</w:t>
      </w:r>
      <w:r>
        <w:rPr>
          <w:rFonts w:eastAsia="Calibri"/>
          <w:sz w:val="24"/>
        </w:rPr>
        <w:t xml:space="preserve"> Данный метод показал прирост значения метрики F1.</w:t>
      </w:r>
    </w:p>
    <w:p>
      <w:pPr>
        <w:pStyle w:val="ListParagraph"/>
        <w:spacing w:before="0" w:after="240"/>
        <w:ind w:hanging="0"/>
        <w:contextualSpacing/>
        <w:rPr/>
      </w:pPr>
      <w:r>
        <w:rPr>
          <w:rFonts w:eastAsia="Calibri"/>
          <w:sz w:val="24"/>
          <w:shd w:fill="auto" w:val="clear"/>
        </w:rPr>
        <w:t>В условиях ограниченного времени гипотеза была проверена только на двух методах: нейронная сеть - сверточный автоэнкодер и алгоритм - случайный лес.</w:t>
      </w:r>
    </w:p>
    <w:p>
      <w:pPr>
        <w:pStyle w:val="ListParagraph"/>
        <w:spacing w:before="0" w:after="240"/>
        <w:contextualSpacing/>
        <w:rPr>
          <w:rFonts w:eastAsia="Calibri"/>
          <w:sz w:val="24"/>
          <w:highlight w:val="none"/>
          <w:shd w:fill="auto" w:val="clear"/>
        </w:rPr>
      </w:pPr>
      <w:r>
        <w:rPr>
          <w:rFonts w:eastAsia="Calibri"/>
          <w:sz w:val="24"/>
          <w:shd w:fill="auto" w:val="clear"/>
        </w:rPr>
      </w:r>
    </w:p>
    <w:p>
      <w:pPr>
        <w:pStyle w:val="ListParagraph"/>
        <w:numPr>
          <w:ilvl w:val="0"/>
          <w:numId w:val="1"/>
        </w:numPr>
        <w:spacing w:before="0" w:after="240"/>
        <w:contextualSpacing/>
        <w:rPr>
          <w:highlight w:val="none"/>
          <w:shd w:fill="auto" w:val="clear"/>
        </w:rPr>
      </w:pPr>
      <w:r>
        <w:rPr>
          <w:b/>
          <w:sz w:val="24"/>
          <w:shd w:fill="auto" w:val="clear"/>
        </w:rPr>
        <w:t>Результаты</w:t>
      </w:r>
    </w:p>
    <w:p>
      <w:pPr>
        <w:pStyle w:val="Normal"/>
        <w:spacing w:before="0" w:after="240"/>
        <w:ind w:firstLine="284"/>
        <w:rPr>
          <w:highlight w:val="none"/>
          <w:shd w:fill="auto" w:val="clear"/>
        </w:rPr>
      </w:pPr>
      <w:r>
        <w:rPr>
          <w:sz w:val="24"/>
          <w:shd w:fill="auto" w:val="clear"/>
        </w:rPr>
        <w:t xml:space="preserve">Результат применения алгоритма нейронной сети </w:t>
      </w:r>
      <w:r>
        <w:rPr>
          <w:sz w:val="24"/>
          <w:shd w:fill="auto" w:val="clear"/>
        </w:rPr>
        <w:t>- сверточный автоэнкодер</w:t>
      </w:r>
      <w:r>
        <w:rPr>
          <w:rFonts w:eastAsia="Calibri"/>
          <w:sz w:val="24"/>
          <w:shd w:fill="auto" w:val="clear"/>
        </w:rPr>
        <w:t xml:space="preserve"> - </w:t>
      </w:r>
      <w:r>
        <w:rPr>
          <w:sz w:val="24"/>
          <w:shd w:fill="auto" w:val="clear"/>
        </w:rPr>
        <w:t>F1 =  0.8687</w:t>
      </w:r>
      <w:r>
        <w:rPr>
          <w:sz w:val="24"/>
          <w:shd w:fill="auto" w:val="clear"/>
        </w:rPr>
        <w:t>4</w:t>
      </w:r>
      <w:r>
        <w:rPr>
          <w:sz w:val="24"/>
          <w:shd w:fill="auto" w:val="clear"/>
        </w:rPr>
        <w:t>.</w:t>
      </w:r>
    </w:p>
    <w:p>
      <w:pPr>
        <w:pStyle w:val="ListParagraph"/>
        <w:numPr>
          <w:ilvl w:val="0"/>
          <w:numId w:val="1"/>
        </w:numPr>
        <w:spacing w:before="0" w:after="240"/>
        <w:contextualSpacing/>
        <w:rPr>
          <w:highlight w:val="none"/>
          <w:shd w:fill="auto" w:val="clear"/>
        </w:rPr>
      </w:pPr>
      <w:r>
        <w:rPr>
          <w:b/>
          <w:sz w:val="24"/>
          <w:shd w:fill="auto" w:val="clear"/>
        </w:rPr>
        <w:t>Выводы</w:t>
      </w:r>
    </w:p>
    <w:p>
      <w:pPr>
        <w:pStyle w:val="TextBody"/>
        <w:spacing w:before="0" w:after="240"/>
        <w:ind w:firstLine="284"/>
        <w:rPr>
          <w:highlight w:val="none"/>
          <w:shd w:fill="auto" w:val="clear"/>
        </w:rPr>
      </w:pPr>
      <w:r>
        <w:rPr>
          <w:rFonts w:eastAsia="Calibri"/>
          <w:sz w:val="24"/>
          <w:shd w:fill="auto" w:val="clear"/>
        </w:rPr>
        <w:t>На основании проделанной работы можно заключить, что гипотеза "Бинарная классификация аномального режима работы насосного оборудования на данных о параметрах его работы" возможна с метрикой F1 = 0.8687</w:t>
      </w:r>
      <w:r>
        <w:rPr>
          <w:rFonts w:eastAsia="Calibri"/>
          <w:sz w:val="24"/>
          <w:shd w:fill="auto" w:val="clear"/>
        </w:rPr>
        <w:t>4</w:t>
      </w:r>
      <w:r>
        <w:rPr>
          <w:rFonts w:eastAsia="Calibri"/>
          <w:sz w:val="24"/>
          <w:shd w:fill="auto" w:val="clear"/>
        </w:rPr>
        <w:t>.</w:t>
      </w:r>
    </w:p>
    <w:p>
      <w:pPr>
        <w:pStyle w:val="Normal"/>
        <w:spacing w:before="0" w:after="240"/>
        <w:ind w:firstLine="284"/>
        <w:rPr>
          <w:sz w:val="24"/>
        </w:rPr>
      </w:pPr>
      <w:r>
        <w:rPr>
          <w:sz w:val="24"/>
        </w:rPr>
      </w:r>
    </w:p>
    <w:p>
      <w:pPr>
        <w:pStyle w:val="Normal"/>
        <w:spacing w:before="0" w:after="240"/>
        <w:ind w:firstLine="284"/>
        <w:rPr>
          <w:sz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6f68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6f6f68"/>
    <w:rPr>
      <w:color w:val="808080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c92bf2"/>
    <w:rPr>
      <w:rFonts w:ascii="Consolas" w:hAnsi="Consolas" w:cs="Times New Roman"/>
      <w:sz w:val="20"/>
      <w:szCs w:val="20"/>
      <w:lang w:eastAsia="ru-RU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 w:customStyle="1">
    <w:name w:val="Титул ЛС"/>
    <w:basedOn w:val="Normal"/>
    <w:qFormat/>
    <w:rsid w:val="006f6f68"/>
    <w:pPr/>
    <w:rPr/>
  </w:style>
  <w:style w:type="paragraph" w:styleId="Style15" w:customStyle="1">
    <w:name w:val="Титул ЦП"/>
    <w:basedOn w:val="Normal"/>
    <w:qFormat/>
    <w:rsid w:val="006f6f68"/>
    <w:pPr>
      <w:jc w:val="center"/>
    </w:pPr>
    <w:rPr>
      <w:caps/>
    </w:rPr>
  </w:style>
  <w:style w:type="paragraph" w:styleId="Style16" w:customStyle="1">
    <w:name w:val="Титул ЦС"/>
    <w:basedOn w:val="Style15"/>
    <w:qFormat/>
    <w:rsid w:val="006f6f68"/>
    <w:pPr/>
    <w:rPr>
      <w:caps w:val="false"/>
      <w:smallCaps w:val="false"/>
    </w:rPr>
  </w:style>
  <w:style w:type="paragraph" w:styleId="Style17" w:customStyle="1">
    <w:name w:val="Титул подпись"/>
    <w:basedOn w:val="Style16"/>
    <w:qFormat/>
    <w:rsid w:val="006f6f68"/>
    <w:pPr/>
    <w:rPr>
      <w:sz w:val="20"/>
    </w:rPr>
  </w:style>
  <w:style w:type="paragraph" w:styleId="Style18" w:customStyle="1">
    <w:name w:val="Титул СИ"/>
    <w:basedOn w:val="Normal"/>
    <w:qFormat/>
    <w:rsid w:val="006f6f68"/>
    <w:pPr>
      <w:spacing w:lineRule="auto" w:line="276" w:before="0" w:after="200"/>
    </w:pPr>
    <w:rPr/>
  </w:style>
  <w:style w:type="paragraph" w:styleId="ListParagraph">
    <w:name w:val="List Paragraph"/>
    <w:basedOn w:val="Normal"/>
    <w:uiPriority w:val="34"/>
    <w:qFormat/>
    <w:rsid w:val="006f6f68"/>
    <w:pPr>
      <w:spacing w:before="0" w:after="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c92bf2"/>
    <w:pPr/>
    <w:rPr>
      <w:rFonts w:ascii="Consolas" w:hAnsi="Consolas"/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name w:val="Титул"/>
    <w:basedOn w:val="a1"/>
    <w:uiPriority w:val="99"/>
    <w:rsid w:val="006f6f68"/>
    <w:rPr>
      <w:sz w:val="28"/>
      <w:szCs w:val="28"/>
    </w:rPr>
  </w:style>
  <w:style w:type="table" w:styleId="ae">
    <w:name w:val="Table Grid"/>
    <w:basedOn w:val="a1"/>
    <w:uiPriority w:val="39"/>
    <w:rsid w:val="00e717e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02C62901AE04A7A9D29BE41FBB5FE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756BF2-E83F-4764-9D97-3C5C24581D14}"/>
      </w:docPartPr>
      <w:docPartBody>
        <w:p w:rsidR="005976E7" w:rsidRDefault="0035708E" w:rsidP="0035708E">
          <w:pPr>
            <w:pStyle w:val="802C62901AE04A7A9D29BE41FBB5FEB5"/>
          </w:pPr>
          <w:r w:rsidRPr="00EA4904">
            <w:rPr>
              <w:rStyle w:val="a3"/>
            </w:rPr>
            <w:t>[Организация]</w:t>
          </w:r>
        </w:p>
      </w:docPartBody>
    </w:docPart>
    <w:docPart>
      <w:docPartPr>
        <w:name w:val="861537D2767D4197AB8A89776BECA4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0D25D6-0602-4A2E-9AD3-1C7D12087FFE}"/>
      </w:docPartPr>
      <w:docPartBody>
        <w:p w:rsidR="00000000" w:rsidRDefault="00D83267" w:rsidP="00D83267">
          <w:pPr>
            <w:pStyle w:val="861537D2767D4197AB8A89776BECA425"/>
          </w:pPr>
          <w:r w:rsidRPr="00EA4904">
            <w:rPr>
              <w:rStyle w:val="a3"/>
            </w:rPr>
            <w:t>[Руководитель]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08E"/>
    <w:rsid w:val="00020B1A"/>
    <w:rsid w:val="0035708E"/>
    <w:rsid w:val="0044624C"/>
    <w:rsid w:val="005976E7"/>
    <w:rsid w:val="00A01534"/>
    <w:rsid w:val="00B20837"/>
    <w:rsid w:val="00D83267"/>
    <w:rsid w:val="00EA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3267"/>
    <w:rPr>
      <w:color w:val="808080"/>
    </w:rPr>
  </w:style>
  <w:style w:type="paragraph" w:customStyle="1" w:styleId="802C62901AE04A7A9D29BE41FBB5FEB5">
    <w:name w:val="802C62901AE04A7A9D29BE41FBB5FEB5"/>
    <w:rsid w:val="0035708E"/>
  </w:style>
  <w:style w:type="paragraph" w:customStyle="1" w:styleId="AA125D67027A47A6B0D9BEC826212F6C">
    <w:name w:val="AA125D67027A47A6B0D9BEC826212F6C"/>
    <w:rsid w:val="0035708E"/>
  </w:style>
  <w:style w:type="paragraph" w:customStyle="1" w:styleId="861537D2767D4197AB8A89776BECA425">
    <w:name w:val="861537D2767D4197AB8A89776BECA425"/>
    <w:rsid w:val="00D83267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Иконникова И.А.</Manager>
  <TotalTime>247</TotalTime>
  <Application>LibreOffice/7.3.7.2$Linux_X86_64 LibreOffice_project/30$Build-2</Application>
  <AppVersion>15.0000</AppVersion>
  <Pages>4</Pages>
  <Words>467</Words>
  <Characters>3255</Characters>
  <CharactersWithSpaces>3612</CharactersWithSpaces>
  <Paragraphs>106</Paragraphs>
  <Company>Организация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2024-08-28T18:14:00Z</dcterms:created>
  <dc:creator>Пользователь</dc:creator>
  <dc:description/>
  <dc:language>en-US</dc:language>
  <cp:lastModifiedBy/>
  <dcterms:modified xsi:type="dcterms:W3CDTF">2024-08-29T12:05:17Z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