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Regulations &amp; Fees / Regulamin i opłaty</w:t>
      </w:r>
    </w:p>
    <w:p w:rsidR="00000000" w:rsidDel="00000000" w:rsidP="00000000" w:rsidRDefault="00000000" w:rsidRPr="00000000" w14:paraId="00000002">
      <w:pPr>
        <w:shd w:fill="ffffff" w:val="clear"/>
        <w:spacing w:line="276.0005454545455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.0005454545455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FINSTRUMENT Sp. z o. o. </w:t>
      </w:r>
    </w:p>
    <w:p w:rsidR="00000000" w:rsidDel="00000000" w:rsidP="00000000" w:rsidRDefault="00000000" w:rsidRPr="00000000" w14:paraId="00000004">
      <w:pPr>
        <w:shd w:fill="ffffff" w:val="clear"/>
        <w:spacing w:line="276.0005454545455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FINSTRUMENT Sp. z o.o. z siedzibą w (61-730) Poznaniu, ul. Młyńska 16 lok. Piętro 8, wpisaną do Rejestru Przedsiębiorców Krajowego Rejestru Sądowego w Sądzie Rejonowym dla m. Poznań XIV Wydział Gospodarczy KRS pod numerem KRS 0000853038, o kapitale zakładowym 40 000,00 zł, o nadanym NIP: 1231472573 oraz REGON: 386663320</w:t>
      </w:r>
    </w:p>
    <w:p w:rsidR="00000000" w:rsidDel="00000000" w:rsidP="00000000" w:rsidRDefault="00000000" w:rsidRPr="00000000" w14:paraId="00000005">
      <w:pPr>
        <w:shd w:fill="ffffff" w:val="clear"/>
        <w:spacing w:line="276.0005454545455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.0005454545455" w:lineRule="auto"/>
        <w:jc w:val="both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D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ziałalność </w:t>
      </w:r>
      <w:r w:rsidDel="00000000" w:rsidR="00000000" w:rsidRPr="00000000">
        <w:rPr>
          <w:color w:val="222222"/>
          <w:rtl w:val="0"/>
        </w:rPr>
        <w:t xml:space="preserve">FINSTRUMENT Sp. z o.o. jak 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m</w:t>
      </w:r>
      <w:r w:rsidDel="00000000" w:rsidR="00000000" w:rsidRPr="00000000">
        <w:rPr>
          <w:color w:val="222222"/>
          <w:rtl w:val="0"/>
        </w:rPr>
        <w:t xml:space="preserve">ałej Instytucji płatniczej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jest nadzorowana i regulowana przez Komisję Nadzoru Finansowego.</w:t>
      </w:r>
      <w:r w:rsidDel="00000000" w:rsidR="00000000" w:rsidRPr="00000000">
        <w:rPr>
          <w:color w:val="0a0a0a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FINSTRUMENT Sp. z o.o.</w:t>
      </w:r>
      <w:r w:rsidDel="00000000" w:rsidR="00000000" w:rsidRPr="00000000">
        <w:rPr>
          <w:color w:val="0a0a0a"/>
          <w:sz w:val="23"/>
          <w:szCs w:val="23"/>
          <w:rtl w:val="0"/>
        </w:rPr>
        <w:t xml:space="preserve"> wpisana do rejestru podmiotów nadzorowanych od 26/09/2022 pod numerem </w:t>
      </w:r>
      <w:r w:rsidDel="00000000" w:rsidR="00000000" w:rsidRPr="00000000">
        <w:rPr>
          <w:color w:val="0a0a0a"/>
          <w:sz w:val="23"/>
          <w:szCs w:val="23"/>
          <w:rtl w:val="0"/>
        </w:rPr>
        <w:t xml:space="preserve">MIP156/2022</w:t>
      </w:r>
      <w:r w:rsidDel="00000000" w:rsidR="00000000" w:rsidRPr="00000000">
        <w:rPr>
          <w:color w:val="0a0a0a"/>
          <w:sz w:val="23"/>
          <w:szCs w:val="23"/>
          <w:rtl w:val="0"/>
        </w:rPr>
        <w:t xml:space="preserve"> jako 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dostawca usług płatniczych.</w:t>
      </w:r>
    </w:p>
    <w:p w:rsidR="00000000" w:rsidDel="00000000" w:rsidP="00000000" w:rsidRDefault="00000000" w:rsidRPr="00000000" w14:paraId="00000007">
      <w:pPr>
        <w:shd w:fill="ffffff" w:val="clear"/>
        <w:spacing w:line="276.0005454545455" w:lineRule="auto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.0005454545455" w:lineRule="auto"/>
        <w:rPr>
          <w:b w:val="1"/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Zgodność z przepisami(akty prawne obowiązujące w Spółce):</w:t>
      </w:r>
    </w:p>
    <w:p w:rsidR="00000000" w:rsidDel="00000000" w:rsidP="00000000" w:rsidRDefault="00000000" w:rsidRPr="00000000" w14:paraId="00000009">
      <w:pPr>
        <w:shd w:fill="ffffff" w:val="clear"/>
        <w:spacing w:line="276.0005454545455" w:lineRule="auto"/>
        <w:jc w:val="both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Rozporządzeniem Parlamentu Europejskiego i Rady UE 2016/679 z dnia 27 kwietnia 2016 r. w sprawie ochrony osób fizycznych w związku z przetwarzaniem danych osobowych i w sprawie swobodnego przepływu takich danych oraz uchylenia dyrektywy 95/46/WE (ogólne rozporządzenie o ochronie danych zwane – RODO).</w:t>
      </w:r>
    </w:p>
    <w:p w:rsidR="00000000" w:rsidDel="00000000" w:rsidP="00000000" w:rsidRDefault="00000000" w:rsidRPr="00000000" w14:paraId="0000000A">
      <w:pPr>
        <w:shd w:fill="ffffff" w:val="clear"/>
        <w:spacing w:line="276.0005454545455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line="276.0005454545455" w:lineRule="auto"/>
        <w:jc w:val="both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Ustawą o przeciwdziałaniu praniu pieniędzy oraz finansowaniu terroryzmu z dnia 1 marca 2018 r. oraz ustawę AML z dnia 30 marca 2021 r. o zmianie ustawy o przeciwdziałaniu praniu pieniędzy oraz finansowaniu terroryzmu a także zgodnie z wewnętrznymi procedurami stosujemy bezpieczeństwa finansowego.</w:t>
      </w:r>
    </w:p>
    <w:p w:rsidR="00000000" w:rsidDel="00000000" w:rsidP="00000000" w:rsidRDefault="00000000" w:rsidRPr="00000000" w14:paraId="0000000C">
      <w:pPr>
        <w:shd w:fill="ffffff" w:val="clear"/>
        <w:spacing w:line="276.0005454545455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line="276.0005454545455" w:lineRule="auto"/>
        <w:jc w:val="both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Ustawa z dnia 19 sierpnia 2011 r.o usługach płatniczych.</w:t>
      </w:r>
    </w:p>
    <w:p w:rsidR="00000000" w:rsidDel="00000000" w:rsidP="00000000" w:rsidRDefault="00000000" w:rsidRPr="00000000" w14:paraId="0000000E">
      <w:pPr>
        <w:shd w:fill="ffffff" w:val="clear"/>
        <w:spacing w:line="276.0005454545455" w:lineRule="auto"/>
        <w:jc w:val="both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76.0005454545455" w:lineRule="auto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76.0005454545455" w:lineRule="auto"/>
        <w:rPr>
          <w:b w:val="1"/>
          <w:i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Regulamin świadczenia usług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(link)</w:t>
      </w:r>
    </w:p>
    <w:p w:rsidR="00000000" w:rsidDel="00000000" w:rsidP="00000000" w:rsidRDefault="00000000" w:rsidRPr="00000000" w14:paraId="00000011">
      <w:pPr>
        <w:shd w:fill="ffffff" w:val="clear"/>
        <w:spacing w:line="276.0005454545455" w:lineRule="auto"/>
        <w:rPr>
          <w:b w:val="1"/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Zasady rozpatrywania reklamacji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(link)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76.0005454545455" w:lineRule="auto"/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Polityka prywatności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(link)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line="276.0005454545455" w:lineRule="auto"/>
        <w:rPr>
          <w:b w:val="1"/>
          <w:i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Informacje o usługach płatniczych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(link)</w:t>
      </w:r>
    </w:p>
    <w:p w:rsidR="00000000" w:rsidDel="00000000" w:rsidP="00000000" w:rsidRDefault="00000000" w:rsidRPr="00000000" w14:paraId="00000014">
      <w:pPr>
        <w:shd w:fill="ffffff" w:val="clear"/>
        <w:spacing w:line="276.0005454545455" w:lineRule="auto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76.0005454545455" w:lineRule="auto"/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Kontakt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: </w:t>
        <w:tab/>
        <w:t xml:space="preserve">welcome@finstrument.pl, </w:t>
      </w:r>
    </w:p>
    <w:p w:rsidR="00000000" w:rsidDel="00000000" w:rsidP="00000000" w:rsidRDefault="00000000" w:rsidRPr="00000000" w14:paraId="00000016">
      <w:pPr>
        <w:shd w:fill="ffffff" w:val="clear"/>
        <w:spacing w:line="276.0005454545455" w:lineRule="auto"/>
        <w:ind w:left="720" w:firstLine="720"/>
        <w:rPr>
          <w:b w:val="1"/>
          <w:color w:val="222222"/>
          <w:sz w:val="23"/>
          <w:szCs w:val="23"/>
        </w:rPr>
      </w:pPr>
      <w:r w:rsidDel="00000000" w:rsidR="00000000" w:rsidRPr="00000000">
        <w:rPr>
          <w:color w:val="222222"/>
          <w:rtl w:val="0"/>
        </w:rPr>
        <w:t xml:space="preserve">ul. Młyńska 16 lok. Piętro 8, Poznań, 61-730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76.0005454545455" w:lineRule="auto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76.0005454545455" w:lineRule="auto"/>
        <w:rPr>
          <w:b w:val="1"/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line="276.0005454545455" w:lineRule="auto"/>
        <w:rPr>
          <w:b w:val="1"/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line="276.0005454545455" w:lineRule="auto"/>
        <w:jc w:val="both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