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Архитектура компьютера</w:t>
      </w:r>
    </w:p>
    <w:p>
      <w:pPr>
        <w:pStyle w:val="Author"/>
      </w:pPr>
      <w:r>
        <w:t xml:space="preserve">Ирина Васильевна Панявкина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Реализация подпрограмм в NASM</w:t>
      </w:r>
      <w:r>
        <w:br/>
      </w:r>
      <w:r>
        <w:rPr>
          <w:rStyle w:val="VerbatimChar"/>
        </w:rPr>
        <w:t xml:space="preserve">2. Отладка программ с помощью GDB</w:t>
      </w:r>
      <w:r>
        <w:br/>
      </w:r>
      <w:r>
        <w:rPr>
          <w:rStyle w:val="VerbatimChar"/>
        </w:rPr>
        <w:t xml:space="preserve">3. Самостоятельное выполнение заданий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 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 кода и 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 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 рывание выполнения программы (например, это ошибки, связанные с переполнением 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 обычно проще определить причину неправильной работы программы. 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bookmarkEnd w:id="22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SourceCode"/>
      </w:pPr>
      <w:r>
        <w:rPr>
          <w:rStyle w:val="VerbatimChar"/>
        </w:rP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программ лабораторной работы №9, а также файл lab9-1.asm и копирую в текущий каталог файл in_out.asm с помощью утилиты cp, т.к. он будет использоваться во время выполнения самостоятельной работы (рис. 1).</w:t>
      </w:r>
    </w:p>
    <w:bookmarkStart w:id="26" w:name="fig:001"/>
    <w:p>
      <w:pPr>
        <w:pStyle w:val="CaptionedFigure"/>
      </w:pPr>
      <w:r>
        <w:drawing>
          <wp:inline>
            <wp:extent cx="3733800" cy="742261"/>
            <wp:effectExtent b="0" l="0" r="0" t="0"/>
            <wp:docPr descr="Рис. 1: Создание каталога и файла для программы, создание копии внешнего файла" title="" id="24" name="Picture"/>
            <a:graphic>
              <a:graphicData uri="http://schemas.openxmlformats.org/drawingml/2006/picture">
                <pic:pic>
                  <pic:nvPicPr>
                    <pic:cNvPr descr="image/lab9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2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 для программы, создание копии внешнего файла</w:t>
      </w:r>
    </w:p>
    <w:bookmarkEnd w:id="26"/>
    <w:p>
      <w:pPr>
        <w:pStyle w:val="BodyText"/>
      </w:pPr>
      <w:r>
        <w:t xml:space="preserve">Открываю созданный файл и вставляю в него скопированную программу из листинга, компилирую и запускаю его, программа выполняет вычисление функции (рис. 2).</w:t>
      </w:r>
    </w:p>
    <w:bookmarkStart w:id="30" w:name="fig:002"/>
    <w:p>
      <w:pPr>
        <w:pStyle w:val="CaptionedFigure"/>
      </w:pPr>
      <w:r>
        <w:drawing>
          <wp:inline>
            <wp:extent cx="3733800" cy="727437"/>
            <wp:effectExtent b="0" l="0" r="0" t="0"/>
            <wp:docPr descr="Рис. 2: Запуск программы из листинга" title="" id="28" name="Picture"/>
            <a:graphic>
              <a:graphicData uri="http://schemas.openxmlformats.org/drawingml/2006/picture">
                <pic:pic>
                  <pic:nvPicPr>
                    <pic:cNvPr descr="image/lab9.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7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из листинга</w:t>
      </w:r>
    </w:p>
    <w:bookmarkEnd w:id="30"/>
    <w:p>
      <w:pPr>
        <w:pStyle w:val="BodyText"/>
      </w:pPr>
      <w:r>
        <w:t xml:space="preserve">Изменяю программу, добавив в неё подпрограмму, таким образом, чтобы она вычисляла значение функции для выражения f(g(x)) (рис. 3).</w:t>
      </w:r>
    </w:p>
    <w:bookmarkStart w:id="34" w:name="fig:003"/>
    <w:p>
      <w:pPr>
        <w:pStyle w:val="CaptionedFigure"/>
      </w:pPr>
      <w:r>
        <w:drawing>
          <wp:inline>
            <wp:extent cx="3733800" cy="636942"/>
            <wp:effectExtent b="0" l="0" r="0" t="0"/>
            <wp:docPr descr="Рис. 3: Изменение программы первого листинга" title="" id="32" name="Picture"/>
            <a:graphic>
              <a:graphicData uri="http://schemas.openxmlformats.org/drawingml/2006/picture">
                <pic:pic>
                  <pic:nvPicPr>
                    <pic:cNvPr descr="image/lab9.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6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программы первого листинга</w:t>
      </w:r>
    </w:p>
    <w:bookmarkEnd w:id="34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RESB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RESB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GLOBAL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BuiltIn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BuiltIn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BuiltIn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BuiltIn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BuiltIn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p>
      <w:pPr>
        <w:pStyle w:val="SourceCode"/>
      </w:pPr>
      <w:r>
        <w:rPr>
          <w:rStyle w:val="VerbatimChar"/>
        </w:rP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 (рис. 4).</w:t>
      </w:r>
    </w:p>
    <w:bookmarkStart w:id="38" w:name="fig:004"/>
    <w:p>
      <w:pPr>
        <w:pStyle w:val="CaptionedFigure"/>
      </w:pPr>
      <w:r>
        <w:drawing>
          <wp:inline>
            <wp:extent cx="3733800" cy="2014286"/>
            <wp:effectExtent b="0" l="0" r="0" t="0"/>
            <wp:docPr descr="Рис. 4: Запуск программы в отладчике" title="" id="36" name="Picture"/>
            <a:graphic>
              <a:graphicData uri="http://schemas.openxmlformats.org/drawingml/2006/picture">
                <pic:pic>
                  <pic:nvPicPr>
                    <pic:cNvPr descr="image/lab9.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в отладчике</w:t>
      </w:r>
    </w:p>
    <w:bookmarkEnd w:id="38"/>
    <w:p>
      <w:pPr>
        <w:pStyle w:val="BodyText"/>
      </w:pPr>
      <w:r>
        <w:t xml:space="preserve">Запустив программу командой run, я убедилась в том, что она работает корректно (рис. 5).</w:t>
      </w:r>
    </w:p>
    <w:bookmarkStart w:id="42" w:name="fig:005"/>
    <w:p>
      <w:pPr>
        <w:pStyle w:val="CaptionedFigure"/>
      </w:pPr>
      <w:r>
        <w:drawing>
          <wp:inline>
            <wp:extent cx="3733800" cy="3079774"/>
            <wp:effectExtent b="0" l="0" r="0" t="0"/>
            <wp:docPr descr="Рис. 5: Проверка программы отладчиком" title="" id="40" name="Picture"/>
            <a:graphic>
              <a:graphicData uri="http://schemas.openxmlformats.org/drawingml/2006/picture">
                <pic:pic>
                  <pic:nvPicPr>
                    <pic:cNvPr descr="image/lab9.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9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программы отладчиком</w:t>
      </w:r>
    </w:p>
    <w:bookmarkEnd w:id="42"/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 (рис. 6).</w:t>
      </w:r>
    </w:p>
    <w:bookmarkStart w:id="46" w:name="fig:006"/>
    <w:p>
      <w:pPr>
        <w:pStyle w:val="CaptionedFigure"/>
      </w:pPr>
      <w:r>
        <w:drawing>
          <wp:inline>
            <wp:extent cx="3733800" cy="3719138"/>
            <wp:effectExtent b="0" l="0" r="0" t="0"/>
            <wp:docPr descr="Рис. 6: Запуск отладчика с брейкпоинтом" title="" id="44" name="Picture"/>
            <a:graphic>
              <a:graphicData uri="http://schemas.openxmlformats.org/drawingml/2006/picture">
                <pic:pic>
                  <pic:nvPicPr>
                    <pic:cNvPr descr="image/lab9.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9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отладчика с брейкпоинтом</w:t>
      </w:r>
    </w:p>
    <w:bookmarkEnd w:id="46"/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-имена регистров предваряются символом %, Intel - имена регистров пишутся без префиксов).</w:t>
      </w:r>
    </w:p>
    <w:p>
      <w:pPr>
        <w:pStyle w:val="BodyText"/>
      </w:pPr>
      <w:r>
        <w:t xml:space="preserve">Затем смотрю дисассимилированный код программы, переключаюсь на отображение команд с синтаксисом Intel (рис. 7).</w:t>
      </w:r>
    </w:p>
    <w:bookmarkStart w:id="50" w:name="fig:007"/>
    <w:p>
      <w:pPr>
        <w:pStyle w:val="CaptionedFigure"/>
      </w:pPr>
      <w:r>
        <w:drawing>
          <wp:inline>
            <wp:extent cx="3733800" cy="3719138"/>
            <wp:effectExtent b="0" l="0" r="0" t="0"/>
            <wp:docPr descr="Рис. 7: Дисассимилирование программы" title="" id="48" name="Picture"/>
            <a:graphic>
              <a:graphicData uri="http://schemas.openxmlformats.org/drawingml/2006/picture">
                <pic:pic>
                  <pic:nvPicPr>
                    <pic:cNvPr descr="image/lab9.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9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Дисассимилирование программы</w:t>
      </w:r>
    </w:p>
    <w:bookmarkEnd w:id="50"/>
    <w:p>
      <w:pPr>
        <w:pStyle w:val="BodyText"/>
      </w:pPr>
      <w:r>
        <w:t xml:space="preserve">Включаю режим псевдографики для более удобного анализа программы. К сожалению, во время выполнения работы, я столкнулась с проблемой («Register Values Unavailable»): интерфейс TUI не смог корректно распознать и отобразить все регистры в помощью предложенной команды «layout regs», все попытки исправить проблему оказались тщетными, причина мне так и неизвестна (делала строго опираясь на лекцию), поэтому мне пришлось воспользоваться другой командой и вывести список регистров иным способом с помощью «tui reg general». (рис. 8)</w:t>
      </w:r>
    </w:p>
    <w:bookmarkStart w:id="54" w:name="fig:008"/>
    <w:p>
      <w:pPr>
        <w:pStyle w:val="CaptionedFigure"/>
      </w:pPr>
      <w:r>
        <w:drawing>
          <wp:inline>
            <wp:extent cx="3733800" cy="1900379"/>
            <wp:effectExtent b="0" l="0" r="0" t="0"/>
            <wp:docPr descr="Рис. 8: Режим псевдографики" title="" id="52" name="Picture"/>
            <a:graphic>
              <a:graphicData uri="http://schemas.openxmlformats.org/drawingml/2006/picture">
                <pic:pic>
                  <pic:nvPicPr>
                    <pic:cNvPr descr="image/lab9.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0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Режим псевдографики</w:t>
      </w:r>
    </w:p>
    <w:bookmarkEnd w:id="54"/>
    <w:p>
      <w:pPr>
        <w:pStyle w:val="SourceCode"/>
      </w:pPr>
      <w:r>
        <w:rPr>
          <w:rStyle w:val="VerbatimChar"/>
        </w:rP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 (рис. 9).</w:t>
      </w:r>
    </w:p>
    <w:bookmarkStart w:id="58" w:name="fig:009"/>
    <w:p>
      <w:pPr>
        <w:pStyle w:val="CaptionedFigure"/>
      </w:pPr>
      <w:r>
        <w:drawing>
          <wp:inline>
            <wp:extent cx="3733800" cy="2105837"/>
            <wp:effectExtent b="0" l="0" r="0" t="0"/>
            <wp:docPr descr="Рис. 9: Список брейкпоинтов" title="" id="56" name="Picture"/>
            <a:graphic>
              <a:graphicData uri="http://schemas.openxmlformats.org/drawingml/2006/picture">
                <pic:pic>
                  <pic:nvPicPr>
                    <pic:cNvPr descr="image/lab9.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Список брейкпоинтов</w:t>
      </w:r>
    </w:p>
    <w:bookmarkEnd w:id="58"/>
    <w:p>
      <w:pPr>
        <w:pStyle w:val="BodyText"/>
      </w:pPr>
      <w:r>
        <w:t xml:space="preserve">Устанавливаю ещё одну точку останова по адресу инструкции (рис. 10).</w:t>
      </w:r>
    </w:p>
    <w:bookmarkStart w:id="62" w:name="fig:010"/>
    <w:p>
      <w:pPr>
        <w:pStyle w:val="CaptionedFigure"/>
      </w:pPr>
      <w:r>
        <w:drawing>
          <wp:inline>
            <wp:extent cx="3733800" cy="2195233"/>
            <wp:effectExtent b="0" l="0" r="0" t="0"/>
            <wp:docPr descr="Рис. 10: Добавление второй точки останова" title="" id="60" name="Picture"/>
            <a:graphic>
              <a:graphicData uri="http://schemas.openxmlformats.org/drawingml/2006/picture">
                <pic:pic>
                  <pic:nvPicPr>
                    <pic:cNvPr descr="image/lab9.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второй точки останова</w:t>
      </w:r>
    </w:p>
    <w:bookmarkEnd w:id="62"/>
    <w:p>
      <w:pPr>
        <w:pStyle w:val="SourceCode"/>
      </w:pPr>
      <w:r>
        <w:rPr>
          <w:rStyle w:val="VerbatimChar"/>
        </w:rP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с помощью команды «info registers» (рис. 11).</w:t>
      </w:r>
    </w:p>
    <w:bookmarkStart w:id="66" w:name="fig:011"/>
    <w:p>
      <w:pPr>
        <w:pStyle w:val="CaptionedFigure"/>
      </w:pPr>
      <w:r>
        <w:drawing>
          <wp:inline>
            <wp:extent cx="3733800" cy="2250422"/>
            <wp:effectExtent b="0" l="0" r="0" t="0"/>
            <wp:docPr descr="Рис. 11: Просмотр содержимого регистров" title="" id="64" name="Picture"/>
            <a:graphic>
              <a:graphicData uri="http://schemas.openxmlformats.org/drawingml/2006/picture">
                <pic:pic>
                  <pic:nvPicPr>
                    <pic:cNvPr descr="image/lab9.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содержимого регистров</w:t>
      </w:r>
    </w:p>
    <w:bookmarkEnd w:id="66"/>
    <w:p>
      <w:pPr>
        <w:pStyle w:val="BodyText"/>
      </w:pPr>
      <w:r>
        <w:t xml:space="preserve">Смотрю содержимое переменных по имени и адресу (рис. 12).</w:t>
      </w:r>
    </w:p>
    <w:bookmarkStart w:id="70" w:name="fig:012"/>
    <w:p>
      <w:pPr>
        <w:pStyle w:val="CaptionedFigure"/>
      </w:pPr>
      <w:r>
        <w:drawing>
          <wp:inline>
            <wp:extent cx="3733800" cy="2250422"/>
            <wp:effectExtent b="0" l="0" r="0" t="0"/>
            <wp:docPr descr="Рис. 12: Просмотр содержимого переменных двумя способами" title="" id="68" name="Picture"/>
            <a:graphic>
              <a:graphicData uri="http://schemas.openxmlformats.org/drawingml/2006/picture">
                <pic:pic>
                  <pic:nvPicPr>
                    <pic:cNvPr descr="image/lab9.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содержимого переменных двумя способами</w:t>
      </w:r>
    </w:p>
    <w:bookmarkEnd w:id="70"/>
    <w:p>
      <w:pPr>
        <w:pStyle w:val="BodyText"/>
      </w:pPr>
      <w:r>
        <w:t xml:space="preserve">Меняю содержимое переменных по имени и адресу (рис. 13).</w:t>
      </w:r>
    </w:p>
    <w:bookmarkStart w:id="74" w:name="fig:013"/>
    <w:p>
      <w:pPr>
        <w:pStyle w:val="CaptionedFigure"/>
      </w:pPr>
      <w:r>
        <w:drawing>
          <wp:inline>
            <wp:extent cx="3733800" cy="2250422"/>
            <wp:effectExtent b="0" l="0" r="0" t="0"/>
            <wp:docPr descr="Рис. 13: Изменение содержимого переменных двумя способами" title="" id="72" name="Picture"/>
            <a:graphic>
              <a:graphicData uri="http://schemas.openxmlformats.org/drawingml/2006/picture">
                <pic:pic>
                  <pic:nvPicPr>
                    <pic:cNvPr descr="image/lab9.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содержимого переменных двумя способами</w:t>
      </w:r>
    </w:p>
    <w:bookmarkEnd w:id="74"/>
    <w:p>
      <w:pPr>
        <w:pStyle w:val="BodyText"/>
      </w:pPr>
      <w:r>
        <w:t xml:space="preserve">Вывожу в различных форматах значение регистра edx (рис. 14).</w:t>
      </w:r>
    </w:p>
    <w:bookmarkStart w:id="78" w:name="fig:014"/>
    <w:p>
      <w:pPr>
        <w:pStyle w:val="CaptionedFigure"/>
      </w:pPr>
      <w:r>
        <w:drawing>
          <wp:inline>
            <wp:extent cx="3733800" cy="2250422"/>
            <wp:effectExtent b="0" l="0" r="0" t="0"/>
            <wp:docPr descr="Рис. 14: Просмотр значения регистра разными представлениями" title="" id="76" name="Picture"/>
            <a:graphic>
              <a:graphicData uri="http://schemas.openxmlformats.org/drawingml/2006/picture">
                <pic:pic>
                  <pic:nvPicPr>
                    <pic:cNvPr descr="image/lab9.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значения регистра разными представлениями</w:t>
      </w:r>
    </w:p>
    <w:bookmarkEnd w:id="78"/>
    <w:p>
      <w:pPr>
        <w:pStyle w:val="BodyText"/>
      </w:pPr>
      <w:r>
        <w:t xml:space="preserve">С помощью команды set меняю содержимое регистра ebx (рис. 15).</w:t>
      </w:r>
    </w:p>
    <w:bookmarkStart w:id="82" w:name="fig:015"/>
    <w:p>
      <w:pPr>
        <w:pStyle w:val="CaptionedFigure"/>
      </w:pPr>
      <w:r>
        <w:drawing>
          <wp:inline>
            <wp:extent cx="3733800" cy="2250422"/>
            <wp:effectExtent b="0" l="0" r="0" t="0"/>
            <wp:docPr descr="Рис. 15: Подготовка новой программы" title="" id="80" name="Picture"/>
            <a:graphic>
              <a:graphicData uri="http://schemas.openxmlformats.org/drawingml/2006/picture">
                <pic:pic>
                  <pic:nvPicPr>
                    <pic:cNvPr descr="image/lab9.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Подготовка новой программы</w:t>
      </w:r>
    </w:p>
    <w:bookmarkEnd w:id="82"/>
    <w:p>
      <w:pPr>
        <w:pStyle w:val="SourceCode"/>
      </w:pPr>
      <w:r>
        <w:rPr>
          <w:rStyle w:val="VerbatimChar"/>
        </w:rP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создаю исполняемый файл с файлом листинга и отладки (рис. 16).</w:t>
      </w:r>
    </w:p>
    <w:bookmarkStart w:id="86" w:name="fig:016"/>
    <w:p>
      <w:pPr>
        <w:pStyle w:val="CaptionedFigure"/>
      </w:pPr>
      <w:r>
        <w:drawing>
          <wp:inline>
            <wp:extent cx="3733800" cy="369642"/>
            <wp:effectExtent b="0" l="0" r="0" t="0"/>
            <wp:docPr descr="Рис. 16: Подготовка новой программы" title="" id="84" name="Picture"/>
            <a:graphic>
              <a:graphicData uri="http://schemas.openxmlformats.org/drawingml/2006/picture">
                <pic:pic>
                  <pic:nvPicPr>
                    <pic:cNvPr descr="image/lab9.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Подготовка новой программы</w:t>
      </w:r>
    </w:p>
    <w:bookmarkEnd w:id="86"/>
    <w:p>
      <w:pPr>
        <w:pStyle w:val="BodyText"/>
      </w:pPr>
      <w:r>
        <w:t xml:space="preserve">Запускаю программу с режиме отладки с указанием аргументов, указываю брейкпоинт и запускаю отладку. Проверяю работу стека, изменяя аргумент команды просмотра регистра esp на +4, число обусловлено разрядностью системы, а указатель void занимает как раз 4 байта, ошибка при аргументе +24 означает, что аргументы на вход программы закончились. (рис. 17).</w:t>
      </w:r>
    </w:p>
    <w:bookmarkStart w:id="90" w:name="fig:017"/>
    <w:p>
      <w:pPr>
        <w:pStyle w:val="CaptionedFigure"/>
      </w:pPr>
      <w:r>
        <w:drawing>
          <wp:inline>
            <wp:extent cx="3733800" cy="2467833"/>
            <wp:effectExtent b="0" l="0" r="0" t="0"/>
            <wp:docPr descr="Рис. 17: Проверка работы стека" title="" id="88" name="Picture"/>
            <a:graphic>
              <a:graphicData uri="http://schemas.openxmlformats.org/drawingml/2006/picture">
                <pic:pic>
                  <pic:nvPicPr>
                    <pic:cNvPr descr="image/lab9.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работы стека</w:t>
      </w:r>
    </w:p>
    <w:bookmarkEnd w:id="90"/>
    <w:p>
      <w:pPr>
        <w:pStyle w:val="SourceCode"/>
      </w:pPr>
      <w:r>
        <w:rPr>
          <w:rStyle w:val="VerbatimChar"/>
        </w:rPr>
        <w:t xml:space="preserve">Выполнение заданий для самостоятельной работы</w:t>
      </w:r>
    </w:p>
    <w:p>
      <w:pPr>
        <w:pStyle w:val="Compact"/>
        <w:numPr>
          <w:ilvl w:val="0"/>
          <w:numId w:val="1001"/>
        </w:numPr>
      </w:pPr>
      <w:r>
        <w:t xml:space="preserve">Меняю программу самостоятельной части предыдущей лабораторной работы с использованием подпрограммы (рис. 18).</w:t>
      </w:r>
    </w:p>
    <w:bookmarkStart w:id="94" w:name="fig:018"/>
    <w:p>
      <w:pPr>
        <w:pStyle w:val="CaptionedFigure"/>
      </w:pPr>
      <w:r>
        <w:drawing>
          <wp:inline>
            <wp:extent cx="3733800" cy="4733309"/>
            <wp:effectExtent b="0" l="0" r="0" t="0"/>
            <wp:docPr descr="Рис. 18: Изменённая программа предыдущей лабораторной работы" title="" id="92" name="Picture"/>
            <a:graphic>
              <a:graphicData uri="http://schemas.openxmlformats.org/drawingml/2006/picture">
                <pic:pic>
                  <pic:nvPicPr>
                    <pic:cNvPr descr="image/lab9.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3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Изменённая программа предыдущей лабораторной работы</w:t>
      </w:r>
    </w:p>
    <w:bookmarkEnd w:id="94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6x + 13"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GLOBAL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BuiltIn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BuiltIn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BuiltIn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BuiltIn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BuiltIn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_calculate_fx</w:t>
      </w:r>
      <w:r>
        <w:br/>
      </w:r>
      <w:r>
        <w:br/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ControlFlow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NormalTok"/>
        </w:rPr>
        <w:t xml:space="preserve">_calculate_fx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br/>
      </w:r>
      <w:r>
        <w:rPr>
          <w:rStyle w:val="BuiltIn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br/>
      </w:r>
      <w:r>
        <w:rPr>
          <w:rStyle w:val="ControlFlowTok"/>
        </w:rPr>
        <w:t xml:space="preserve">ret</w:t>
      </w:r>
    </w:p>
    <w:p>
      <w:pPr>
        <w:pStyle w:val="Compact"/>
        <w:numPr>
          <w:ilvl w:val="0"/>
          <w:numId w:val="1002"/>
        </w:numPr>
      </w:pPr>
      <w:r>
        <w:t xml:space="preserve">Запускаю программу в режиме отладчика и пошагово через «stepi» просматриваю изменение значений регистров через «info registers». При выполнении инструкции «mul ecx» можно заметить, что результат умножения записывается в регистр eax, но также меняет и edx. Значение регистра ebx не обновляется напрямую, поэтому в результате программа неверно высчитывает функцию (рис. 19).</w:t>
      </w:r>
    </w:p>
    <w:bookmarkStart w:id="98" w:name="fig:019"/>
    <w:p>
      <w:pPr>
        <w:pStyle w:val="CaptionedFigure"/>
      </w:pPr>
      <w:r>
        <w:drawing>
          <wp:inline>
            <wp:extent cx="3733800" cy="2002962"/>
            <wp:effectExtent b="0" l="0" r="0" t="0"/>
            <wp:docPr descr="Рис. 19: Поиск ошибки в программе через пошаговую отладку" title="" id="96" name="Picture"/>
            <a:graphic>
              <a:graphicData uri="http://schemas.openxmlformats.org/drawingml/2006/picture">
                <pic:pic>
                  <pic:nvPicPr>
                    <pic:cNvPr descr="image/lab9.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Поиск ошибки в программе через пошаговую отладку</w:t>
      </w:r>
    </w:p>
    <w:bookmarkEnd w:id="98"/>
    <w:p>
      <w:pPr>
        <w:pStyle w:val="BodyText"/>
      </w:pPr>
      <w:r>
        <w:t xml:space="preserve">Исправляю найденную ошибку, теперь программа правильно считает значение функции (рис. 20).</w:t>
      </w:r>
    </w:p>
    <w:bookmarkStart w:id="102" w:name="fig:020"/>
    <w:p>
      <w:pPr>
        <w:pStyle w:val="CaptionedFigure"/>
      </w:pPr>
      <w:r>
        <w:drawing>
          <wp:inline>
            <wp:extent cx="3733800" cy="665375"/>
            <wp:effectExtent b="0" l="0" r="0" t="0"/>
            <wp:docPr descr="Рис. 20: Проверка корректировок в программе" title="" id="100" name="Picture"/>
            <a:graphic>
              <a:graphicData uri="http://schemas.openxmlformats.org/drawingml/2006/picture">
                <pic:pic>
                  <pic:nvPicPr>
                    <pic:cNvPr descr="image/lab9.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5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корректировок в программе</w:t>
      </w:r>
    </w:p>
    <w:bookmarkEnd w:id="102"/>
    <w:p>
      <w:pPr>
        <w:pStyle w:val="BodyText"/>
      </w:pPr>
      <w:r>
        <w:t xml:space="preserve">Код изменённой программы: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GLOBAL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BuiltIn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работы, я приобрела навыки написания программ с использованием подпрограмм и познанакомилась с методами отладки при помощи GDB и его основными возможностями.</w:t>
      </w:r>
    </w:p>
    <w:bookmarkEnd w:id="104"/>
    <w:bookmarkStart w:id="10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3"/>
        </w:numPr>
      </w:pPr>
      <w:r>
        <w:t xml:space="preserve">GDB: The GNU Project Debugger. — URL: https://www.gnu.org/software/gdb/.</w:t>
      </w:r>
    </w:p>
    <w:p>
      <w:pPr>
        <w:pStyle w:val="Compact"/>
        <w:numPr>
          <w:ilvl w:val="0"/>
          <w:numId w:val="1003"/>
        </w:numPr>
      </w:pPr>
      <w:r>
        <w:t xml:space="preserve">GNU Bash Manual. — 2016. — URL: https://www.gnu.org/software/bash/manual/.</w:t>
      </w:r>
    </w:p>
    <w:p>
      <w:pPr>
        <w:pStyle w:val="Compact"/>
        <w:numPr>
          <w:ilvl w:val="0"/>
          <w:numId w:val="1003"/>
        </w:numPr>
      </w:pPr>
      <w:r>
        <w:t xml:space="preserve">Midnight Commander Development Center. — 2021. — URL: https://midnight-commander. Org/.</w:t>
      </w:r>
    </w:p>
    <w:p>
      <w:pPr>
        <w:pStyle w:val="Compact"/>
        <w:numPr>
          <w:ilvl w:val="0"/>
          <w:numId w:val="1003"/>
        </w:numPr>
      </w:pPr>
      <w:r>
        <w:t xml:space="preserve">NASM Assembly Language Tutorials. — 2021. — URL: https://asmtutor.com/.</w:t>
      </w:r>
    </w:p>
    <w:p>
      <w:pPr>
        <w:pStyle w:val="Compact"/>
        <w:numPr>
          <w:ilvl w:val="0"/>
          <w:numId w:val="1003"/>
        </w:numPr>
      </w:pPr>
      <w:r>
        <w:t xml:space="preserve">Newham C. Learning the bash Shell: Unix Shell Programming. — O’Reilly Media, 2005. — 354 с. — (In a Nutshell). — ISBN 0596009658. — URL: http://www.amazon.com/Learningbash-Shell-Programming-Nutshell/dp/0596009658.</w:t>
      </w:r>
    </w:p>
    <w:p>
      <w:pPr>
        <w:pStyle w:val="Compact"/>
        <w:numPr>
          <w:ilvl w:val="0"/>
          <w:numId w:val="1003"/>
        </w:numPr>
      </w:pPr>
      <w:r>
        <w:t xml:space="preserve">Robbins A. Bash Pocket Reference. — O’Reilly Media, 2016. — 156 с. — ISBN 978-1491941591.</w:t>
      </w:r>
    </w:p>
    <w:p>
      <w:pPr>
        <w:pStyle w:val="Compact"/>
        <w:numPr>
          <w:ilvl w:val="0"/>
          <w:numId w:val="1003"/>
        </w:numPr>
      </w:pPr>
      <w:r>
        <w:t xml:space="preserve">The NASM documentation. — 2021. — URL: https://www.nasm.us/docs.php.</w:t>
      </w:r>
    </w:p>
    <w:p>
      <w:pPr>
        <w:pStyle w:val="Compact"/>
        <w:numPr>
          <w:ilvl w:val="0"/>
          <w:numId w:val="1003"/>
        </w:numPr>
      </w:pPr>
      <w:r>
        <w:t xml:space="preserve">Zarrelli G. Mastering Bash. — Packt Publishing, 2017. — 502 с. — ISBN 9781784396879.</w:t>
      </w:r>
    </w:p>
    <w:p>
      <w:pPr>
        <w:pStyle w:val="Compact"/>
        <w:numPr>
          <w:ilvl w:val="0"/>
          <w:numId w:val="1003"/>
        </w:numPr>
      </w:pPr>
      <w:r>
        <w:t xml:space="preserve">Колдаев В. Д., Лупин С. А. Архитектура ЭВМ. — М. : Форум, 2018.</w:t>
      </w:r>
    </w:p>
    <w:p>
      <w:pPr>
        <w:pStyle w:val="Compact"/>
        <w:numPr>
          <w:ilvl w:val="0"/>
          <w:numId w:val="1003"/>
        </w:numPr>
      </w:pPr>
      <w:r>
        <w:t xml:space="preserve">Куляс О. Л., Никитин К. А. Курс программирования на ASSEMBLER. — М. : Солон-Пресс, 2017.</w:t>
      </w:r>
    </w:p>
    <w:p>
      <w:pPr>
        <w:pStyle w:val="Compact"/>
        <w:numPr>
          <w:ilvl w:val="0"/>
          <w:numId w:val="1003"/>
        </w:numPr>
      </w:pPr>
      <w:r>
        <w:t xml:space="preserve">Новожилов О. П. Архитектура ЭВМ и систем. — М. : Юрайт, 2016.</w:t>
      </w:r>
    </w:p>
    <w:p>
      <w:pPr>
        <w:pStyle w:val="Compact"/>
        <w:numPr>
          <w:ilvl w:val="0"/>
          <w:numId w:val="1003"/>
        </w:numPr>
      </w:pPr>
      <w:r>
        <w:t xml:space="preserve">Расширенный ассемблер: NASM. — 2021. — URL: https://www.opennet.ru/docs/RUS/nasm/.</w:t>
      </w:r>
    </w:p>
    <w:p>
      <w:pPr>
        <w:pStyle w:val="Compact"/>
        <w:numPr>
          <w:ilvl w:val="0"/>
          <w:numId w:val="1003"/>
        </w:numPr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pStyle w:val="Compact"/>
        <w:numPr>
          <w:ilvl w:val="0"/>
          <w:numId w:val="1003"/>
        </w:numPr>
      </w:pPr>
      <w:r>
        <w:t xml:space="preserve">Столяров А. Программирование на языке ассемблера NASM для ОС Unix. — 2-е изд. — М. : МАКС Пресс, 2011. — URL: http://www.stolyarov.info/books/asm_unix.</w:t>
      </w:r>
    </w:p>
    <w:p>
      <w:pPr>
        <w:pStyle w:val="Compact"/>
        <w:numPr>
          <w:ilvl w:val="0"/>
          <w:numId w:val="1003"/>
        </w:numPr>
      </w:pPr>
      <w:r>
        <w:t xml:space="preserve">Таненбаум Э. Архитектура компьютера. — 6-е изд. — СПб. : Питер, 2013. — 874 с. — (Классика Computer Science).</w:t>
      </w:r>
    </w:p>
    <w:p>
      <w:pPr>
        <w:pStyle w:val="Compact"/>
        <w:numPr>
          <w:ilvl w:val="0"/>
          <w:numId w:val="1003"/>
        </w:numPr>
      </w:pPr>
      <w:r>
        <w:t xml:space="preserve">Таненбаум Э., Бос Х. Современные операционные системы. — 4-е изд. — СПб. : Питер, 2015. — 1120 с. — (Классика Computer Science).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Ирина Васильевна Панявкина</dc:creator>
  <dc:language>ru-RU</dc:language>
  <cp:keywords/>
  <dcterms:created xsi:type="dcterms:W3CDTF">2024-12-05T22:13:10Z</dcterms:created>
  <dcterms:modified xsi:type="dcterms:W3CDTF">2024-12-05T22:13:10Z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