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AD7" w:rsidRDefault="00771AD7" w:rsidP="00771AD7">
      <w:pPr>
        <w:pBdr>
          <w:top w:val="single" w:sz="2" w:space="0" w:color="E2E5ED"/>
          <w:left w:val="single" w:sz="2" w:space="0" w:color="E2E5ED"/>
          <w:bottom w:val="single" w:sz="2" w:space="0" w:color="E2E5ED"/>
          <w:right w:val="single" w:sz="2" w:space="0" w:color="E2E5ED"/>
        </w:pBdr>
        <w:shd w:val="clear" w:color="auto" w:fill="FFFFFF"/>
        <w:spacing w:before="100" w:beforeAutospacing="1" w:after="100" w:afterAutospacing="1" w:line="240" w:lineRule="auto"/>
        <w:outlineLvl w:val="1"/>
        <w:rPr>
          <w:rFonts w:ascii="Arial" w:eastAsia="Times New Roman" w:hAnsi="Arial" w:cs="Times New Roman"/>
          <w:b/>
          <w:bCs/>
          <w:spacing w:val="-4"/>
          <w:sz w:val="36"/>
          <w:szCs w:val="36"/>
        </w:rPr>
      </w:pPr>
      <w:hyperlink r:id="rId6" w:history="1">
        <w:r w:rsidRPr="00300884">
          <w:rPr>
            <w:rStyle w:val="Hyperlink"/>
            <w:rFonts w:ascii="Arial" w:eastAsia="Times New Roman" w:hAnsi="Arial" w:cs="Times New Roman"/>
            <w:b/>
            <w:bCs/>
            <w:spacing w:val="-4"/>
            <w:sz w:val="36"/>
            <w:szCs w:val="36"/>
          </w:rPr>
          <w:t>https://www.bankrate.com/investing/vix-volatility-index/</w:t>
        </w:r>
      </w:hyperlink>
    </w:p>
    <w:p w:rsidR="00771AD7" w:rsidRDefault="00771AD7" w:rsidP="00771AD7">
      <w:pPr>
        <w:pBdr>
          <w:top w:val="single" w:sz="2" w:space="0" w:color="E2E5ED"/>
          <w:left w:val="single" w:sz="2" w:space="0" w:color="E2E5ED"/>
          <w:bottom w:val="single" w:sz="2" w:space="0" w:color="E2E5ED"/>
          <w:right w:val="single" w:sz="2" w:space="0" w:color="E2E5ED"/>
        </w:pBdr>
        <w:shd w:val="clear" w:color="auto" w:fill="FFFFFF"/>
        <w:spacing w:before="100" w:beforeAutospacing="1" w:after="100" w:afterAutospacing="1" w:line="240" w:lineRule="auto"/>
        <w:outlineLvl w:val="1"/>
        <w:rPr>
          <w:rFonts w:ascii="Arial" w:eastAsia="Times New Roman" w:hAnsi="Arial" w:cs="Times New Roman"/>
          <w:b/>
          <w:bCs/>
          <w:spacing w:val="-4"/>
          <w:sz w:val="36"/>
          <w:szCs w:val="36"/>
        </w:rPr>
      </w:pPr>
      <w:bookmarkStart w:id="0" w:name="_GoBack"/>
      <w:bookmarkEnd w:id="0"/>
    </w:p>
    <w:p w:rsidR="00771AD7" w:rsidRPr="00771AD7" w:rsidRDefault="00771AD7" w:rsidP="00771AD7">
      <w:pPr>
        <w:pBdr>
          <w:top w:val="single" w:sz="2" w:space="0" w:color="E2E5ED"/>
          <w:left w:val="single" w:sz="2" w:space="0" w:color="E2E5ED"/>
          <w:bottom w:val="single" w:sz="2" w:space="0" w:color="E2E5ED"/>
          <w:right w:val="single" w:sz="2" w:space="0" w:color="E2E5ED"/>
        </w:pBdr>
        <w:shd w:val="clear" w:color="auto" w:fill="FFFFFF"/>
        <w:spacing w:before="100" w:beforeAutospacing="1" w:after="100" w:afterAutospacing="1" w:line="240" w:lineRule="auto"/>
        <w:outlineLvl w:val="1"/>
        <w:rPr>
          <w:rFonts w:ascii="Arial" w:eastAsia="Times New Roman" w:hAnsi="Arial" w:cs="Times New Roman"/>
          <w:b/>
          <w:bCs/>
          <w:spacing w:val="-4"/>
          <w:sz w:val="36"/>
          <w:szCs w:val="36"/>
        </w:rPr>
      </w:pPr>
      <w:r w:rsidRPr="00771AD7">
        <w:rPr>
          <w:rFonts w:ascii="Arial" w:eastAsia="Times New Roman" w:hAnsi="Arial" w:cs="Times New Roman"/>
          <w:b/>
          <w:bCs/>
          <w:spacing w:val="-4"/>
          <w:sz w:val="36"/>
          <w:szCs w:val="36"/>
        </w:rPr>
        <w:t>How volatility is measured</w:t>
      </w:r>
    </w:p>
    <w:p w:rsidR="00771AD7" w:rsidRPr="00771AD7" w:rsidRDefault="00771AD7" w:rsidP="00771AD7">
      <w:pPr>
        <w:pBdr>
          <w:top w:val="single" w:sz="2" w:space="0" w:color="E2E5ED"/>
          <w:left w:val="single" w:sz="2" w:space="0" w:color="E2E5ED"/>
          <w:bottom w:val="single" w:sz="2" w:space="0" w:color="E2E5ED"/>
          <w:right w:val="single" w:sz="2" w:space="0" w:color="E2E5ED"/>
        </w:pBdr>
        <w:shd w:val="clear" w:color="auto" w:fill="FFFFFF"/>
        <w:spacing w:before="100" w:beforeAutospacing="1" w:after="100" w:afterAutospacing="1" w:line="240" w:lineRule="auto"/>
        <w:rPr>
          <w:rFonts w:ascii="Arial" w:eastAsia="Times New Roman" w:hAnsi="Arial" w:cs="Times New Roman"/>
          <w:color w:val="515260"/>
          <w:spacing w:val="-4"/>
          <w:sz w:val="27"/>
          <w:szCs w:val="27"/>
        </w:rPr>
      </w:pPr>
      <w:r w:rsidRPr="00771AD7">
        <w:rPr>
          <w:rFonts w:ascii="Arial" w:eastAsia="Times New Roman" w:hAnsi="Arial" w:cs="Times New Roman"/>
          <w:color w:val="515260"/>
          <w:spacing w:val="-4"/>
          <w:sz w:val="27"/>
          <w:szCs w:val="27"/>
        </w:rPr>
        <w:t>The VIX attempts to measure volatility over the next 30 days, but it doesn’t do so precisely. A VIX level of 25 doesn’t mean that volatility will average 25 percent over the next month or so. In fact, </w:t>
      </w:r>
      <w:hyperlink r:id="rId7" w:tgtFrame="_blank" w:history="1">
        <w:r w:rsidRPr="00771AD7">
          <w:rPr>
            <w:rFonts w:ascii="Arial" w:eastAsia="Times New Roman" w:hAnsi="Arial" w:cs="Times New Roman"/>
            <w:color w:val="0000FF"/>
            <w:spacing w:val="-4"/>
            <w:sz w:val="27"/>
            <w:szCs w:val="27"/>
            <w:u w:val="single"/>
            <w:bdr w:val="single" w:sz="2" w:space="0" w:color="E2E5ED" w:frame="1"/>
          </w:rPr>
          <w:t>studies on the VIX</w:t>
        </w:r>
      </w:hyperlink>
      <w:r w:rsidRPr="00771AD7">
        <w:rPr>
          <w:rFonts w:ascii="Arial" w:eastAsia="Times New Roman" w:hAnsi="Arial" w:cs="Times New Roman"/>
          <w:color w:val="515260"/>
          <w:spacing w:val="-4"/>
          <w:sz w:val="27"/>
          <w:szCs w:val="27"/>
        </w:rPr>
        <w:t> have shown that it tends to overestimate volatility by an average of 4 or 5 percent. But the studies also show that there is some predictive value in the VIX. Here are some simple guidelines for what the VIX level is implying about future volatility:</w:t>
      </w:r>
    </w:p>
    <w:p w:rsidR="00771AD7" w:rsidRPr="00771AD7" w:rsidRDefault="00771AD7" w:rsidP="00771AD7">
      <w:pPr>
        <w:numPr>
          <w:ilvl w:val="0"/>
          <w:numId w:val="1"/>
        </w:numPr>
        <w:pBdr>
          <w:top w:val="single" w:sz="2" w:space="0" w:color="E2E5ED"/>
          <w:left w:val="single" w:sz="2" w:space="0" w:color="E2E5ED"/>
          <w:bottom w:val="single" w:sz="2" w:space="0" w:color="E2E5ED"/>
          <w:right w:val="single" w:sz="2" w:space="0" w:color="E2E5ED"/>
        </w:pBdr>
        <w:shd w:val="clear" w:color="auto" w:fill="FFFFFF"/>
        <w:spacing w:beforeAutospacing="1" w:after="0" w:afterAutospacing="1" w:line="240" w:lineRule="auto"/>
        <w:rPr>
          <w:rFonts w:ascii="Arial" w:eastAsia="Times New Roman" w:hAnsi="Arial" w:cs="Times New Roman"/>
          <w:color w:val="515260"/>
          <w:spacing w:val="-4"/>
          <w:sz w:val="27"/>
          <w:szCs w:val="27"/>
        </w:rPr>
      </w:pPr>
      <w:r w:rsidRPr="00771AD7">
        <w:rPr>
          <w:rFonts w:ascii="var(--font-family-sans)" w:eastAsia="Times New Roman" w:hAnsi="var(--font-family-sans)" w:cs="Times New Roman"/>
          <w:b/>
          <w:bCs/>
          <w:color w:val="515260"/>
          <w:spacing w:val="-4"/>
          <w:sz w:val="27"/>
          <w:szCs w:val="27"/>
          <w:bdr w:val="single" w:sz="2" w:space="0" w:color="E2E5ED" w:frame="1"/>
        </w:rPr>
        <w:t>VIX of 0-12:</w:t>
      </w:r>
      <w:r w:rsidRPr="00771AD7">
        <w:rPr>
          <w:rFonts w:ascii="Arial" w:eastAsia="Times New Roman" w:hAnsi="Arial" w:cs="Times New Roman"/>
          <w:color w:val="515260"/>
          <w:spacing w:val="-4"/>
          <w:sz w:val="27"/>
          <w:szCs w:val="27"/>
        </w:rPr>
        <w:t> When the VIX is at this level volatility is expected to be low. For context, the lowest daily closing value for the VIX was 9.14 in November 2017.</w:t>
      </w:r>
    </w:p>
    <w:p w:rsidR="00771AD7" w:rsidRPr="00771AD7" w:rsidRDefault="00771AD7" w:rsidP="00771AD7">
      <w:pPr>
        <w:numPr>
          <w:ilvl w:val="0"/>
          <w:numId w:val="1"/>
        </w:numPr>
        <w:pBdr>
          <w:top w:val="single" w:sz="2" w:space="0" w:color="E2E5ED"/>
          <w:left w:val="single" w:sz="2" w:space="0" w:color="E2E5ED"/>
          <w:bottom w:val="single" w:sz="2" w:space="0" w:color="E2E5ED"/>
          <w:right w:val="single" w:sz="2" w:space="0" w:color="E2E5ED"/>
        </w:pBdr>
        <w:shd w:val="clear" w:color="auto" w:fill="FFFFFF"/>
        <w:spacing w:beforeAutospacing="1" w:after="0" w:afterAutospacing="1" w:line="240" w:lineRule="auto"/>
        <w:rPr>
          <w:rFonts w:ascii="Arial" w:eastAsia="Times New Roman" w:hAnsi="Arial" w:cs="Times New Roman"/>
          <w:color w:val="515260"/>
          <w:spacing w:val="-4"/>
          <w:sz w:val="27"/>
          <w:szCs w:val="27"/>
        </w:rPr>
      </w:pPr>
      <w:r w:rsidRPr="00771AD7">
        <w:rPr>
          <w:rFonts w:ascii="var(--font-family-sans)" w:eastAsia="Times New Roman" w:hAnsi="var(--font-family-sans)" w:cs="Times New Roman"/>
          <w:b/>
          <w:bCs/>
          <w:color w:val="515260"/>
          <w:spacing w:val="-4"/>
          <w:sz w:val="27"/>
          <w:szCs w:val="27"/>
          <w:bdr w:val="single" w:sz="2" w:space="0" w:color="E2E5ED" w:frame="1"/>
        </w:rPr>
        <w:t>VIX of 13-19:</w:t>
      </w:r>
      <w:r w:rsidRPr="00771AD7">
        <w:rPr>
          <w:rFonts w:ascii="Arial" w:eastAsia="Times New Roman" w:hAnsi="Arial" w:cs="Times New Roman"/>
          <w:color w:val="515260"/>
          <w:spacing w:val="-4"/>
          <w:sz w:val="27"/>
          <w:szCs w:val="27"/>
        </w:rPr>
        <w:t> This range is considered to be normal, and volatility over the next 30 days when the VIX is at this level would be expected to be normal.</w:t>
      </w:r>
    </w:p>
    <w:p w:rsidR="00771AD7" w:rsidRPr="00771AD7" w:rsidRDefault="00771AD7" w:rsidP="00771AD7">
      <w:pPr>
        <w:numPr>
          <w:ilvl w:val="0"/>
          <w:numId w:val="1"/>
        </w:numPr>
        <w:pBdr>
          <w:top w:val="single" w:sz="2" w:space="0" w:color="E2E5ED"/>
          <w:left w:val="single" w:sz="2" w:space="0" w:color="E2E5ED"/>
          <w:bottom w:val="single" w:sz="2" w:space="0" w:color="E2E5ED"/>
          <w:right w:val="single" w:sz="2" w:space="0" w:color="E2E5ED"/>
        </w:pBdr>
        <w:shd w:val="clear" w:color="auto" w:fill="FFFFFF"/>
        <w:spacing w:beforeAutospacing="1" w:after="0" w:afterAutospacing="1" w:line="240" w:lineRule="auto"/>
        <w:rPr>
          <w:rFonts w:ascii="Arial" w:eastAsia="Times New Roman" w:hAnsi="Arial" w:cs="Times New Roman"/>
          <w:color w:val="515260"/>
          <w:spacing w:val="-4"/>
          <w:sz w:val="27"/>
          <w:szCs w:val="27"/>
        </w:rPr>
      </w:pPr>
      <w:r w:rsidRPr="00771AD7">
        <w:rPr>
          <w:rFonts w:ascii="var(--font-family-sans)" w:eastAsia="Times New Roman" w:hAnsi="var(--font-family-sans)" w:cs="Times New Roman"/>
          <w:b/>
          <w:bCs/>
          <w:color w:val="515260"/>
          <w:spacing w:val="-4"/>
          <w:sz w:val="27"/>
          <w:szCs w:val="27"/>
          <w:bdr w:val="single" w:sz="2" w:space="0" w:color="E2E5ED" w:frame="1"/>
        </w:rPr>
        <w:t>VIX of 20 or higher:</w:t>
      </w:r>
      <w:r w:rsidRPr="00771AD7">
        <w:rPr>
          <w:rFonts w:ascii="Arial" w:eastAsia="Times New Roman" w:hAnsi="Arial" w:cs="Times New Roman"/>
          <w:color w:val="515260"/>
          <w:spacing w:val="-4"/>
          <w:sz w:val="27"/>
          <w:szCs w:val="27"/>
        </w:rPr>
        <w:t> When the VIX gets to be above 20, you can expect volatility to be higher than normal over the next 30 days. This level is typically reached during times of market stress such as when there are concerns about an economic slowdown or recession. During extreme market events like the financial crisis or the onset of a global pandemic, the VIX may reach levels of 50 or higher.</w:t>
      </w:r>
    </w:p>
    <w:p w:rsidR="00771AD7" w:rsidRPr="00771AD7" w:rsidRDefault="00771AD7" w:rsidP="00771AD7">
      <w:pPr>
        <w:pBdr>
          <w:top w:val="single" w:sz="2" w:space="0" w:color="E2E5ED"/>
          <w:left w:val="single" w:sz="2" w:space="0" w:color="E2E5ED"/>
          <w:bottom w:val="single" w:sz="2" w:space="0" w:color="E2E5ED"/>
          <w:right w:val="single" w:sz="2" w:space="0" w:color="E2E5ED"/>
        </w:pBdr>
        <w:shd w:val="clear" w:color="auto" w:fill="FFFFFF"/>
        <w:spacing w:before="100" w:beforeAutospacing="1" w:after="100" w:afterAutospacing="1" w:line="240" w:lineRule="auto"/>
        <w:rPr>
          <w:rFonts w:ascii="Arial" w:eastAsia="Times New Roman" w:hAnsi="Arial" w:cs="Times New Roman"/>
          <w:color w:val="515260"/>
          <w:spacing w:val="-4"/>
          <w:sz w:val="27"/>
          <w:szCs w:val="27"/>
        </w:rPr>
      </w:pPr>
      <w:r w:rsidRPr="00771AD7">
        <w:rPr>
          <w:rFonts w:ascii="Arial" w:eastAsia="Times New Roman" w:hAnsi="Arial" w:cs="Times New Roman"/>
          <w:color w:val="515260"/>
          <w:spacing w:val="-4"/>
          <w:sz w:val="27"/>
          <w:szCs w:val="27"/>
        </w:rPr>
        <w:t xml:space="preserve">It should be noted that these are rough guidelines </w:t>
      </w:r>
      <w:r w:rsidRPr="00771AD7">
        <w:rPr>
          <w:rFonts w:ascii="Arial" w:eastAsia="Times New Roman" w:hAnsi="Arial" w:cs="Arial"/>
          <w:color w:val="515260"/>
          <w:spacing w:val="-4"/>
          <w:sz w:val="27"/>
          <w:szCs w:val="27"/>
        </w:rPr>
        <w:t>⏤</w:t>
      </w:r>
      <w:r w:rsidRPr="00771AD7">
        <w:rPr>
          <w:rFonts w:ascii="Arial" w:eastAsia="Times New Roman" w:hAnsi="Arial" w:cs="Times New Roman"/>
          <w:color w:val="515260"/>
          <w:spacing w:val="-4"/>
          <w:sz w:val="27"/>
          <w:szCs w:val="27"/>
        </w:rPr>
        <w:t xml:space="preserve"> unexpected events can throw a wrench into markets and a low VIX level today could be followed by a period of extreme volatility if circumstances change.</w:t>
      </w:r>
    </w:p>
    <w:p w:rsidR="00FD44F1" w:rsidRDefault="00FD44F1"/>
    <w:sectPr w:rsidR="00FD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22C63"/>
    <w:multiLevelType w:val="multilevel"/>
    <w:tmpl w:val="3F2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F1"/>
    <w:rsid w:val="00771AD7"/>
    <w:rsid w:val="00FD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1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A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A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AD7"/>
    <w:rPr>
      <w:color w:val="0000FF"/>
      <w:u w:val="single"/>
    </w:rPr>
  </w:style>
  <w:style w:type="character" w:styleId="Strong">
    <w:name w:val="Strong"/>
    <w:basedOn w:val="DefaultParagraphFont"/>
    <w:uiPriority w:val="22"/>
    <w:qFormat/>
    <w:rsid w:val="00771A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1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A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A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AD7"/>
    <w:rPr>
      <w:color w:val="0000FF"/>
      <w:u w:val="single"/>
    </w:rPr>
  </w:style>
  <w:style w:type="character" w:styleId="Strong">
    <w:name w:val="Strong"/>
    <w:basedOn w:val="DefaultParagraphFont"/>
    <w:uiPriority w:val="22"/>
    <w:qFormat/>
    <w:rsid w:val="0077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9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dn.cboe.com/resources/vix/SandP%20A%20Practitioners%20Guide%20to%20Reading%20VI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rate.com/investing/vix-volatility-i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2025-01-11T12:38:00Z</dcterms:created>
  <dcterms:modified xsi:type="dcterms:W3CDTF">2025-01-11T12:38:00Z</dcterms:modified>
</cp:coreProperties>
</file>