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F36" w:rsidRPr="00D33F36" w:rsidRDefault="00D33F36" w:rsidP="00D33F36">
      <w:pPr>
        <w:rPr>
          <w:rFonts w:ascii="Calibri" w:eastAsia="Times New Roman" w:hAnsi="Calibri" w:cs="Calibri"/>
          <w:color w:val="000000"/>
          <w:sz w:val="22"/>
          <w:szCs w:val="22"/>
        </w:rPr>
      </w:pPr>
      <w:r w:rsidRPr="00D33F36">
        <w:rPr>
          <w:rFonts w:ascii="Calibri" w:eastAsia="Times New Roman" w:hAnsi="Calibri" w:cs="Calibri"/>
          <w:color w:val="000000"/>
          <w:sz w:val="22"/>
          <w:szCs w:val="22"/>
        </w:rPr>
        <w:t>This task will help set up future work that will be poised to explore key questions such as:</w:t>
      </w:r>
    </w:p>
    <w:p w:rsidR="00D33F36" w:rsidRPr="00D33F36" w:rsidRDefault="00D33F36" w:rsidP="00D33F36">
      <w:pPr>
        <w:numPr>
          <w:ilvl w:val="0"/>
          <w:numId w:val="1"/>
        </w:numPr>
        <w:textAlignment w:val="center"/>
        <w:rPr>
          <w:rFonts w:ascii="Calibri" w:eastAsia="Times New Roman" w:hAnsi="Calibri" w:cs="Calibri"/>
          <w:color w:val="000000"/>
          <w:sz w:val="22"/>
          <w:szCs w:val="22"/>
        </w:rPr>
      </w:pPr>
      <w:r w:rsidRPr="00D33F36">
        <w:rPr>
          <w:rFonts w:ascii="Calibri" w:eastAsia="Times New Roman" w:hAnsi="Calibri" w:cs="Calibri"/>
          <w:color w:val="000000"/>
          <w:sz w:val="22"/>
          <w:szCs w:val="22"/>
        </w:rPr>
        <w:t>How do carbon prices direct the behavior across the U.S. (bio) economy, and how might this differ with different carbon market structures?</w:t>
      </w:r>
    </w:p>
    <w:p w:rsidR="00D33F36" w:rsidRPr="00D33F36" w:rsidRDefault="00D33F36" w:rsidP="00D33F36">
      <w:pPr>
        <w:numPr>
          <w:ilvl w:val="0"/>
          <w:numId w:val="1"/>
        </w:numPr>
        <w:textAlignment w:val="center"/>
        <w:rPr>
          <w:rFonts w:ascii="Calibri" w:eastAsia="Times New Roman" w:hAnsi="Calibri" w:cs="Calibri"/>
          <w:color w:val="000000"/>
          <w:sz w:val="22"/>
          <w:szCs w:val="22"/>
        </w:rPr>
      </w:pPr>
      <w:r w:rsidRPr="00D33F36">
        <w:rPr>
          <w:rFonts w:ascii="Calibri" w:eastAsia="Times New Roman" w:hAnsi="Calibri" w:cs="Calibri"/>
          <w:color w:val="000000"/>
          <w:sz w:val="22"/>
          <w:szCs w:val="22"/>
        </w:rPr>
        <w:t>How do carbon prices across the energy system (i.e., outside the bio-economy) affect bioenergy competitiveness and deployment, considering competition with hydrocarbon fuels and carbon-free electricity generation, with the associated new opportunities for electricity demand?</w:t>
      </w:r>
    </w:p>
    <w:p w:rsidR="00D33F36" w:rsidRPr="00D33F36" w:rsidRDefault="00D33F36" w:rsidP="00D33F36">
      <w:pPr>
        <w:numPr>
          <w:ilvl w:val="0"/>
          <w:numId w:val="1"/>
        </w:numPr>
        <w:textAlignment w:val="center"/>
        <w:rPr>
          <w:rFonts w:ascii="Calibri" w:eastAsia="Times New Roman" w:hAnsi="Calibri" w:cs="Calibri"/>
          <w:color w:val="000000"/>
          <w:sz w:val="22"/>
          <w:szCs w:val="22"/>
        </w:rPr>
      </w:pPr>
      <w:r w:rsidRPr="00D33F36">
        <w:rPr>
          <w:rFonts w:ascii="Calibri" w:eastAsia="Times New Roman" w:hAnsi="Calibri" w:cs="Calibri"/>
          <w:color w:val="000000"/>
          <w:sz w:val="22"/>
          <w:szCs w:val="22"/>
        </w:rPr>
        <w:t>What effects might carbon prices have on the U.S. biofuels deployment?</w:t>
      </w:r>
    </w:p>
    <w:p w:rsidR="00D33F36" w:rsidRPr="00D33F36" w:rsidRDefault="00D33F36" w:rsidP="00D33F36">
      <w:pPr>
        <w:numPr>
          <w:ilvl w:val="0"/>
          <w:numId w:val="1"/>
        </w:numPr>
        <w:textAlignment w:val="center"/>
        <w:rPr>
          <w:rFonts w:ascii="Calibri" w:eastAsia="Times New Roman" w:hAnsi="Calibri" w:cs="Calibri"/>
          <w:color w:val="000000"/>
          <w:sz w:val="22"/>
          <w:szCs w:val="22"/>
        </w:rPr>
      </w:pPr>
      <w:r w:rsidRPr="00D33F36">
        <w:rPr>
          <w:rFonts w:ascii="Calibri" w:eastAsia="Times New Roman" w:hAnsi="Calibri" w:cs="Calibri"/>
          <w:color w:val="000000"/>
          <w:sz w:val="22"/>
          <w:szCs w:val="22"/>
        </w:rPr>
        <w:t>What are the effects of carbon pricing scenarios on the needs of enabling technologies for biofuels for additional incentives, R&amp;D, or both?</w:t>
      </w:r>
    </w:p>
    <w:p w:rsidR="00D33F36" w:rsidRPr="00D33F36" w:rsidRDefault="00D33F36" w:rsidP="00D33F36">
      <w:pPr>
        <w:numPr>
          <w:ilvl w:val="0"/>
          <w:numId w:val="1"/>
        </w:numPr>
        <w:spacing w:after="120"/>
        <w:textAlignment w:val="center"/>
        <w:rPr>
          <w:rFonts w:ascii="Calibri" w:eastAsia="Times New Roman" w:hAnsi="Calibri" w:cs="Calibri"/>
          <w:color w:val="000000"/>
          <w:sz w:val="22"/>
          <w:szCs w:val="22"/>
        </w:rPr>
      </w:pPr>
      <w:r w:rsidRPr="00D33F36">
        <w:rPr>
          <w:rFonts w:ascii="Calibri" w:eastAsia="Times New Roman" w:hAnsi="Calibri" w:cs="Calibri"/>
          <w:color w:val="000000"/>
          <w:sz w:val="22"/>
          <w:szCs w:val="22"/>
        </w:rPr>
        <w:t>How can biofuels R&amp;D maximize the potential co-benefits of carbon markets related to use of resources (biomass, land, water, etc.) for different applications within the bioeconomy (biopower, biofuels, biochemicals)?</w:t>
      </w:r>
    </w:p>
    <w:p w:rsidR="00D33F36" w:rsidRPr="00D33F36" w:rsidRDefault="00D33F36" w:rsidP="00D33F36">
      <w:pPr>
        <w:rPr>
          <w:rFonts w:ascii="Calibri" w:eastAsia="Times New Roman" w:hAnsi="Calibri" w:cs="Calibri"/>
          <w:color w:val="000000"/>
        </w:rPr>
      </w:pPr>
      <w:r w:rsidRPr="00D33F36">
        <w:rPr>
          <w:rFonts w:ascii="Calibri" w:eastAsia="Times New Roman" w:hAnsi="Calibri" w:cs="Calibri"/>
          <w:color w:val="000000"/>
          <w:sz w:val="22"/>
          <w:szCs w:val="22"/>
        </w:rPr>
        <w:t>We will define and parameterize a set of scenarios that will serve as the basis for model runs and interactions. Scenario development will include identifying analytical scope and collecting necessary data. Additionally, we will refine the analytic plan to answer selected key questions for the go / no-go decision point, technology scope, data sources, and analytic tools.</w:t>
      </w:r>
    </w:p>
    <w:p w:rsidR="00D33F36" w:rsidRPr="00D33F36" w:rsidRDefault="00D33F36" w:rsidP="00D33F36">
      <w:pPr>
        <w:rPr>
          <w:rFonts w:ascii="Calibri" w:eastAsia="Times New Roman" w:hAnsi="Calibri" w:cs="Calibri"/>
          <w:color w:val="000000"/>
        </w:rPr>
      </w:pPr>
      <w:r w:rsidRPr="00D33F36">
        <w:rPr>
          <w:rFonts w:ascii="Calibri" w:eastAsia="Times New Roman" w:hAnsi="Calibri" w:cs="Calibri"/>
          <w:color w:val="000000"/>
          <w:sz w:val="22"/>
          <w:szCs w:val="22"/>
        </w:rPr>
        <w:t> </w:t>
      </w:r>
    </w:p>
    <w:p w:rsidR="000E6354" w:rsidRDefault="000E6354"/>
    <w:p w:rsidR="00EE1AF0" w:rsidRDefault="00EE1AF0"/>
    <w:p w:rsidR="00EE1AF0" w:rsidRDefault="00EE1AF0">
      <w:r w:rsidRPr="00EE1AF0">
        <w:rPr>
          <w:highlight w:val="yellow"/>
        </w:rPr>
        <w:t>From Danny</w:t>
      </w:r>
    </w:p>
    <w:p w:rsidR="00EE1AF0" w:rsidRPr="00EE1AF0" w:rsidRDefault="00EE1AF0" w:rsidP="00EE1AF0">
      <w:pPr>
        <w:rPr>
          <w:rFonts w:ascii="Calibri" w:eastAsia="Times New Roman" w:hAnsi="Calibri" w:cs="Calibri"/>
          <w:color w:val="000000"/>
          <w:sz w:val="22"/>
          <w:szCs w:val="22"/>
        </w:rPr>
      </w:pPr>
      <w:r w:rsidRPr="00EE1AF0">
        <w:rPr>
          <w:rFonts w:ascii="Calibri" w:eastAsia="Times New Roman" w:hAnsi="Calibri" w:cs="Calibri"/>
          <w:color w:val="000000"/>
          <w:sz w:val="22"/>
          <w:szCs w:val="22"/>
        </w:rPr>
        <w:t>Below is a short list of GCAM factors that I think may be used to inform BSM:</w:t>
      </w:r>
    </w:p>
    <w:p w:rsidR="00EE1AF0" w:rsidRPr="00EE1AF0" w:rsidRDefault="00EE1AF0" w:rsidP="00EE1AF0">
      <w:pPr>
        <w:rPr>
          <w:rFonts w:ascii="Calibri" w:eastAsia="Times New Roman" w:hAnsi="Calibri" w:cs="Calibri"/>
          <w:color w:val="000000"/>
          <w:sz w:val="22"/>
          <w:szCs w:val="22"/>
        </w:rPr>
      </w:pPr>
      <w:r w:rsidRPr="00EE1AF0">
        <w:rPr>
          <w:rFonts w:ascii="Calibri" w:eastAsia="Times New Roman" w:hAnsi="Calibri" w:cs="Calibri"/>
          <w:color w:val="000000"/>
          <w:sz w:val="22"/>
          <w:szCs w:val="22"/>
        </w:rPr>
        <w:t> </w:t>
      </w:r>
    </w:p>
    <w:p w:rsidR="00EE1AF0" w:rsidRP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Agricultural production levels and prices</w:t>
      </w:r>
      <w:r w:rsidR="00D5198E">
        <w:rPr>
          <w:rFonts w:ascii="Calibri" w:eastAsia="Times New Roman" w:hAnsi="Calibri" w:cs="Calibri"/>
          <w:color w:val="000000"/>
          <w:sz w:val="22"/>
          <w:szCs w:val="22"/>
        </w:rPr>
        <w:t xml:space="preserve"> </w:t>
      </w:r>
      <w:r w:rsidR="000D78A1">
        <w:rPr>
          <w:rFonts w:ascii="Calibri" w:eastAsia="Times New Roman" w:hAnsi="Calibri" w:cs="Calibri"/>
          <w:color w:val="000000"/>
          <w:sz w:val="22"/>
          <w:szCs w:val="22"/>
        </w:rPr>
        <w:t>–</w:t>
      </w:r>
      <w:r w:rsidR="000D78A1" w:rsidRPr="000D78A1">
        <w:rPr>
          <w:rFonts w:ascii="Calibri" w:eastAsia="Times New Roman" w:hAnsi="Calibri" w:cs="Calibri"/>
          <w:color w:val="000000"/>
          <w:sz w:val="22"/>
          <w:szCs w:val="22"/>
        </w:rPr>
        <w:t xml:space="preserve"> </w:t>
      </w:r>
      <w:r w:rsidR="000D78A1">
        <w:rPr>
          <w:rFonts w:ascii="Calibri" w:eastAsia="Times New Roman" w:hAnsi="Calibri" w:cs="Calibri"/>
          <w:color w:val="000000"/>
          <w:sz w:val="22"/>
          <w:szCs w:val="22"/>
          <w:lang w:val="ru-RU"/>
        </w:rPr>
        <w:t>посмотреть</w:t>
      </w:r>
      <w:r w:rsidR="000D78A1" w:rsidRPr="000D78A1">
        <w:rPr>
          <w:rFonts w:ascii="Calibri" w:eastAsia="Times New Roman" w:hAnsi="Calibri" w:cs="Calibri"/>
          <w:color w:val="000000"/>
          <w:sz w:val="22"/>
          <w:szCs w:val="22"/>
        </w:rPr>
        <w:t xml:space="preserve"> </w:t>
      </w:r>
      <w:r w:rsidR="000D78A1">
        <w:rPr>
          <w:rFonts w:ascii="Calibri" w:eastAsia="Times New Roman" w:hAnsi="Calibri" w:cs="Calibri"/>
          <w:color w:val="000000"/>
          <w:sz w:val="22"/>
          <w:szCs w:val="22"/>
          <w:lang w:val="ru-RU"/>
        </w:rPr>
        <w:t>на</w:t>
      </w:r>
      <w:r w:rsidR="000D78A1" w:rsidRPr="000D78A1">
        <w:rPr>
          <w:rFonts w:ascii="Calibri" w:eastAsia="Times New Roman" w:hAnsi="Calibri" w:cs="Calibri"/>
          <w:color w:val="000000"/>
          <w:sz w:val="22"/>
          <w:szCs w:val="22"/>
        </w:rPr>
        <w:t xml:space="preserve"> </w:t>
      </w:r>
      <w:r w:rsidR="000D78A1">
        <w:rPr>
          <w:rFonts w:ascii="Calibri" w:eastAsia="Times New Roman" w:hAnsi="Calibri" w:cs="Calibri"/>
          <w:color w:val="000000"/>
          <w:sz w:val="22"/>
          <w:szCs w:val="22"/>
          <w:lang w:val="ru-RU"/>
        </w:rPr>
        <w:t>сайте</w:t>
      </w:r>
      <w:r w:rsidR="000D78A1" w:rsidRPr="000D78A1">
        <w:rPr>
          <w:rFonts w:ascii="Calibri" w:eastAsia="Times New Roman" w:hAnsi="Calibri" w:cs="Calibri"/>
          <w:color w:val="000000"/>
          <w:sz w:val="22"/>
          <w:szCs w:val="22"/>
        </w:rPr>
        <w:t xml:space="preserve"> </w:t>
      </w:r>
      <w:r w:rsidR="000D78A1">
        <w:rPr>
          <w:rFonts w:ascii="Calibri" w:eastAsia="Times New Roman" w:hAnsi="Calibri" w:cs="Calibri"/>
          <w:color w:val="000000"/>
          <w:sz w:val="22"/>
          <w:szCs w:val="22"/>
          <w:lang w:val="ru-RU"/>
        </w:rPr>
        <w:t>про</w:t>
      </w:r>
      <w:r w:rsidR="000D78A1" w:rsidRPr="000D78A1">
        <w:rPr>
          <w:rFonts w:ascii="Calibri" w:eastAsia="Times New Roman" w:hAnsi="Calibri" w:cs="Calibri"/>
          <w:color w:val="000000"/>
          <w:sz w:val="22"/>
          <w:szCs w:val="22"/>
        </w:rPr>
        <w:t xml:space="preserve"> </w:t>
      </w:r>
      <w:r w:rsidR="000D78A1">
        <w:rPr>
          <w:rFonts w:ascii="Calibri" w:eastAsia="Times New Roman" w:hAnsi="Calibri" w:cs="Calibri"/>
          <w:color w:val="000000"/>
          <w:sz w:val="22"/>
          <w:szCs w:val="22"/>
          <w:lang w:val="ru-RU"/>
        </w:rPr>
        <w:t>границы</w:t>
      </w:r>
    </w:p>
    <w:p w:rsid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Domestic energy consumption and prices (biofuels, bioenergy, petrol fuels)</w:t>
      </w:r>
      <w:r w:rsidR="000D78A1">
        <w:rPr>
          <w:rFonts w:ascii="Calibri" w:eastAsia="Times New Roman" w:hAnsi="Calibri" w:cs="Calibri"/>
          <w:color w:val="000000"/>
          <w:sz w:val="22"/>
          <w:szCs w:val="22"/>
        </w:rPr>
        <w:t>-</w:t>
      </w:r>
    </w:p>
    <w:p w:rsidR="000D78A1" w:rsidRPr="00EE1AF0" w:rsidRDefault="000D78A1" w:rsidP="000D78A1">
      <w:pPr>
        <w:ind w:left="720"/>
        <w:rPr>
          <w:rFonts w:ascii="Calibri" w:eastAsia="Times New Roman" w:hAnsi="Calibri" w:cs="Calibri"/>
          <w:color w:val="000000"/>
          <w:sz w:val="22"/>
          <w:szCs w:val="22"/>
        </w:rPr>
      </w:pPr>
    </w:p>
    <w:p w:rsidR="00EE1AF0" w:rsidRP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Domestic biofuel production levels</w:t>
      </w:r>
    </w:p>
    <w:p w:rsidR="00EE1AF0" w:rsidRP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Domestic vehicle markets</w:t>
      </w:r>
      <w:r w:rsidR="008B4054">
        <w:rPr>
          <w:rFonts w:ascii="Calibri" w:eastAsia="Times New Roman" w:hAnsi="Calibri" w:cs="Calibri"/>
          <w:color w:val="000000"/>
          <w:sz w:val="22"/>
          <w:szCs w:val="22"/>
        </w:rPr>
        <w:t xml:space="preserve"> (what does it include; BSM – light duty trucks)</w:t>
      </w:r>
    </w:p>
    <w:p w:rsidR="00EE1AF0" w:rsidRP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International demand for biomass and bioenergy from the US</w:t>
      </w:r>
    </w:p>
    <w:p w:rsidR="00EE1AF0" w:rsidRP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US energy imports</w:t>
      </w:r>
    </w:p>
    <w:p w:rsidR="00EE1AF0" w:rsidRPr="00EE1AF0" w:rsidRDefault="00EE1AF0" w:rsidP="00EE1AF0">
      <w:pPr>
        <w:numPr>
          <w:ilvl w:val="0"/>
          <w:numId w:val="2"/>
        </w:numPr>
        <w:rPr>
          <w:rFonts w:ascii="Calibri" w:eastAsia="Times New Roman" w:hAnsi="Calibri" w:cs="Calibri"/>
          <w:color w:val="000000"/>
          <w:sz w:val="22"/>
          <w:szCs w:val="22"/>
        </w:rPr>
      </w:pPr>
      <w:r w:rsidRPr="00EE1AF0">
        <w:rPr>
          <w:rFonts w:ascii="Calibri" w:eastAsia="Times New Roman" w:hAnsi="Calibri" w:cs="Calibri"/>
          <w:color w:val="000000"/>
          <w:sz w:val="22"/>
          <w:szCs w:val="22"/>
        </w:rPr>
        <w:t>Carbon prices</w:t>
      </w:r>
    </w:p>
    <w:p w:rsidR="000D78A1" w:rsidRDefault="000D78A1">
      <w:pPr>
        <w:rPr>
          <w:lang w:val="ru-RU"/>
        </w:rPr>
      </w:pPr>
      <w:r>
        <w:rPr>
          <w:lang w:val="ru-RU"/>
        </w:rPr>
        <w:t>Сайт:</w:t>
      </w:r>
    </w:p>
    <w:p w:rsidR="000D78A1" w:rsidRPr="000D78A1" w:rsidRDefault="000D78A1"/>
    <w:p w:rsidR="008B4054" w:rsidRDefault="008B4054">
      <w:r>
        <w:t>Comparison at national level…</w:t>
      </w:r>
    </w:p>
    <w:p w:rsidR="00EE1AF0" w:rsidRDefault="00EE1AF0"/>
    <w:p w:rsidR="00EE1AF0" w:rsidRDefault="00EE1AF0">
      <w:r w:rsidRPr="00EE1AF0">
        <w:rPr>
          <w:highlight w:val="yellow"/>
        </w:rPr>
        <w:t>Call with Steve (10/10/19)</w:t>
      </w:r>
    </w:p>
    <w:p w:rsidR="003F59DD" w:rsidRDefault="003F59DD"/>
    <w:p w:rsidR="003F59DD" w:rsidRDefault="003F59DD">
      <w:r>
        <w:t>S: Import carbon prices from GCAM</w:t>
      </w:r>
    </w:p>
    <w:p w:rsidR="003F59DD" w:rsidRDefault="003F59DD">
      <w:r>
        <w:t xml:space="preserve">Density </w:t>
      </w:r>
    </w:p>
    <w:p w:rsidR="003F59DD" w:rsidRDefault="003F59DD">
      <w:r>
        <w:t xml:space="preserve">Compare vehicle GCAM with BSM </w:t>
      </w:r>
    </w:p>
    <w:p w:rsidR="003F59DD" w:rsidRDefault="003F59DD">
      <w:r>
        <w:t xml:space="preserve">Fuel and carbon – compare results – compare results </w:t>
      </w:r>
    </w:p>
    <w:p w:rsidR="003F59DD" w:rsidRDefault="00D5198E">
      <w:r>
        <w:t>Where we want to use GCAM as input? And as comparison?</w:t>
      </w:r>
    </w:p>
    <w:p w:rsidR="00D5198E" w:rsidRDefault="00D5198E"/>
    <w:p w:rsidR="00D5198E" w:rsidRDefault="00D5198E">
      <w:r>
        <w:t>Vehicles: drive BSM with some GCAM scenarios, think about their energy imports?</w:t>
      </w:r>
    </w:p>
    <w:p w:rsidR="00D5198E" w:rsidRDefault="00D5198E">
      <w:r>
        <w:t>International demand: look at it. Demand stream we can play with. Wood stream – put in the model if it exists</w:t>
      </w:r>
    </w:p>
    <w:p w:rsidR="00D5198E" w:rsidRDefault="00D5198E"/>
    <w:p w:rsidR="003F59DD" w:rsidRDefault="003F59DD">
      <w:r>
        <w:lastRenderedPageBreak/>
        <w:t>L: oil price trajectory</w:t>
      </w:r>
    </w:p>
    <w:p w:rsidR="003F59DD" w:rsidRDefault="003F59DD">
      <w:r>
        <w:t>Carbon price; petrol price import from GCAM-</w:t>
      </w:r>
    </w:p>
    <w:p w:rsidR="003F59DD" w:rsidRDefault="003F59DD">
      <w:r>
        <w:t>Double check for me:</w:t>
      </w:r>
    </w:p>
    <w:p w:rsidR="003F59DD" w:rsidRDefault="003F59DD" w:rsidP="003F59DD">
      <w:pPr>
        <w:pStyle w:val="ListParagraph"/>
        <w:numPr>
          <w:ilvl w:val="0"/>
          <w:numId w:val="3"/>
        </w:numPr>
      </w:pPr>
      <w:r>
        <w:t>Look through the numbers – C intensity; energy intensity for different sources;</w:t>
      </w:r>
    </w:p>
    <w:p w:rsidR="003F59DD" w:rsidRDefault="003F59DD" w:rsidP="003F59DD">
      <w:pPr>
        <w:pStyle w:val="ListParagraph"/>
        <w:numPr>
          <w:ilvl w:val="0"/>
          <w:numId w:val="3"/>
        </w:numPr>
      </w:pPr>
      <w:r>
        <w:t xml:space="preserve">Comparison agriculture/ domestic energy prod and cons for biofuels/ </w:t>
      </w:r>
    </w:p>
    <w:p w:rsidR="003F59DD" w:rsidRDefault="003F59DD" w:rsidP="003F59DD">
      <w:r>
        <w:t xml:space="preserve">Domestic oil prices and C prices and compare the results – </w:t>
      </w:r>
    </w:p>
    <w:p w:rsidR="003F59DD" w:rsidRDefault="003F59DD" w:rsidP="003F59DD"/>
    <w:p w:rsidR="003F59DD" w:rsidRDefault="003F59DD" w:rsidP="003F59DD">
      <w:r>
        <w:t>What should be done:</w:t>
      </w:r>
    </w:p>
    <w:p w:rsidR="00D5198E" w:rsidRDefault="003F59DD" w:rsidP="00D5198E">
      <w:pPr>
        <w:pStyle w:val="ListParagraph"/>
        <w:numPr>
          <w:ilvl w:val="0"/>
          <w:numId w:val="4"/>
        </w:numPr>
      </w:pPr>
      <w:r>
        <w:t xml:space="preserve">BSM </w:t>
      </w:r>
      <w:r w:rsidR="00D5198E">
        <w:t>–</w:t>
      </w:r>
      <w:r>
        <w:t xml:space="preserve"> </w:t>
      </w:r>
      <w:r w:rsidR="00D5198E">
        <w:t>what are the specific BSM parameters that represents this concept in Danny list: names, what I want to see if I compare; Dive in BSM and see the different variables</w:t>
      </w:r>
    </w:p>
    <w:p w:rsidR="00D5198E" w:rsidRDefault="00D5198E" w:rsidP="00D5198E">
      <w:pPr>
        <w:pStyle w:val="ListParagraph"/>
        <w:numPr>
          <w:ilvl w:val="0"/>
          <w:numId w:val="4"/>
        </w:numPr>
      </w:pPr>
      <w:r>
        <w:t>GCAM – look how the parameters are formed</w:t>
      </w:r>
    </w:p>
    <w:p w:rsidR="00D5198E" w:rsidRDefault="00D5198E" w:rsidP="00D5198E"/>
    <w:p w:rsidR="00D5198E" w:rsidRDefault="00D5198E" w:rsidP="00D5198E">
      <w:r>
        <w:t>Steps</w:t>
      </w:r>
    </w:p>
    <w:p w:rsidR="00D5198E" w:rsidRDefault="00D5198E" w:rsidP="00D5198E"/>
    <w:p w:rsidR="00D5198E" w:rsidRDefault="00D5198E" w:rsidP="00D5198E">
      <w:pPr>
        <w:pStyle w:val="ListParagraph"/>
        <w:numPr>
          <w:ilvl w:val="0"/>
          <w:numId w:val="5"/>
        </w:numPr>
      </w:pPr>
      <w:r>
        <w:t>Petro + Carbon; they have enough; IPCC scenarios documentation;</w:t>
      </w:r>
    </w:p>
    <w:p w:rsidR="00D5198E" w:rsidRDefault="00D5198E" w:rsidP="00D5198E">
      <w:pPr>
        <w:pStyle w:val="ListParagraph"/>
        <w:ind w:left="720"/>
      </w:pPr>
      <w:r>
        <w:t>Look at GCAM carbon scenarios;</w:t>
      </w:r>
    </w:p>
    <w:p w:rsidR="00D5198E" w:rsidRDefault="00D5198E" w:rsidP="00D5198E">
      <w:pPr>
        <w:pStyle w:val="ListParagraph"/>
        <w:ind w:left="720"/>
      </w:pPr>
      <w:r>
        <w:t>1.5C scenario;</w:t>
      </w:r>
    </w:p>
    <w:p w:rsidR="00D5198E" w:rsidRDefault="008B4054" w:rsidP="00D5198E">
      <w:pPr>
        <w:pStyle w:val="ListParagraph"/>
        <w:ind w:left="720"/>
      </w:pPr>
      <w:r>
        <w:t xml:space="preserve">How do they organize scenarios; do they bunch of IPCC ones; </w:t>
      </w:r>
    </w:p>
    <w:p w:rsidR="008B4054" w:rsidRDefault="008B4054" w:rsidP="00D5198E">
      <w:pPr>
        <w:pStyle w:val="ListParagraph"/>
        <w:ind w:left="720"/>
      </w:pPr>
      <w:r>
        <w:t xml:space="preserve">Do they have sets of scenarios for different levels of GHG mitigations? Sensitivity to GHG mitigation, </w:t>
      </w:r>
    </w:p>
    <w:p w:rsidR="008B4054" w:rsidRDefault="008B4054" w:rsidP="00D5198E">
      <w:pPr>
        <w:pStyle w:val="ListParagraph"/>
        <w:ind w:left="720"/>
      </w:pPr>
      <w:r>
        <w:t>Do they have only IPCC or do they have sets of whatever?</w:t>
      </w:r>
    </w:p>
    <w:p w:rsidR="008B4054" w:rsidRDefault="008B4054" w:rsidP="00D5198E">
      <w:pPr>
        <w:pStyle w:val="ListParagraph"/>
        <w:ind w:left="720"/>
      </w:pPr>
      <w:r>
        <w:t xml:space="preserve">Biofuels: </w:t>
      </w:r>
    </w:p>
    <w:p w:rsidR="008B4054" w:rsidRDefault="008B4054" w:rsidP="00D5198E">
      <w:pPr>
        <w:pStyle w:val="ListParagraph"/>
        <w:ind w:left="720"/>
      </w:pPr>
    </w:p>
    <w:p w:rsidR="008B4054" w:rsidRDefault="008B4054" w:rsidP="00D5198E">
      <w:pPr>
        <w:pStyle w:val="ListParagraph"/>
        <w:ind w:left="720"/>
      </w:pPr>
      <w:r>
        <w:t>Energy density; carbon density – check – Emily was the one who put it there…</w:t>
      </w:r>
    </w:p>
    <w:p w:rsidR="008B4054" w:rsidRDefault="008B4054" w:rsidP="00D5198E">
      <w:pPr>
        <w:pStyle w:val="ListParagraph"/>
        <w:ind w:left="720"/>
      </w:pPr>
    </w:p>
    <w:p w:rsidR="008B4054" w:rsidRDefault="008B4054" w:rsidP="00D5198E">
      <w:pPr>
        <w:pStyle w:val="ListParagraph"/>
        <w:ind w:left="720"/>
      </w:pPr>
      <w:r>
        <w:t xml:space="preserve">What we would </w:t>
      </w:r>
    </w:p>
    <w:p w:rsidR="008B4054" w:rsidRDefault="008B4054" w:rsidP="00D5198E">
      <w:pPr>
        <w:pStyle w:val="ListParagraph"/>
        <w:ind w:left="720"/>
      </w:pPr>
    </w:p>
    <w:p w:rsidR="00D5198E" w:rsidRDefault="00D5198E" w:rsidP="00D5198E">
      <w:pPr>
        <w:pStyle w:val="ListParagraph"/>
        <w:numPr>
          <w:ilvl w:val="0"/>
          <w:numId w:val="5"/>
        </w:numPr>
      </w:pPr>
      <w:r>
        <w:t>Vehicle</w:t>
      </w:r>
    </w:p>
    <w:p w:rsidR="00D5198E" w:rsidRDefault="00D5198E" w:rsidP="00D5198E">
      <w:pPr>
        <w:pStyle w:val="ListParagraph"/>
        <w:numPr>
          <w:ilvl w:val="0"/>
          <w:numId w:val="5"/>
        </w:numPr>
      </w:pPr>
      <w:r>
        <w:t>Energy imports</w:t>
      </w:r>
    </w:p>
    <w:p w:rsidR="003F59DD" w:rsidRDefault="002944E2" w:rsidP="003F59DD">
      <w:pPr>
        <w:pStyle w:val="ListParagraph"/>
        <w:ind w:left="720"/>
      </w:pPr>
      <w:r>
        <w:lastRenderedPageBreak/>
        <w:t xml:space="preserve">Co-product,  – third bin; </w:t>
      </w:r>
    </w:p>
    <w:p w:rsidR="002944E2" w:rsidRDefault="00907E95" w:rsidP="003F59DD">
      <w:pPr>
        <w:pStyle w:val="ListParagraph"/>
        <w:ind w:left="720"/>
      </w:pPr>
      <w:r>
        <w:t>From Laura:</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Hi, Irina,</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 </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This article:</w:t>
      </w:r>
    </w:p>
    <w:p w:rsidR="00907E95" w:rsidRPr="00907E95" w:rsidRDefault="00907E95" w:rsidP="00907E95">
      <w:pPr>
        <w:rPr>
          <w:rFonts w:ascii="Calibri" w:eastAsia="Times New Roman" w:hAnsi="Calibri" w:cs="Calibri"/>
          <w:color w:val="000000"/>
          <w:sz w:val="22"/>
          <w:szCs w:val="22"/>
        </w:rPr>
      </w:pPr>
      <w:hyperlink r:id="rId6" w:tooltip="https://www.nature.com/articles/s41558-018-0091-3" w:history="1">
        <w:r w:rsidRPr="00907E95">
          <w:rPr>
            <w:rFonts w:ascii="Calibri" w:eastAsia="Times New Roman" w:hAnsi="Calibri" w:cs="Calibri"/>
            <w:color w:val="954F72"/>
            <w:sz w:val="22"/>
            <w:szCs w:val="22"/>
            <w:u w:val="single"/>
          </w:rPr>
          <w:t>https://www.nature.com/articles/s41558-018-0091-3</w:t>
        </w:r>
      </w:hyperlink>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…describes IPCC scenarios that were used in a model inter-comparison project. GCAM was part of this study. We might want to start with scenarios in the “Shared Socio-economic Pathway (SSP) -2” family, which is described as “middle of the road” socio-economics. There should be multiple GCAM scenarios in this family that vary in terms of what concentration of GHG they result in.</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 </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This one, that I sent before, specifies a $35/tonne carbon tax starting in 2022 and increasing 5% per year. </w:t>
      </w:r>
      <w:hyperlink r:id="rId7" w:tooltip="https://web.stanford.edu/group/emf-research/docs/emf34/Design2.pdf" w:history="1">
        <w:r w:rsidRPr="00907E95">
          <w:rPr>
            <w:rFonts w:ascii="Calibri" w:eastAsia="Times New Roman" w:hAnsi="Calibri" w:cs="Calibri"/>
            <w:color w:val="954F72"/>
            <w:sz w:val="22"/>
            <w:szCs w:val="22"/>
            <w:u w:val="single"/>
          </w:rPr>
          <w:t>https://web.stanford.edu/group/emf-research/docs/emf34/Design2.pdf</w:t>
        </w:r>
      </w:hyperlink>
      <w:r w:rsidRPr="00907E95">
        <w:rPr>
          <w:rFonts w:ascii="Calibri" w:eastAsia="Times New Roman" w:hAnsi="Calibri" w:cs="Calibri"/>
          <w:color w:val="000000"/>
          <w:sz w:val="22"/>
          <w:szCs w:val="22"/>
        </w:rPr>
        <w:t> . There should be a set of GCAM EMF-34 scenarios that match those specs. They might also be good to understand.</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 </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Assuming you find these two sets, I think it would be worthwhile for you to spend a little bit of time documenting what other attributes are varied within these GCAM scenario sets. For example, do the EMF-34 GCAM scenarios vary what’s shown in the table (oil price, gas supply, economic growth, etc), and do they vary other things? Is there a set of SSP-2 scenarios with different Representative Concentration Pathways (RCPs), and do they vary other things?  This documentation doesn’t have to be complicated, but would be useful to organize and document our thinking.</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 </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Maybe next meeting we can look at what you’ve found in these two categories (or others that look interesting to you).</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 </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Thanks!</w:t>
      </w:r>
    </w:p>
    <w:p w:rsidR="00907E95" w:rsidRPr="00907E95" w:rsidRDefault="00907E95" w:rsidP="00907E95">
      <w:pPr>
        <w:rPr>
          <w:rFonts w:ascii="Calibri" w:eastAsia="Times New Roman" w:hAnsi="Calibri" w:cs="Calibri"/>
          <w:color w:val="000000"/>
          <w:sz w:val="22"/>
          <w:szCs w:val="22"/>
        </w:rPr>
      </w:pPr>
      <w:r w:rsidRPr="00907E95">
        <w:rPr>
          <w:rFonts w:ascii="Calibri" w:eastAsia="Times New Roman" w:hAnsi="Calibri" w:cs="Calibri"/>
          <w:color w:val="000000"/>
          <w:sz w:val="22"/>
          <w:szCs w:val="22"/>
        </w:rPr>
        <w:t>Laura</w:t>
      </w:r>
    </w:p>
    <w:p w:rsidR="00907E95" w:rsidRDefault="00907E95" w:rsidP="003F59DD">
      <w:pPr>
        <w:pStyle w:val="ListParagraph"/>
        <w:ind w:left="720"/>
      </w:pPr>
    </w:p>
    <w:p w:rsidR="00907E95" w:rsidRDefault="00907E95" w:rsidP="003F59DD">
      <w:pPr>
        <w:pStyle w:val="ListParagraph"/>
        <w:ind w:left="720"/>
      </w:pPr>
    </w:p>
    <w:p w:rsidR="002944E2" w:rsidRDefault="002944E2" w:rsidP="003F59DD">
      <w:pPr>
        <w:pStyle w:val="ListParagraph"/>
        <w:ind w:left="720"/>
      </w:pPr>
      <w:r>
        <w:t>PLAN:</w:t>
      </w:r>
    </w:p>
    <w:p w:rsidR="002944E2" w:rsidRDefault="002944E2" w:rsidP="002944E2">
      <w:pPr>
        <w:pStyle w:val="ListParagraph"/>
        <w:numPr>
          <w:ilvl w:val="0"/>
          <w:numId w:val="6"/>
        </w:numPr>
      </w:pPr>
      <w:r>
        <w:t>Look through the articles (abstract+introduction+conclusion)</w:t>
      </w:r>
    </w:p>
    <w:p w:rsidR="00936439" w:rsidRDefault="00936439" w:rsidP="00936439">
      <w:pPr>
        <w:pStyle w:val="ListParagraph"/>
        <w:numPr>
          <w:ilvl w:val="0"/>
          <w:numId w:val="6"/>
        </w:numPr>
      </w:pPr>
      <w:r>
        <w:t xml:space="preserve">Find GCAM on the gitHUB </w:t>
      </w:r>
    </w:p>
    <w:p w:rsidR="00936439" w:rsidRDefault="00936439" w:rsidP="00936439">
      <w:pPr>
        <w:pStyle w:val="ListParagraph"/>
        <w:numPr>
          <w:ilvl w:val="0"/>
          <w:numId w:val="6"/>
        </w:numPr>
      </w:pPr>
      <w:r>
        <w:t>Find and understand what the 7 parameters Danny sent are represented in the GCAM and what do they include</w:t>
      </w:r>
    </w:p>
    <w:p w:rsidR="00936439" w:rsidRDefault="00936439" w:rsidP="00936439">
      <w:pPr>
        <w:pStyle w:val="ListParagraph"/>
        <w:numPr>
          <w:ilvl w:val="0"/>
          <w:numId w:val="6"/>
        </w:numPr>
      </w:pPr>
      <w:r>
        <w:t>Try to find the analogy between 7 parameters in GCAM with BSM and how they can be implemented in BSM or represented in BSM or converted into format that BSM would understand</w:t>
      </w:r>
    </w:p>
    <w:p w:rsidR="00936439" w:rsidRDefault="00936439" w:rsidP="00936439">
      <w:pPr>
        <w:pStyle w:val="ListParagraph"/>
        <w:numPr>
          <w:ilvl w:val="0"/>
          <w:numId w:val="6"/>
        </w:numPr>
      </w:pPr>
      <w:r>
        <w:t xml:space="preserve">the numbers behind energy density and carbon intensity in OI </w:t>
      </w:r>
      <w:r w:rsidR="00B842D1">
        <w:t>m</w:t>
      </w:r>
      <w:r>
        <w:t>odule and check the numbers (Emily put them in the past)</w:t>
      </w:r>
      <w:r w:rsidR="00B842D1">
        <w:t xml:space="preserve"> – </w:t>
      </w:r>
      <w:r w:rsidR="00B842D1" w:rsidRPr="00B842D1">
        <w:rPr>
          <w:highlight w:val="yellow"/>
        </w:rPr>
        <w:t>Emily text about the values</w:t>
      </w:r>
    </w:p>
    <w:p w:rsidR="00B842D1" w:rsidRDefault="00B842D1" w:rsidP="00B842D1">
      <w:pPr>
        <w:pStyle w:val="ListParagraph"/>
        <w:ind w:left="1080"/>
      </w:pPr>
    </w:p>
    <w:p w:rsidR="00936439" w:rsidRDefault="00936439" w:rsidP="00936439">
      <w:pPr>
        <w:pStyle w:val="ListParagraph"/>
        <w:numPr>
          <w:ilvl w:val="0"/>
          <w:numId w:val="6"/>
        </w:numPr>
      </w:pPr>
      <w:r>
        <w:lastRenderedPageBreak/>
        <w:t>Find Carbon price scenarios used in the GCAM and how they implemented</w:t>
      </w:r>
    </w:p>
    <w:p w:rsidR="00936439" w:rsidRDefault="00936439" w:rsidP="00936439">
      <w:pPr>
        <w:pStyle w:val="ListParagraph"/>
        <w:numPr>
          <w:ilvl w:val="0"/>
          <w:numId w:val="6"/>
        </w:numPr>
      </w:pPr>
      <w:r>
        <w:t>Understand how these scenarios correlate and represent Carbon scenarios of IPCC</w:t>
      </w:r>
    </w:p>
    <w:p w:rsidR="00EC0171" w:rsidRDefault="00936439" w:rsidP="00936439">
      <w:pPr>
        <w:pStyle w:val="ListParagraph"/>
        <w:numPr>
          <w:ilvl w:val="0"/>
          <w:numId w:val="6"/>
        </w:numPr>
      </w:pPr>
      <w:r>
        <w:t>Petrol prices in the IPCC</w:t>
      </w:r>
    </w:p>
    <w:p w:rsidR="00C50722" w:rsidRDefault="00C50722" w:rsidP="00936439">
      <w:pPr>
        <w:pStyle w:val="ListParagraph"/>
        <w:numPr>
          <w:ilvl w:val="0"/>
          <w:numId w:val="6"/>
        </w:numPr>
      </w:pPr>
    </w:p>
    <w:p w:rsidR="00EC0171" w:rsidRDefault="00EC0171">
      <w:pPr>
        <w:rPr>
          <w:rFonts w:ascii="Times New Roman" w:eastAsia="Times New Roman" w:hAnsi="Times New Roman" w:cs="Times New Roman"/>
        </w:rPr>
      </w:pPr>
      <w:r>
        <w:br w:type="page"/>
      </w:r>
    </w:p>
    <w:p w:rsidR="00EC0171" w:rsidRDefault="00EC0171" w:rsidP="00EC0171">
      <w:pPr>
        <w:pStyle w:val="NormalWeb"/>
      </w:pPr>
      <w:r>
        <w:rPr>
          <w:rFonts w:ascii="Whitney" w:hAnsi="Whitney"/>
          <w:b/>
          <w:bCs/>
          <w:sz w:val="48"/>
          <w:szCs w:val="48"/>
        </w:rPr>
        <w:lastRenderedPageBreak/>
        <w:t xml:space="preserve">Scenarios towards limiting global mean temperature increase below 1.5 °C </w:t>
      </w:r>
    </w:p>
    <w:p w:rsidR="00EC0171" w:rsidRDefault="00EC0171" w:rsidP="00EC0171">
      <w:pPr>
        <w:pStyle w:val="NormalWeb"/>
        <w:rPr>
          <w:rFonts w:ascii="MinionPro" w:hAnsi="MinionPro"/>
          <w:sz w:val="18"/>
          <w:szCs w:val="18"/>
        </w:rPr>
      </w:pPr>
      <w:r>
        <w:rPr>
          <w:rFonts w:ascii="MinionPro" w:hAnsi="MinionPro"/>
          <w:sz w:val="18"/>
          <w:szCs w:val="18"/>
        </w:rPr>
        <w:t xml:space="preserve">Shared Socio-economic Pathways </w:t>
      </w:r>
    </w:p>
    <w:p w:rsidR="00EC0171" w:rsidRDefault="00EC0171" w:rsidP="00EC0171">
      <w:pPr>
        <w:pStyle w:val="NormalWeb"/>
        <w:rPr>
          <w:rFonts w:ascii="MinionPro" w:hAnsi="MinionPro"/>
          <w:sz w:val="18"/>
          <w:szCs w:val="18"/>
        </w:rPr>
      </w:pPr>
    </w:p>
    <w:p w:rsidR="00EC0171" w:rsidRDefault="00EC0171" w:rsidP="00EC0171">
      <w:pPr>
        <w:pStyle w:val="NormalWeb"/>
      </w:pPr>
      <w:r>
        <w:rPr>
          <w:rFonts w:ascii="MinionPro" w:hAnsi="MinionPro"/>
          <w:sz w:val="18"/>
          <w:szCs w:val="18"/>
        </w:rPr>
        <w:t>with which we attempted to model scenarios that limit end-of-century radiative forcing to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under various SSPs (hereafter called ‘SSP</w:t>
      </w:r>
      <w:r>
        <w:rPr>
          <w:rFonts w:ascii="MinionPro" w:hAnsi="MinionPro"/>
          <w:i/>
          <w:iCs/>
          <w:sz w:val="18"/>
          <w:szCs w:val="18"/>
        </w:rPr>
        <w:t>x</w:t>
      </w:r>
      <w:r>
        <w:rPr>
          <w:rFonts w:ascii="MinionPro" w:hAnsi="MinionPro"/>
          <w:sz w:val="18"/>
          <w:szCs w:val="18"/>
        </w:rPr>
        <w:t>–1.9’ sce- narios, with SSP</w:t>
      </w:r>
      <w:r>
        <w:rPr>
          <w:rFonts w:ascii="MinionPro" w:hAnsi="MinionPro"/>
          <w:i/>
          <w:iCs/>
          <w:sz w:val="18"/>
          <w:szCs w:val="18"/>
        </w:rPr>
        <w:t xml:space="preserve">x </w:t>
      </w:r>
      <w:r>
        <w:rPr>
          <w:rFonts w:ascii="MinionPro" w:hAnsi="MinionPro"/>
          <w:sz w:val="18"/>
          <w:szCs w:val="18"/>
        </w:rPr>
        <w:t xml:space="preserve">indicating the specific SSP assumed by the sce- nario and 1.9 the radiative forcing target in 2100, Methods). </w:t>
      </w:r>
    </w:p>
    <w:p w:rsidR="00EC0171" w:rsidRDefault="00EC0171" w:rsidP="00EC0171">
      <w:pPr>
        <w:pStyle w:val="NormalWeb"/>
      </w:pPr>
    </w:p>
    <w:p w:rsidR="00EC0171" w:rsidRDefault="00EC0171" w:rsidP="00EC0171">
      <w:pPr>
        <w:pStyle w:val="NormalWeb"/>
      </w:pPr>
      <w:r>
        <w:rPr>
          <w:rFonts w:ascii="MinionPro" w:hAnsi="MinionPro"/>
          <w:sz w:val="18"/>
          <w:szCs w:val="18"/>
        </w:rPr>
        <w:t>development under a green-growth paradigm</w:t>
      </w:r>
      <w:r>
        <w:rPr>
          <w:rFonts w:ascii="MinionPro" w:hAnsi="MinionPro"/>
          <w:color w:val="3A689B"/>
          <w:position w:val="6"/>
          <w:sz w:val="10"/>
          <w:szCs w:val="10"/>
        </w:rPr>
        <w:t xml:space="preserve">9 </w:t>
      </w:r>
      <w:r>
        <w:rPr>
          <w:rFonts w:ascii="MinionPro" w:hAnsi="MinionPro"/>
          <w:sz w:val="18"/>
          <w:szCs w:val="18"/>
        </w:rPr>
        <w:t>(SSP1) - all teams were able to produce 1.9 W m</w:t>
      </w:r>
      <w:r>
        <w:rPr>
          <w:rFonts w:ascii="STIXGeneral" w:hAnsi="STIXGeneral" w:cs="STIXGeneral"/>
          <w:position w:val="6"/>
          <w:sz w:val="10"/>
          <w:szCs w:val="10"/>
        </w:rPr>
        <w:t>−</w:t>
      </w:r>
      <w:r>
        <w:rPr>
          <w:rFonts w:ascii="MinionPro" w:hAnsi="MinionPro"/>
          <w:position w:val="6"/>
          <w:sz w:val="10"/>
          <w:szCs w:val="10"/>
        </w:rPr>
        <w:t xml:space="preserve">2 </w:t>
      </w:r>
    </w:p>
    <w:p w:rsidR="00EC0171" w:rsidRDefault="00EC0171" w:rsidP="00EC0171">
      <w:pPr>
        <w:pStyle w:val="NormalWeb"/>
      </w:pPr>
      <w:r>
        <w:rPr>
          <w:rFonts w:ascii="MinionPro" w:hAnsi="MinionPro"/>
          <w:sz w:val="18"/>
          <w:szCs w:val="18"/>
        </w:rPr>
        <w:t xml:space="preserve"> a middle-of-the-road development along historical patterns</w:t>
      </w:r>
      <w:r>
        <w:rPr>
          <w:rFonts w:ascii="MinionPro" w:hAnsi="MinionPro"/>
          <w:color w:val="3A689B"/>
          <w:position w:val="6"/>
          <w:sz w:val="10"/>
          <w:szCs w:val="10"/>
        </w:rPr>
        <w:t xml:space="preserve">10 </w:t>
      </w:r>
      <w:r>
        <w:rPr>
          <w:rFonts w:ascii="MinionPro" w:hAnsi="MinionPro"/>
          <w:sz w:val="18"/>
          <w:szCs w:val="18"/>
        </w:rPr>
        <w:t xml:space="preserve">(SSP2)  - four teams four teams </w:t>
      </w:r>
      <w:r>
        <w:t>1.9 W m-2</w:t>
      </w:r>
    </w:p>
    <w:p w:rsidR="00EC0171" w:rsidRDefault="00EC0171" w:rsidP="00EC0171">
      <w:pPr>
        <w:pStyle w:val="NormalWeb"/>
      </w:pPr>
      <w:r>
        <w:rPr>
          <w:rFonts w:ascii="MinionPro" w:hAnsi="MinionPro"/>
          <w:sz w:val="18"/>
          <w:szCs w:val="18"/>
        </w:rPr>
        <w:t>a regionally heterogeneous development</w:t>
      </w:r>
      <w:r>
        <w:rPr>
          <w:rFonts w:ascii="MinionPro" w:hAnsi="MinionPro"/>
          <w:color w:val="3A689B"/>
          <w:position w:val="6"/>
          <w:sz w:val="10"/>
          <w:szCs w:val="10"/>
        </w:rPr>
        <w:t xml:space="preserve">11 </w:t>
      </w:r>
      <w:r>
        <w:rPr>
          <w:rFonts w:ascii="MinionPro" w:hAnsi="MinionPro"/>
          <w:sz w:val="18"/>
          <w:szCs w:val="18"/>
        </w:rPr>
        <w:t xml:space="preserve">(SSP3) </w:t>
      </w:r>
    </w:p>
    <w:p w:rsidR="00EC0171" w:rsidRDefault="00EC0171" w:rsidP="00EC0171">
      <w:pPr>
        <w:pStyle w:val="NormalWeb"/>
        <w:tabs>
          <w:tab w:val="left" w:pos="7991"/>
        </w:tabs>
      </w:pPr>
      <w:r>
        <w:rPr>
          <w:rFonts w:ascii="MinionPro" w:hAnsi="MinionPro"/>
          <w:sz w:val="18"/>
          <w:szCs w:val="18"/>
        </w:rPr>
        <w:t>a development that results in both geographical and social inequalities</w:t>
      </w:r>
      <w:r>
        <w:rPr>
          <w:rFonts w:ascii="MinionPro" w:hAnsi="MinionPro"/>
          <w:color w:val="3A689B"/>
          <w:position w:val="6"/>
          <w:sz w:val="10"/>
          <w:szCs w:val="10"/>
        </w:rPr>
        <w:t xml:space="preserve">12 </w:t>
      </w:r>
      <w:r>
        <w:rPr>
          <w:rFonts w:ascii="MinionPro" w:hAnsi="MinionPro"/>
          <w:sz w:val="18"/>
          <w:szCs w:val="18"/>
        </w:rPr>
        <w:t>(SSP4) – 1 1.9</w:t>
      </w:r>
    </w:p>
    <w:p w:rsidR="00EC0171" w:rsidRDefault="00EC0171" w:rsidP="00EC0171">
      <w:pPr>
        <w:pStyle w:val="NormalWeb"/>
      </w:pPr>
      <w:r>
        <w:rPr>
          <w:rFonts w:ascii="MinionPro" w:hAnsi="MinionPro"/>
          <w:sz w:val="18"/>
          <w:szCs w:val="18"/>
        </w:rPr>
        <w:t>development path that is dominated by high energy demand supplied by extensive fossil-fuel use</w:t>
      </w:r>
      <w:r>
        <w:rPr>
          <w:rFonts w:ascii="MinionPro" w:hAnsi="MinionPro"/>
          <w:color w:val="3A689B"/>
          <w:position w:val="6"/>
          <w:sz w:val="10"/>
          <w:szCs w:val="10"/>
        </w:rPr>
        <w:t xml:space="preserve">13 </w:t>
      </w:r>
      <w:r>
        <w:rPr>
          <w:rFonts w:ascii="MinionPro" w:hAnsi="MinionPro"/>
          <w:sz w:val="18"/>
          <w:szCs w:val="18"/>
        </w:rPr>
        <w:t>(SSP5) -2 1.9</w:t>
      </w:r>
    </w:p>
    <w:p w:rsidR="00EC0171" w:rsidRDefault="00EC0171" w:rsidP="00EC0171">
      <w:pPr>
        <w:pStyle w:val="NormalWeb"/>
      </w:pPr>
      <w:r>
        <w:t>all-</w:t>
      </w:r>
      <w:r w:rsidRPr="00EC0171">
        <w:rPr>
          <w:rFonts w:ascii="MinionPro" w:hAnsi="MinionPro"/>
          <w:sz w:val="18"/>
          <w:szCs w:val="18"/>
        </w:rPr>
        <w:t xml:space="preserve"> </w:t>
      </w:r>
      <w:r>
        <w:rPr>
          <w:rFonts w:ascii="MinionPro" w:hAnsi="MinionPro"/>
          <w:sz w:val="18"/>
          <w:szCs w:val="18"/>
        </w:rPr>
        <w:t>By 2050, annual CO</w:t>
      </w:r>
      <w:r>
        <w:rPr>
          <w:rFonts w:ascii="MinionPro" w:hAnsi="MinionPro"/>
          <w:position w:val="-4"/>
          <w:sz w:val="10"/>
          <w:szCs w:val="10"/>
        </w:rPr>
        <w:t xml:space="preserve">2 </w:t>
      </w:r>
      <w:r>
        <w:rPr>
          <w:rFonts w:ascii="MinionPro" w:hAnsi="MinionPro"/>
          <w:sz w:val="18"/>
          <w:szCs w:val="18"/>
        </w:rPr>
        <w:t xml:space="preserve">and GHG emissions are in the range of </w:t>
      </w:r>
      <w:r>
        <w:rPr>
          <w:rFonts w:ascii="STIXGeneral" w:hAnsi="STIXGeneral" w:cs="STIXGeneral"/>
          <w:sz w:val="18"/>
          <w:szCs w:val="18"/>
        </w:rPr>
        <w:t>−</w:t>
      </w:r>
      <w:r>
        <w:rPr>
          <w:rFonts w:ascii="MinionPro" w:hAnsi="MinionPro"/>
          <w:sz w:val="18"/>
          <w:szCs w:val="18"/>
        </w:rPr>
        <w:t>9–6 and 1–13 billion tons of CO</w:t>
      </w:r>
      <w:r>
        <w:rPr>
          <w:rFonts w:ascii="MinionPro" w:hAnsi="MinionPro"/>
          <w:position w:val="-4"/>
          <w:sz w:val="10"/>
          <w:szCs w:val="10"/>
        </w:rPr>
        <w:t>2</w:t>
      </w:r>
      <w:r>
        <w:rPr>
          <w:rFonts w:ascii="MinionPro" w:hAnsi="MinionPro"/>
          <w:sz w:val="18"/>
          <w:szCs w:val="18"/>
        </w:rPr>
        <w:t>-equivalent emissions (gigaton GtCO</w:t>
      </w:r>
      <w:r>
        <w:rPr>
          <w:rFonts w:ascii="MinionPro" w:hAnsi="MinionPro"/>
          <w:position w:val="-4"/>
          <w:sz w:val="10"/>
          <w:szCs w:val="10"/>
        </w:rPr>
        <w:t>2</w:t>
      </w:r>
      <w:r>
        <w:rPr>
          <w:rFonts w:ascii="MinionPro" w:hAnsi="MinionPro"/>
          <w:sz w:val="18"/>
          <w:szCs w:val="18"/>
        </w:rPr>
        <w:t>eyr</w:t>
      </w:r>
      <w:r>
        <w:rPr>
          <w:rFonts w:ascii="STIXGeneral" w:hAnsi="STIXGeneral" w:cs="STIXGeneral"/>
          <w:position w:val="6"/>
          <w:sz w:val="10"/>
          <w:szCs w:val="10"/>
        </w:rPr>
        <w:t>−</w:t>
      </w:r>
      <w:r>
        <w:rPr>
          <w:rFonts w:ascii="MinionPro" w:hAnsi="MinionPro"/>
          <w:position w:val="6"/>
          <w:sz w:val="10"/>
          <w:szCs w:val="10"/>
        </w:rPr>
        <w:t>1</w:t>
      </w:r>
      <w:r>
        <w:rPr>
          <w:rFonts w:ascii="MinionPro" w:hAnsi="MinionPro"/>
          <w:sz w:val="18"/>
          <w:szCs w:val="18"/>
        </w:rPr>
        <w:t xml:space="preserve">, Methods </w:t>
      </w:r>
    </w:p>
    <w:p w:rsidR="00EC0171" w:rsidRDefault="00EC0171" w:rsidP="00EC0171">
      <w:pPr>
        <w:pStyle w:val="NormalWeb"/>
      </w:pPr>
      <w:r w:rsidRPr="00C029E7">
        <w:rPr>
          <w:rFonts w:ascii="MinionPro" w:hAnsi="MinionPro"/>
          <w:sz w:val="18"/>
          <w:szCs w:val="18"/>
          <w:highlight w:val="yellow"/>
        </w:rPr>
        <w:t xml:space="preserve">All scenarios keep warming to below 2 °C with more than 66% probability (Fig. </w:t>
      </w:r>
      <w:r w:rsidRPr="00C029E7">
        <w:rPr>
          <w:rFonts w:ascii="MinionPro" w:hAnsi="MinionPro"/>
          <w:color w:val="3A689B"/>
          <w:sz w:val="18"/>
          <w:szCs w:val="18"/>
          <w:highlight w:val="yellow"/>
        </w:rPr>
        <w:t>1d</w:t>
      </w:r>
      <w:r w:rsidRPr="00C029E7">
        <w:rPr>
          <w:rFonts w:ascii="MinionPro" w:hAnsi="MinionPro"/>
          <w:sz w:val="18"/>
          <w:szCs w:val="18"/>
          <w:highlight w:val="yellow"/>
        </w:rPr>
        <w:t>), and maximum (peak) median temperature estimates vary from 1.5 °C to 1.8 °C</w:t>
      </w:r>
      <w:r>
        <w:rPr>
          <w:rFonts w:ascii="MinionPro" w:hAnsi="MinionPro"/>
          <w:sz w:val="18"/>
          <w:szCs w:val="18"/>
        </w:rPr>
        <w:t xml:space="preserve"> </w:t>
      </w:r>
    </w:p>
    <w:p w:rsidR="00EC0171" w:rsidRDefault="00EC0171" w:rsidP="00EC0171">
      <w:pPr>
        <w:pStyle w:val="NormalWeb"/>
      </w:pPr>
      <w:r>
        <w:rPr>
          <w:rFonts w:ascii="MinionPro" w:hAnsi="MinionPro"/>
          <w:sz w:val="18"/>
          <w:szCs w:val="18"/>
        </w:rPr>
        <w:t>The probability of limiting peak warming to below 1.5°C relative to pre-industrial levels is approximately halved and peak temperature about 0.2°C higher if emissions are at the high (</w:t>
      </w:r>
      <w:r>
        <w:rPr>
          <w:rFonts w:ascii="STIXGeneral" w:hAnsi="STIXGeneral" w:cs="STIXGeneral"/>
          <w:sz w:val="18"/>
          <w:szCs w:val="18"/>
        </w:rPr>
        <w:t>&gt;</w:t>
      </w:r>
      <w:r>
        <w:rPr>
          <w:rFonts w:ascii="MinionPro" w:hAnsi="MinionPro"/>
          <w:sz w:val="18"/>
          <w:szCs w:val="18"/>
        </w:rPr>
        <w:t>45 GtCO</w:t>
      </w:r>
      <w:r>
        <w:rPr>
          <w:rFonts w:ascii="MinionPro" w:hAnsi="MinionPro"/>
          <w:position w:val="-4"/>
          <w:sz w:val="10"/>
          <w:szCs w:val="10"/>
        </w:rPr>
        <w:t>2</w:t>
      </w:r>
      <w:r>
        <w:rPr>
          <w:rFonts w:ascii="MinionPro" w:hAnsi="MinionPro"/>
          <w:sz w:val="18"/>
          <w:szCs w:val="18"/>
        </w:rPr>
        <w:t>e yr</w:t>
      </w:r>
      <w:r>
        <w:rPr>
          <w:rFonts w:ascii="STIXGeneral" w:hAnsi="STIXGeneral" w:cs="STIXGeneral"/>
          <w:position w:val="6"/>
          <w:sz w:val="10"/>
          <w:szCs w:val="10"/>
        </w:rPr>
        <w:t>−</w:t>
      </w:r>
      <w:r>
        <w:rPr>
          <w:rFonts w:ascii="MinionPro" w:hAnsi="MinionPro"/>
          <w:position w:val="6"/>
          <w:sz w:val="10"/>
          <w:szCs w:val="10"/>
        </w:rPr>
        <w:t>1</w:t>
      </w:r>
      <w:r>
        <w:rPr>
          <w:rFonts w:ascii="MinionPro" w:hAnsi="MinionPro"/>
          <w:sz w:val="18"/>
          <w:szCs w:val="18"/>
        </w:rPr>
        <w:t>) instead of the low (</w:t>
      </w:r>
      <w:r>
        <w:rPr>
          <w:rFonts w:ascii="STIXGeneral" w:hAnsi="STIXGeneral" w:cs="STIXGeneral"/>
          <w:sz w:val="18"/>
          <w:szCs w:val="18"/>
        </w:rPr>
        <w:t>&lt;</w:t>
      </w:r>
      <w:r>
        <w:rPr>
          <w:rFonts w:ascii="MinionPro" w:hAnsi="MinionPro"/>
          <w:sz w:val="18"/>
          <w:szCs w:val="18"/>
        </w:rPr>
        <w:t>30GtCO</w:t>
      </w:r>
      <w:r>
        <w:rPr>
          <w:rFonts w:ascii="MinionPro" w:hAnsi="MinionPro"/>
          <w:position w:val="-4"/>
          <w:sz w:val="10"/>
          <w:szCs w:val="10"/>
        </w:rPr>
        <w:t>2</w:t>
      </w:r>
      <w:r>
        <w:rPr>
          <w:rFonts w:ascii="MinionPro" w:hAnsi="MinionPro"/>
          <w:sz w:val="18"/>
          <w:szCs w:val="18"/>
        </w:rPr>
        <w:t>eyr</w:t>
      </w:r>
      <w:r>
        <w:rPr>
          <w:rFonts w:ascii="STIXGeneral" w:hAnsi="STIXGeneral" w:cs="STIXGeneral"/>
          <w:position w:val="6"/>
          <w:sz w:val="10"/>
          <w:szCs w:val="10"/>
        </w:rPr>
        <w:t>−</w:t>
      </w:r>
      <w:r>
        <w:rPr>
          <w:rFonts w:ascii="MinionPro" w:hAnsi="MinionPro"/>
          <w:position w:val="6"/>
          <w:sz w:val="10"/>
          <w:szCs w:val="10"/>
        </w:rPr>
        <w:t>1</w:t>
      </w:r>
      <w:r>
        <w:rPr>
          <w:rFonts w:ascii="MinionPro" w:hAnsi="MinionPro"/>
          <w:sz w:val="18"/>
          <w:szCs w:val="18"/>
        </w:rPr>
        <w:t xml:space="preserve">) end of the available range in 2030 (Fig. </w:t>
      </w:r>
      <w:r>
        <w:rPr>
          <w:rFonts w:ascii="MinionPro" w:hAnsi="MinionPro"/>
          <w:color w:val="3A689B"/>
          <w:sz w:val="18"/>
          <w:szCs w:val="18"/>
        </w:rPr>
        <w:t>1e</w:t>
      </w:r>
      <w:r>
        <w:rPr>
          <w:rFonts w:ascii="MinionPro" w:hAnsi="MinionPro"/>
          <w:sz w:val="18"/>
          <w:szCs w:val="18"/>
        </w:rPr>
        <w:t xml:space="preserve">). By 2100, this variation disappears and all scenarios limit warming below 1.5 °C with about 66% probability (Supplementary Figs. 8, 9) </w:t>
      </w:r>
    </w:p>
    <w:p w:rsidR="00EC0171" w:rsidRDefault="00EC0171" w:rsidP="00EC0171">
      <w:pPr>
        <w:pStyle w:val="NormalWeb"/>
      </w:pPr>
      <w:r>
        <w:rPr>
          <w:rFonts w:ascii="MinionPro" w:hAnsi="MinionPro"/>
          <w:sz w:val="18"/>
          <w:szCs w:val="18"/>
        </w:rPr>
        <w:t xml:space="preserve">Across all 13 available scenarios, net zero GHG emissions are reached around 2055–2075 </w:t>
      </w:r>
    </w:p>
    <w:p w:rsidR="00EC0171" w:rsidRDefault="00EC0171" w:rsidP="00EC0171">
      <w:pPr>
        <w:pStyle w:val="NormalWeb"/>
      </w:pPr>
      <w:r>
        <w:rPr>
          <w:rFonts w:ascii="MinionPro" w:hAnsi="MinionPro"/>
          <w:sz w:val="18"/>
          <w:szCs w:val="18"/>
        </w:rPr>
        <w:t>Cumulative CO</w:t>
      </w:r>
      <w:r>
        <w:rPr>
          <w:rFonts w:ascii="MinionPro" w:hAnsi="MinionPro"/>
          <w:position w:val="-4"/>
          <w:sz w:val="10"/>
          <w:szCs w:val="10"/>
        </w:rPr>
        <w:t xml:space="preserve">2 </w:t>
      </w:r>
      <w:r>
        <w:rPr>
          <w:rFonts w:ascii="MinionPro" w:hAnsi="MinionPro"/>
          <w:sz w:val="18"/>
          <w:szCs w:val="18"/>
        </w:rPr>
        <w:t xml:space="preserve">emissions over the 2016–2100 period range from </w:t>
      </w:r>
      <w:r>
        <w:rPr>
          <w:rFonts w:ascii="STIXGeneral" w:hAnsi="STIXGeneral" w:cs="STIXGeneral"/>
          <w:sz w:val="18"/>
          <w:szCs w:val="18"/>
        </w:rPr>
        <w:t>−</w:t>
      </w:r>
      <w:r>
        <w:rPr>
          <w:rFonts w:ascii="MinionPro" w:hAnsi="MinionPro"/>
          <w:sz w:val="18"/>
          <w:szCs w:val="18"/>
        </w:rPr>
        <w:t>175 to 475 GtCO</w:t>
      </w:r>
      <w:r>
        <w:rPr>
          <w:rFonts w:ascii="MinionPro" w:hAnsi="MinionPro"/>
          <w:position w:val="-4"/>
          <w:sz w:val="10"/>
          <w:szCs w:val="10"/>
        </w:rPr>
        <w:t xml:space="preserve">2 </w:t>
      </w:r>
      <w:r>
        <w:rPr>
          <w:rFonts w:ascii="MinionPro" w:hAnsi="MinionPro"/>
          <w:sz w:val="18"/>
          <w:szCs w:val="18"/>
        </w:rPr>
        <w:t>(SSP2 median: 250 GtCO</w:t>
      </w:r>
      <w:r>
        <w:rPr>
          <w:rFonts w:ascii="MinionPro" w:hAnsi="MinionPro"/>
          <w:position w:val="-4"/>
          <w:sz w:val="10"/>
          <w:szCs w:val="10"/>
        </w:rPr>
        <w:t>2</w:t>
      </w:r>
      <w:r>
        <w:rPr>
          <w:rFonts w:ascii="MinionPro" w:hAnsi="MinionPro"/>
          <w:sz w:val="18"/>
          <w:szCs w:val="18"/>
        </w:rPr>
        <w:t>, rounded to the nearest 25 GtCO</w:t>
      </w:r>
      <w:r>
        <w:rPr>
          <w:rFonts w:ascii="MinionPro" w:hAnsi="MinionPro"/>
          <w:position w:val="-4"/>
          <w:sz w:val="10"/>
          <w:szCs w:val="10"/>
        </w:rPr>
        <w:t>2</w:t>
      </w:r>
      <w:r>
        <w:rPr>
          <w:rFonts w:ascii="MinionPro" w:hAnsi="MinionPro"/>
          <w:sz w:val="18"/>
          <w:szCs w:val="18"/>
        </w:rPr>
        <w:t xml:space="preserve">) </w:t>
      </w:r>
    </w:p>
    <w:p w:rsidR="00AD4E55" w:rsidRDefault="00AD4E55" w:rsidP="00AD4E55">
      <w:pPr>
        <w:pStyle w:val="NormalWeb"/>
      </w:pPr>
      <w:r>
        <w:rPr>
          <w:rFonts w:ascii="MinionPro" w:hAnsi="MinionPro"/>
          <w:sz w:val="18"/>
          <w:szCs w:val="18"/>
        </w:rPr>
        <w:t>Potential feedbacks that are currently not included, such as CO</w:t>
      </w:r>
      <w:r>
        <w:rPr>
          <w:rFonts w:ascii="MinionPro" w:hAnsi="MinionPro"/>
          <w:position w:val="-4"/>
          <w:sz w:val="10"/>
          <w:szCs w:val="10"/>
        </w:rPr>
        <w:t xml:space="preserve">2 </w:t>
      </w:r>
      <w:r>
        <w:rPr>
          <w:rFonts w:ascii="MinionPro" w:hAnsi="MinionPro"/>
          <w:sz w:val="18"/>
          <w:szCs w:val="18"/>
        </w:rPr>
        <w:t>and CH</w:t>
      </w:r>
      <w:r>
        <w:rPr>
          <w:rFonts w:ascii="MinionPro" w:hAnsi="MinionPro"/>
          <w:position w:val="-4"/>
          <w:sz w:val="10"/>
          <w:szCs w:val="10"/>
        </w:rPr>
        <w:t xml:space="preserve">4 </w:t>
      </w:r>
      <w:r>
        <w:rPr>
          <w:rFonts w:ascii="MinionPro" w:hAnsi="MinionPro"/>
          <w:sz w:val="18"/>
          <w:szCs w:val="18"/>
        </w:rPr>
        <w:t>release from permafrost thawing or changes in other natural sources, can reduce carbon budgets further</w:t>
      </w:r>
      <w:r>
        <w:rPr>
          <w:rFonts w:ascii="MinionPro" w:hAnsi="MinionPro"/>
          <w:color w:val="3A689B"/>
          <w:position w:val="6"/>
          <w:sz w:val="10"/>
          <w:szCs w:val="10"/>
        </w:rPr>
        <w:t xml:space="preserve">2 </w:t>
      </w:r>
    </w:p>
    <w:p w:rsidR="00AD4E55" w:rsidRDefault="00AD4E55" w:rsidP="00AD4E55">
      <w:pPr>
        <w:pStyle w:val="NormalWeb"/>
      </w:pPr>
      <w:r>
        <w:rPr>
          <w:rFonts w:ascii="MinionPro" w:hAnsi="MinionPro"/>
          <w:sz w:val="18"/>
          <w:szCs w:val="18"/>
        </w:rPr>
        <w:t>Even in these very stringent mitigation pathways, sizeable remaining CH</w:t>
      </w:r>
      <w:r>
        <w:rPr>
          <w:rFonts w:ascii="MinionPro" w:hAnsi="MinionPro"/>
          <w:position w:val="-4"/>
          <w:sz w:val="10"/>
          <w:szCs w:val="10"/>
        </w:rPr>
        <w:t xml:space="preserve">4 </w:t>
      </w:r>
      <w:r>
        <w:rPr>
          <w:rFonts w:ascii="MinionPro" w:hAnsi="MinionPro"/>
          <w:sz w:val="18"/>
          <w:szCs w:val="18"/>
        </w:rPr>
        <w:t>and N</w:t>
      </w:r>
      <w:r>
        <w:rPr>
          <w:rFonts w:ascii="MinionPro" w:hAnsi="MinionPro"/>
          <w:position w:val="-4"/>
          <w:sz w:val="10"/>
          <w:szCs w:val="10"/>
        </w:rPr>
        <w:t>2</w:t>
      </w:r>
      <w:r>
        <w:rPr>
          <w:rFonts w:ascii="MinionPro" w:hAnsi="MinionPro"/>
          <w:sz w:val="18"/>
          <w:szCs w:val="18"/>
        </w:rPr>
        <w:t xml:space="preserve">O emissions are projected by all models (Fig. </w:t>
      </w:r>
      <w:r>
        <w:rPr>
          <w:rFonts w:ascii="MinionPro" w:hAnsi="MinionPro"/>
          <w:color w:val="3A689B"/>
          <w:sz w:val="18"/>
          <w:szCs w:val="18"/>
        </w:rPr>
        <w:t>1c</w:t>
      </w:r>
      <w:r>
        <w:rPr>
          <w:rFonts w:ascii="MinionPro" w:hAnsi="MinionPro"/>
          <w:sz w:val="18"/>
          <w:szCs w:val="18"/>
        </w:rPr>
        <w:t xml:space="preserve">, Supplementary Fig. 6), and in 2100, respectively, 53–85% and 59–95% of these emissions originate from agriculture. </w:t>
      </w:r>
    </w:p>
    <w:p w:rsidR="00AD4E55" w:rsidRDefault="00AD4E55" w:rsidP="00AD4E55">
      <w:pPr>
        <w:pStyle w:val="NormalWeb"/>
      </w:pPr>
      <w:r>
        <w:rPr>
          <w:rFonts w:ascii="MinionPro" w:hAnsi="MinionPro"/>
          <w:sz w:val="18"/>
          <w:szCs w:val="18"/>
        </w:rPr>
        <w:t>All 1.9 Wm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in this study strongly limit energy demand growth (Fig. </w:t>
      </w:r>
      <w:r>
        <w:rPr>
          <w:rFonts w:ascii="MinionPro" w:hAnsi="MinionPro"/>
          <w:color w:val="3A689B"/>
          <w:sz w:val="18"/>
          <w:szCs w:val="18"/>
        </w:rPr>
        <w:t>2d</w:t>
      </w:r>
      <w:r>
        <w:rPr>
          <w:rFonts w:ascii="MinionPro" w:hAnsi="MinionPro"/>
          <w:sz w:val="18"/>
          <w:szCs w:val="18"/>
        </w:rPr>
        <w:t>, Supplementary Fig. 11), with energy intensity reduction rates of 2–4% yr</w:t>
      </w:r>
      <w:r>
        <w:rPr>
          <w:rFonts w:ascii="STIXGeneral" w:hAnsi="STIXGeneral" w:cs="STIXGeneral"/>
          <w:position w:val="6"/>
          <w:sz w:val="10"/>
          <w:szCs w:val="10"/>
        </w:rPr>
        <w:t>−</w:t>
      </w:r>
      <w:r>
        <w:rPr>
          <w:rFonts w:ascii="MinionPro" w:hAnsi="MinionPro"/>
          <w:position w:val="6"/>
          <w:sz w:val="10"/>
          <w:szCs w:val="10"/>
        </w:rPr>
        <w:t xml:space="preserve">1 </w:t>
      </w:r>
      <w:r>
        <w:rPr>
          <w:rFonts w:ascii="MinionPro" w:hAnsi="MinionPro"/>
          <w:sz w:val="18"/>
          <w:szCs w:val="18"/>
        </w:rPr>
        <w:t xml:space="preserve">from 2020 to 2050 (Fig. </w:t>
      </w:r>
      <w:r>
        <w:rPr>
          <w:rFonts w:ascii="MinionPro" w:hAnsi="MinionPro"/>
          <w:color w:val="3A689B"/>
          <w:sz w:val="18"/>
          <w:szCs w:val="18"/>
        </w:rPr>
        <w:t>2d</w:t>
      </w:r>
      <w:r>
        <w:rPr>
          <w:rFonts w:ascii="MinionPro" w:hAnsi="MinionPro"/>
          <w:sz w:val="18"/>
          <w:szCs w:val="18"/>
        </w:rPr>
        <w:t xml:space="preserve">). In SSP2, final energy demand in 2050 is limited to 10–40% above 2010 levels (rounded to the nearest 5%). This compares to 10% below to 30% above, and 45–75% above 2010 levels in SSP1 and SSP5, respectively. </w:t>
      </w:r>
    </w:p>
    <w:p w:rsidR="00AD4E55" w:rsidRDefault="00AD4E55" w:rsidP="00AD4E55">
      <w:pPr>
        <w:pStyle w:val="NormalWeb"/>
      </w:pPr>
      <w:r>
        <w:rPr>
          <w:rFonts w:ascii="MinionPro" w:hAnsi="MinionPro"/>
          <w:sz w:val="18"/>
          <w:szCs w:val="18"/>
        </w:rPr>
        <w:lastRenderedPageBreak/>
        <w:t xml:space="preserve">upscaling of bioenergy and renewable energy technologies </w:t>
      </w:r>
    </w:p>
    <w:p w:rsidR="00AD4E55" w:rsidRDefault="00AD4E55" w:rsidP="00AD4E55">
      <w:pPr>
        <w:pStyle w:val="NormalWeb"/>
      </w:pPr>
      <w:r>
        <w:rPr>
          <w:rFonts w:ascii="MinionPro" w:hAnsi="MinionPro"/>
          <w:sz w:val="18"/>
          <w:szCs w:val="18"/>
        </w:rPr>
        <w:t xml:space="preserve">Non-biomass renewables (solar, wind, hydro and geother- mal energy) scale up rapidly over the twenty-first century (Fig. </w:t>
      </w:r>
      <w:r>
        <w:rPr>
          <w:rFonts w:ascii="MinionPro" w:hAnsi="MinionPro"/>
          <w:color w:val="3A689B"/>
          <w:sz w:val="18"/>
          <w:szCs w:val="18"/>
        </w:rPr>
        <w:t>2a</w:t>
      </w:r>
      <w:r>
        <w:rPr>
          <w:rFonts w:ascii="MinionPro" w:hAnsi="MinionPro"/>
          <w:sz w:val="18"/>
          <w:szCs w:val="18"/>
        </w:rPr>
        <w:t xml:space="preserve">), reaching mid-century electricity shares of 60–80% and 32–79% in SSP1 and SSP2, respectively (Supplementary Fig. 12). In the marker SSP scenarios, these shares are 79%, 60% and 61% in SSP1, SSP2 and SSP5, respectively. Both solar and wind energy is projected to scale up consistently across the different SSPs </w:t>
      </w:r>
    </w:p>
    <w:p w:rsidR="00AD4E55" w:rsidRDefault="00AD4E55" w:rsidP="00AD4E55">
      <w:pPr>
        <w:pStyle w:val="NormalWeb"/>
      </w:pPr>
      <w:r>
        <w:rPr>
          <w:rFonts w:ascii="MinionPro" w:hAnsi="MinionPro"/>
          <w:sz w:val="18"/>
          <w:szCs w:val="18"/>
        </w:rPr>
        <w:t>SSP2 and SSP5 1.9Wm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see a strong upscaling of nuclear power, whereas in SSP1, and particularly its marker implementation, the contribution of nuclear energy use decreases compared to today’s levels </w:t>
      </w:r>
    </w:p>
    <w:p w:rsidR="00AD4E55" w:rsidRDefault="00AD4E55" w:rsidP="00AD4E55">
      <w:pPr>
        <w:pStyle w:val="NormalWeb"/>
      </w:pPr>
      <w:r>
        <w:rPr>
          <w:rFonts w:ascii="MinionPro" w:hAnsi="MinionPro"/>
          <w:sz w:val="18"/>
          <w:szCs w:val="18"/>
        </w:rPr>
        <w:t>SSPs,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show a clear shift away from unabated fossil fuels (that is, without CCS </w:t>
      </w:r>
    </w:p>
    <w:p w:rsidR="00AD4E55" w:rsidRDefault="00AD4E55" w:rsidP="00AD4E55">
      <w:pPr>
        <w:pStyle w:val="NormalWeb"/>
      </w:pPr>
      <w:r>
        <w:rPr>
          <w:rFonts w:ascii="MinionPro" w:hAnsi="MinionPro"/>
          <w:sz w:val="18"/>
          <w:szCs w:val="18"/>
        </w:rPr>
        <w:t>marker implementations exhibit rapidly declining contributions of coal until 2040 (less than about 20% of its 2010 contribution in 2040), followed by a phase-out of oil until 2060 (Supplementary Figs. 14, 15). The potential contribution of natural gas to the primary energy mix is the most uncertain, with mid-cen- tury contributions ranging from 22 to 267 exajoules (EJ) yr</w:t>
      </w:r>
      <w:r>
        <w:rPr>
          <w:rFonts w:ascii="STIXGeneral" w:hAnsi="STIXGeneral" w:cs="STIXGeneral"/>
          <w:position w:val="6"/>
          <w:sz w:val="10"/>
          <w:szCs w:val="10"/>
        </w:rPr>
        <w:t>−</w:t>
      </w:r>
      <w:r>
        <w:rPr>
          <w:rFonts w:ascii="MinionPro" w:hAnsi="MinionPro"/>
          <w:position w:val="6"/>
          <w:sz w:val="10"/>
          <w:szCs w:val="10"/>
        </w:rPr>
        <w:t xml:space="preserve">1 </w:t>
      </w:r>
      <w:r>
        <w:rPr>
          <w:rFonts w:ascii="MinionPro" w:hAnsi="MinionPro"/>
          <w:sz w:val="18"/>
          <w:szCs w:val="18"/>
        </w:rPr>
        <w:t>across all scenarios compared to about 100–110 EJ yr</w:t>
      </w:r>
      <w:r>
        <w:rPr>
          <w:rFonts w:ascii="STIXGeneral" w:hAnsi="STIXGeneral" w:cs="STIXGeneral"/>
          <w:position w:val="6"/>
          <w:sz w:val="10"/>
          <w:szCs w:val="10"/>
        </w:rPr>
        <w:t>−</w:t>
      </w:r>
      <w:r>
        <w:rPr>
          <w:rFonts w:ascii="MinionPro" w:hAnsi="MinionPro"/>
          <w:position w:val="6"/>
          <w:sz w:val="10"/>
          <w:szCs w:val="10"/>
        </w:rPr>
        <w:t xml:space="preserve">1 </w:t>
      </w:r>
      <w:r>
        <w:rPr>
          <w:rFonts w:ascii="MinionPro" w:hAnsi="MinionPro"/>
          <w:sz w:val="18"/>
          <w:szCs w:val="18"/>
        </w:rPr>
        <w:t xml:space="preserve">in 2010 </w:t>
      </w:r>
    </w:p>
    <w:p w:rsidR="00AD4E55" w:rsidRDefault="00AD4E55" w:rsidP="00AD4E55">
      <w:pPr>
        <w:pStyle w:val="NormalWeb"/>
      </w:pPr>
      <w:r>
        <w:rPr>
          <w:rFonts w:ascii="MinionPro" w:hAnsi="MinionPro"/>
          <w:sz w:val="18"/>
          <w:szCs w:val="18"/>
        </w:rPr>
        <w:t>Bioenergy is used in large amounts in all 1.9Wm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w:t>
      </w:r>
    </w:p>
    <w:p w:rsidR="00AD4E55" w:rsidRDefault="00AD4E55" w:rsidP="00AD4E55">
      <w:pPr>
        <w:pStyle w:val="NormalWeb"/>
      </w:pPr>
      <w:r>
        <w:rPr>
          <w:rFonts w:ascii="MinionPro" w:hAnsi="MinionPro"/>
          <w:sz w:val="18"/>
          <w:szCs w:val="18"/>
        </w:rPr>
        <w:t>Bioenergy use is increased by 1–5% per year between 2020 and 2050 in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scenarios. Total bioenergy use in 2050 is kept below about 300EJyr</w:t>
      </w:r>
      <w:r>
        <w:rPr>
          <w:rFonts w:ascii="STIXGeneral" w:hAnsi="STIXGeneral" w:cs="STIXGeneral"/>
          <w:position w:val="6"/>
          <w:sz w:val="10"/>
          <w:szCs w:val="10"/>
        </w:rPr>
        <w:t>−</w:t>
      </w:r>
      <w:r>
        <w:rPr>
          <w:rFonts w:ascii="MinionPro" w:hAnsi="MinionPro"/>
          <w:position w:val="6"/>
          <w:sz w:val="10"/>
          <w:szCs w:val="10"/>
        </w:rPr>
        <w:t>1</w:t>
      </w:r>
      <w:r>
        <w:rPr>
          <w:rFonts w:ascii="MinionPro" w:hAnsi="MinionPro"/>
          <w:sz w:val="18"/>
          <w:szCs w:val="18"/>
        </w:rPr>
        <w:t>, and in most cases below 150 EJ yr</w:t>
      </w:r>
      <w:r>
        <w:rPr>
          <w:rFonts w:ascii="STIXGeneral" w:hAnsi="STIXGeneral" w:cs="STIXGeneral"/>
          <w:position w:val="6"/>
          <w:sz w:val="10"/>
          <w:szCs w:val="10"/>
        </w:rPr>
        <w:t>−</w:t>
      </w:r>
      <w:r>
        <w:rPr>
          <w:rFonts w:ascii="MinionPro" w:hAnsi="MinionPro"/>
          <w:position w:val="6"/>
          <w:sz w:val="10"/>
          <w:szCs w:val="10"/>
        </w:rPr>
        <w:t xml:space="preserve">1 </w:t>
      </w:r>
    </w:p>
    <w:p w:rsidR="00AD4E55" w:rsidRDefault="00AD4E55" w:rsidP="00AD4E55">
      <w:pPr>
        <w:pStyle w:val="NormalWeb"/>
      </w:pPr>
      <w:r>
        <w:rPr>
          <w:rFonts w:ascii="MinionPro" w:hAnsi="MinionPro"/>
          <w:sz w:val="18"/>
          <w:szCs w:val="18"/>
        </w:rPr>
        <w:t>In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land for energy crops and forest area is gen- erally projected to expand during the twenty-first century, with large variations across models, and this can impact land for agriculture and water availability </w:t>
      </w:r>
    </w:p>
    <w:p w:rsidR="00946B98" w:rsidRDefault="00946B98" w:rsidP="00946B98">
      <w:pPr>
        <w:pStyle w:val="NormalWeb"/>
      </w:pPr>
      <w:r>
        <w:rPr>
          <w:rFonts w:ascii="MinionPro" w:hAnsi="MinionPro"/>
          <w:sz w:val="18"/>
          <w:szCs w:val="18"/>
        </w:rPr>
        <w:t xml:space="preserve">Pasture is one of the activities most affected by expanding other land uses and declines robustly across models and SSPs </w:t>
      </w:r>
    </w:p>
    <w:p w:rsidR="00946B98" w:rsidRDefault="00946B98" w:rsidP="00946B98">
      <w:pPr>
        <w:pStyle w:val="NormalWeb"/>
      </w:pPr>
      <w:r>
        <w:rPr>
          <w:rFonts w:ascii="MinionPro" w:hAnsi="MinionPro"/>
          <w:sz w:val="18"/>
          <w:szCs w:val="18"/>
        </w:rPr>
        <w:t>In the middle-of-the-road SSP2 world, pastures decreases by 1–20% in 2050 compared to 2010 levels, and in SSP1, pastures also decrease by 8–16%. In a fossil-fuel intensive SSP5 scenario, it declines by 15–25%. It is important to note that SSP1 baseline scenarios already project a pasture-land decrease of 1–11% due to shifts towards less meat-intensive diets, limited food waste and a return of the world population to 7 billion people by 2100</w:t>
      </w:r>
      <w:r>
        <w:rPr>
          <w:rFonts w:ascii="MinionPro" w:hAnsi="MinionPro"/>
          <w:color w:val="3A689B"/>
          <w:position w:val="6"/>
          <w:sz w:val="10"/>
          <w:szCs w:val="10"/>
        </w:rPr>
        <w:t>5</w:t>
      </w:r>
      <w:r>
        <w:rPr>
          <w:rFonts w:ascii="MinionPro" w:hAnsi="MinionPro"/>
          <w:position w:val="6"/>
          <w:sz w:val="10"/>
          <w:szCs w:val="10"/>
        </w:rPr>
        <w:t>,</w:t>
      </w:r>
      <w:r>
        <w:rPr>
          <w:rFonts w:ascii="MinionPro" w:hAnsi="MinionPro"/>
          <w:color w:val="3A689B"/>
          <w:position w:val="6"/>
          <w:sz w:val="10"/>
          <w:szCs w:val="10"/>
        </w:rPr>
        <w:t>9</w:t>
      </w:r>
      <w:r>
        <w:rPr>
          <w:rFonts w:ascii="MinionPro" w:hAnsi="MinionPro"/>
          <w:position w:val="6"/>
          <w:sz w:val="10"/>
          <w:szCs w:val="10"/>
        </w:rPr>
        <w:t>,</w:t>
      </w:r>
      <w:r>
        <w:rPr>
          <w:rFonts w:ascii="MinionPro" w:hAnsi="MinionPro"/>
          <w:color w:val="3A689B"/>
          <w:position w:val="6"/>
          <w:sz w:val="10"/>
          <w:szCs w:val="10"/>
        </w:rPr>
        <w:t>31</w:t>
      </w:r>
      <w:r>
        <w:rPr>
          <w:rFonts w:ascii="MinionPro" w:hAnsi="MinionPro"/>
          <w:sz w:val="18"/>
          <w:szCs w:val="18"/>
        </w:rPr>
        <w:t xml:space="preserve">. </w:t>
      </w:r>
    </w:p>
    <w:p w:rsidR="00946B98" w:rsidRDefault="00946B98" w:rsidP="00946B98">
      <w:pPr>
        <w:pStyle w:val="NormalWeb"/>
      </w:pPr>
      <w:r>
        <w:rPr>
          <w:rFonts w:ascii="MinionPro" w:hAnsi="MinionPro"/>
          <w:sz w:val="18"/>
          <w:szCs w:val="18"/>
        </w:rPr>
        <w:t xml:space="preserve">Large-scale afforestation and reforestation can make an impor- tant contribution to the overall CDR effort. In the sustainable SSP1 world, pressure on land is relatively low, and the forest area in 2050 can therefore expand by 0–24% relative to 2010. However, in the middle-of-the-road SSP2 scenarios, results are mixed, with some models projecting forest area to decrease by 2% and oth- ers report an increase of up to 18%. SSP5 sees a change of 0–16% (Supplementary Table 6) </w:t>
      </w:r>
    </w:p>
    <w:p w:rsidR="00946B98" w:rsidRDefault="00946B98" w:rsidP="00946B98">
      <w:pPr>
        <w:pStyle w:val="NormalWeb"/>
      </w:pPr>
      <w:r>
        <w:rPr>
          <w:rFonts w:ascii="MinionPro" w:hAnsi="MinionPro"/>
          <w:sz w:val="18"/>
          <w:szCs w:val="18"/>
        </w:rPr>
        <w:t>However, in all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climate policy leads to a net forest expansion compared to no-climate-policy baselines </w:t>
      </w:r>
    </w:p>
    <w:p w:rsidR="00946B98" w:rsidRDefault="00946B98" w:rsidP="00946B98">
      <w:pPr>
        <w:pStyle w:val="NormalWeb"/>
      </w:pPr>
      <w:r>
        <w:rPr>
          <w:rFonts w:ascii="MinionPro" w:hAnsi="MinionPro"/>
          <w:sz w:val="18"/>
          <w:szCs w:val="18"/>
        </w:rPr>
        <w:t>BECCS contributes the largest part of CDR in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scenar- ios (Supplementary Fig. 20). Between 150–1,200 GtCO</w:t>
      </w:r>
      <w:r>
        <w:rPr>
          <w:rFonts w:ascii="MinionPro" w:hAnsi="MinionPro"/>
          <w:position w:val="-4"/>
          <w:sz w:val="10"/>
          <w:szCs w:val="10"/>
        </w:rPr>
        <w:t xml:space="preserve">2 </w:t>
      </w:r>
      <w:r>
        <w:rPr>
          <w:rFonts w:ascii="MinionPro" w:hAnsi="MinionPro"/>
          <w:sz w:val="18"/>
          <w:szCs w:val="18"/>
        </w:rPr>
        <w:t>(rounded to nearest 25 GtCO</w:t>
      </w:r>
      <w:r>
        <w:rPr>
          <w:rFonts w:ascii="MinionPro" w:hAnsi="MinionPro"/>
          <w:position w:val="-4"/>
          <w:sz w:val="10"/>
          <w:szCs w:val="10"/>
        </w:rPr>
        <w:t>2</w:t>
      </w:r>
      <w:r>
        <w:rPr>
          <w:rFonts w:ascii="MinionPro" w:hAnsi="MinionPro"/>
          <w:sz w:val="18"/>
          <w:szCs w:val="18"/>
        </w:rPr>
        <w:t xml:space="preserve">), equivalent to about 4–30 years of current annual emissions, is removed from the atmosphere via BECCS during the twenty-first century, with important variation between models and across SSPs </w:t>
      </w:r>
    </w:p>
    <w:p w:rsidR="00946B98" w:rsidRDefault="00946B98" w:rsidP="00946B98">
      <w:pPr>
        <w:pStyle w:val="NormalWeb"/>
      </w:pPr>
      <w:r>
        <w:rPr>
          <w:rFonts w:ascii="MinionPro" w:hAnsi="MinionPro"/>
          <w:sz w:val="18"/>
          <w:szCs w:val="18"/>
        </w:rPr>
        <w:t>SSP1 shows the lowest BECCS deployment over the twenty-first century (150–700GtCO</w:t>
      </w:r>
      <w:r>
        <w:rPr>
          <w:rFonts w:ascii="MinionPro" w:hAnsi="MinionPro"/>
          <w:position w:val="-4"/>
          <w:sz w:val="10"/>
          <w:szCs w:val="10"/>
        </w:rPr>
        <w:t>2</w:t>
      </w:r>
      <w:r>
        <w:rPr>
          <w:rFonts w:ascii="MinionPro" w:hAnsi="MinionPro"/>
          <w:sz w:val="18"/>
          <w:szCs w:val="18"/>
        </w:rPr>
        <w:t>) owing to its lower final energy demand and baseline emissions, compared to SSP2 (400–975GtCO</w:t>
      </w:r>
      <w:r>
        <w:rPr>
          <w:rFonts w:ascii="MinionPro" w:hAnsi="MinionPro"/>
          <w:position w:val="-4"/>
          <w:sz w:val="10"/>
          <w:szCs w:val="10"/>
        </w:rPr>
        <w:t>2</w:t>
      </w:r>
      <w:r>
        <w:rPr>
          <w:rFonts w:ascii="MinionPro" w:hAnsi="MinionPro"/>
          <w:sz w:val="18"/>
          <w:szCs w:val="18"/>
        </w:rPr>
        <w:t>) and SSP5 (950–1,200GtCO</w:t>
      </w:r>
      <w:r>
        <w:rPr>
          <w:rFonts w:ascii="MinionPro" w:hAnsi="MinionPro"/>
          <w:position w:val="-4"/>
          <w:sz w:val="10"/>
          <w:szCs w:val="10"/>
        </w:rPr>
        <w:t>2</w:t>
      </w:r>
      <w:r>
        <w:rPr>
          <w:rFonts w:ascii="MinionPro" w:hAnsi="MinionPro"/>
          <w:sz w:val="18"/>
          <w:szCs w:val="18"/>
        </w:rPr>
        <w:t>). None of the SSPx-1.9 scenarios explicitly attempted to limit the contribu- tion from BECCS. The numbers reported here therefore represent projections of estimated cost-effective BECCS deployment in 1.9 Wm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but do not represent minimum BECCS require- ments in a strict sense. </w:t>
      </w:r>
    </w:p>
    <w:p w:rsidR="00946B98" w:rsidRDefault="00946B98" w:rsidP="00946B98">
      <w:pPr>
        <w:pStyle w:val="NormalWeb"/>
      </w:pPr>
      <w:r>
        <w:rPr>
          <w:rFonts w:ascii="MinionPro" w:hAnsi="MinionPro"/>
          <w:sz w:val="18"/>
          <w:szCs w:val="18"/>
        </w:rPr>
        <w:t>A previous study</w:t>
      </w:r>
      <w:r>
        <w:rPr>
          <w:rFonts w:ascii="MinionPro" w:hAnsi="MinionPro"/>
          <w:color w:val="3A689B"/>
          <w:position w:val="6"/>
          <w:sz w:val="10"/>
          <w:szCs w:val="10"/>
        </w:rPr>
        <w:t xml:space="preserve">43 </w:t>
      </w:r>
      <w:r>
        <w:rPr>
          <w:rFonts w:ascii="MinionPro" w:hAnsi="MinionPro"/>
          <w:sz w:val="18"/>
          <w:szCs w:val="18"/>
        </w:rPr>
        <w:t>has identified characteristics of 1.5 °C pathways in comparison to 2°C pathways. These characteristics were (i) greater mitigation efforts on the demand side; (ii) energy efficiency improve- ments; (iii) CO</w:t>
      </w:r>
      <w:r>
        <w:rPr>
          <w:rFonts w:ascii="MinionPro" w:hAnsi="MinionPro"/>
          <w:position w:val="-4"/>
          <w:sz w:val="10"/>
          <w:szCs w:val="10"/>
        </w:rPr>
        <w:t xml:space="preserve">2 </w:t>
      </w:r>
      <w:r>
        <w:rPr>
          <w:rFonts w:ascii="MinionPro" w:hAnsi="MinionPro"/>
          <w:sz w:val="18"/>
          <w:szCs w:val="18"/>
        </w:rPr>
        <w:t>reductions beyond global net zero; (iv) additional GHG reductions mainly from CO</w:t>
      </w:r>
      <w:r>
        <w:rPr>
          <w:rFonts w:ascii="MinionPro" w:hAnsi="MinionPro"/>
          <w:position w:val="-4"/>
          <w:sz w:val="10"/>
          <w:szCs w:val="10"/>
        </w:rPr>
        <w:t>2</w:t>
      </w:r>
      <w:r>
        <w:rPr>
          <w:rFonts w:ascii="MinionPro" w:hAnsi="MinionPro"/>
          <w:sz w:val="18"/>
          <w:szCs w:val="18"/>
        </w:rPr>
        <w:t>; (v) rapid and profound near-term decarbonization of energy supply; (vi) higher mitigation costs; and (vii) comprehensive emission reductions implemented in the com- ing decade. Using our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and 2.6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as prox- ies for 1.5 °C and 2 °C pathways, these characteristics still hold when assessed with four additional models and varying socio-economic assumptions </w:t>
      </w:r>
    </w:p>
    <w:p w:rsidR="00946B98" w:rsidRDefault="00946B98" w:rsidP="00946B98">
      <w:pPr>
        <w:pStyle w:val="NormalWeb"/>
      </w:pPr>
      <w:r>
        <w:rPr>
          <w:rFonts w:ascii="MinionPro" w:hAnsi="MinionPro"/>
          <w:sz w:val="18"/>
          <w:szCs w:val="18"/>
        </w:rPr>
        <w:lastRenderedPageBreak/>
        <w:t>None of the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scenarios show a peak of emissions after 2020, and 82–98% of additional cumulative mitigation over the 2020–2100 period is achieved through CO</w:t>
      </w:r>
      <w:r>
        <w:rPr>
          <w:rFonts w:ascii="MinionPro" w:hAnsi="MinionPro"/>
          <w:position w:val="-4"/>
          <w:sz w:val="10"/>
          <w:szCs w:val="10"/>
        </w:rPr>
        <w:t xml:space="preserve">2 </w:t>
      </w:r>
      <w:r>
        <w:rPr>
          <w:rFonts w:ascii="MinionPro" w:hAnsi="MinionPro"/>
          <w:sz w:val="18"/>
          <w:szCs w:val="18"/>
        </w:rPr>
        <w:t xml:space="preserve">reductions </w:t>
      </w:r>
    </w:p>
    <w:p w:rsidR="00946B98" w:rsidRDefault="00946B98" w:rsidP="00946B98">
      <w:pPr>
        <w:pStyle w:val="NormalWeb"/>
      </w:pPr>
      <w:r>
        <w:rPr>
          <w:rFonts w:ascii="MinionPro" w:hAnsi="MinionPro"/>
          <w:sz w:val="18"/>
          <w:szCs w:val="18"/>
        </w:rPr>
        <w:t>Mitigation costs increase substantially between 1.9 and 2.6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scenarios reflecting higher marginal abatement costs (Figs. </w:t>
      </w:r>
      <w:r>
        <w:rPr>
          <w:rFonts w:ascii="MinionPro" w:hAnsi="MinionPro"/>
          <w:color w:val="3A689B"/>
          <w:sz w:val="18"/>
          <w:szCs w:val="18"/>
        </w:rPr>
        <w:t>4</w:t>
      </w:r>
      <w:r>
        <w:rPr>
          <w:rFonts w:ascii="MinionPro" w:hAnsi="MinionPro"/>
          <w:sz w:val="18"/>
          <w:szCs w:val="18"/>
        </w:rPr>
        <w:t>,</w:t>
      </w:r>
      <w:r>
        <w:rPr>
          <w:rFonts w:ascii="MinionPro" w:hAnsi="MinionPro"/>
          <w:color w:val="3A689B"/>
          <w:sz w:val="18"/>
          <w:szCs w:val="18"/>
        </w:rPr>
        <w:t>5</w:t>
      </w:r>
      <w:r>
        <w:rPr>
          <w:rFonts w:ascii="MinionPro" w:hAnsi="MinionPro"/>
          <w:sz w:val="18"/>
          <w:szCs w:val="18"/>
        </w:rPr>
        <w:t xml:space="preserve">). The relative carbon price increase is largest in SSP2 (Fig. </w:t>
      </w:r>
      <w:r>
        <w:rPr>
          <w:rFonts w:ascii="MinionPro" w:hAnsi="MinionPro"/>
          <w:color w:val="3A689B"/>
          <w:sz w:val="18"/>
          <w:szCs w:val="18"/>
        </w:rPr>
        <w:t>4</w:t>
      </w:r>
      <w:r>
        <w:rPr>
          <w:rFonts w:ascii="MinionPro" w:hAnsi="MinionPro"/>
          <w:sz w:val="18"/>
          <w:szCs w:val="18"/>
        </w:rPr>
        <w:t xml:space="preserve">) and also SSP1 sees large relative increases across all model </w:t>
      </w:r>
    </w:p>
    <w:p w:rsidR="00946B98" w:rsidRDefault="00946B98" w:rsidP="00946B98">
      <w:pPr>
        <w:pStyle w:val="NormalWeb"/>
      </w:pPr>
      <w:r>
        <w:rPr>
          <w:rFonts w:ascii="MinionPro" w:hAnsi="MinionPro"/>
          <w:sz w:val="18"/>
          <w:szCs w:val="18"/>
        </w:rPr>
        <w:t xml:space="preserve">prices (Fig. </w:t>
      </w:r>
      <w:r>
        <w:rPr>
          <w:rFonts w:ascii="MinionPro" w:hAnsi="MinionPro"/>
          <w:color w:val="3A689B"/>
          <w:sz w:val="18"/>
          <w:szCs w:val="18"/>
        </w:rPr>
        <w:t>5</w:t>
      </w:r>
      <w:r>
        <w:rPr>
          <w:rFonts w:ascii="MinionPro" w:hAnsi="MinionPro"/>
          <w:sz w:val="18"/>
          <w:szCs w:val="18"/>
        </w:rPr>
        <w:t xml:space="preserve">), consumption losses and energy supply mitigation investments (Supplementary Fig. 26) are highest when assuming the less favourable socio-economic conditions of SSP2, SSP4 and SSP5 </w:t>
      </w:r>
    </w:p>
    <w:p w:rsidR="00946B98" w:rsidRDefault="00946B98" w:rsidP="00946B98">
      <w:pPr>
        <w:pStyle w:val="NormalWeb"/>
      </w:pPr>
      <w:r>
        <w:rPr>
          <w:rFonts w:ascii="MinionPro" w:hAnsi="MinionPro"/>
          <w:sz w:val="18"/>
          <w:szCs w:val="18"/>
        </w:rPr>
        <w:t xml:space="preserve">For instance, the average discounted carbon prices (discounted to 2010 over the 2020–2100 period; Fig. </w:t>
      </w:r>
      <w:r>
        <w:rPr>
          <w:rFonts w:ascii="MinionPro" w:hAnsi="MinionPro"/>
          <w:color w:val="3A689B"/>
          <w:sz w:val="18"/>
          <w:szCs w:val="18"/>
        </w:rPr>
        <w:t>5</w:t>
      </w:r>
      <w:r>
        <w:rPr>
          <w:rFonts w:ascii="MinionPro" w:hAnsi="MinionPro"/>
          <w:sz w:val="18"/>
          <w:szCs w:val="18"/>
        </w:rPr>
        <w:t>) are estimated to be about 50–165 US$ per tCO</w:t>
      </w:r>
      <w:r>
        <w:rPr>
          <w:rFonts w:ascii="MinionPro" w:hAnsi="MinionPro"/>
          <w:position w:val="-4"/>
          <w:sz w:val="10"/>
          <w:szCs w:val="10"/>
        </w:rPr>
        <w:t>2</w:t>
      </w:r>
      <w:r>
        <w:rPr>
          <w:rFonts w:ascii="MinionPro" w:hAnsi="MinionPro"/>
          <w:sz w:val="18"/>
          <w:szCs w:val="18"/>
        </w:rPr>
        <w:t xml:space="preserve">e in SSP2 (rounded to the nearest 5). They are approximately 35–65% lower in SSP1, and for the two reported SSP5 scenarios the change is </w:t>
      </w:r>
      <w:r>
        <w:rPr>
          <w:rFonts w:ascii="STIXGeneral" w:hAnsi="STIXGeneral" w:cs="STIXGeneral"/>
          <w:sz w:val="18"/>
          <w:szCs w:val="18"/>
        </w:rPr>
        <w:t>−</w:t>
      </w:r>
      <w:r>
        <w:rPr>
          <w:rFonts w:ascii="MinionPro" w:hAnsi="MinionPro"/>
          <w:sz w:val="18"/>
          <w:szCs w:val="18"/>
        </w:rPr>
        <w:t xml:space="preserve">30% and </w:t>
      </w:r>
      <w:r>
        <w:rPr>
          <w:rFonts w:ascii="STIXGeneral" w:hAnsi="STIXGeneral" w:cs="STIXGeneral"/>
          <w:sz w:val="18"/>
          <w:szCs w:val="18"/>
        </w:rPr>
        <w:t>+</w:t>
      </w:r>
      <w:r>
        <w:rPr>
          <w:rFonts w:ascii="MinionPro" w:hAnsi="MinionPro"/>
          <w:sz w:val="18"/>
          <w:szCs w:val="18"/>
        </w:rPr>
        <w:t>5%, respectively. The large range of carbon prices is mainly driven by model uncertainties, which were already identified for 2.6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scenarios</w:t>
      </w:r>
      <w:r>
        <w:rPr>
          <w:rFonts w:ascii="MinionPro" w:hAnsi="MinionPro"/>
          <w:color w:val="3A689B"/>
          <w:position w:val="6"/>
          <w:sz w:val="10"/>
          <w:szCs w:val="10"/>
        </w:rPr>
        <w:t>5</w:t>
      </w:r>
      <w:r>
        <w:rPr>
          <w:rFonts w:ascii="MinionPro" w:hAnsi="MinionPro"/>
          <w:sz w:val="18"/>
          <w:szCs w:val="18"/>
        </w:rPr>
        <w:t xml:space="preserve">, but are more pronounced here owing to the more stringent target. </w:t>
      </w:r>
    </w:p>
    <w:p w:rsidR="00946B98" w:rsidRDefault="00946B98" w:rsidP="00946B98">
      <w:pPr>
        <w:pStyle w:val="NormalWeb"/>
      </w:pPr>
      <w:r>
        <w:rPr>
          <w:rFonts w:ascii="MinionPro" w:hAnsi="MinionPro"/>
          <w:sz w:val="18"/>
          <w:szCs w:val="18"/>
        </w:rPr>
        <w:t xml:space="preserve">Our results show that some socio-economic developments and assumptions about policy effectiveness preclude achieving strin- gent mitigation futures (Fig. </w:t>
      </w:r>
      <w:r>
        <w:rPr>
          <w:rFonts w:ascii="MinionPro" w:hAnsi="MinionPro"/>
          <w:color w:val="3A689B"/>
          <w:sz w:val="18"/>
          <w:szCs w:val="18"/>
        </w:rPr>
        <w:t>5</w:t>
      </w:r>
      <w:r>
        <w:rPr>
          <w:rFonts w:ascii="MinionPro" w:hAnsi="MinionPro"/>
          <w:sz w:val="18"/>
          <w:szCs w:val="18"/>
        </w:rPr>
        <w:t xml:space="preserve">). Such failures were anticipated </w:t>
      </w:r>
    </w:p>
    <w:p w:rsidR="000E158D" w:rsidRDefault="000E158D" w:rsidP="000E158D">
      <w:pPr>
        <w:pStyle w:val="NormalWeb"/>
      </w:pPr>
      <w:r>
        <w:rPr>
          <w:rFonts w:ascii="MinionPro" w:hAnsi="MinionPro"/>
          <w:sz w:val="18"/>
          <w:szCs w:val="18"/>
        </w:rPr>
        <w:t xml:space="preserve">Our results show that some socio-economic developments and assumptions about policy effectiveness preclude achieving strin- gent mitigation futures (Fig. </w:t>
      </w:r>
      <w:r>
        <w:rPr>
          <w:rFonts w:ascii="MinionPro" w:hAnsi="MinionPro"/>
          <w:color w:val="3A689B"/>
          <w:sz w:val="18"/>
          <w:szCs w:val="18"/>
        </w:rPr>
        <w:t>5</w:t>
      </w:r>
      <w:r>
        <w:rPr>
          <w:rFonts w:ascii="MinionPro" w:hAnsi="MinionPro"/>
          <w:sz w:val="18"/>
          <w:szCs w:val="18"/>
        </w:rPr>
        <w:t xml:space="preserve">). Such failures were anticipated </w:t>
      </w:r>
    </w:p>
    <w:p w:rsidR="000E158D" w:rsidRDefault="000E158D" w:rsidP="000E158D">
      <w:pPr>
        <w:pStyle w:val="NormalWeb"/>
      </w:pPr>
      <w:r>
        <w:rPr>
          <w:rFonts w:ascii="MinionPro" w:hAnsi="MinionPro"/>
          <w:sz w:val="18"/>
          <w:szCs w:val="18"/>
        </w:rPr>
        <w:t>for SSP3, in which very heterogeneous regional development and debilitating policy assumptions already rendered limiting end-of- century radiative forcing to 2.6Wm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unachievable in the models</w:t>
      </w:r>
      <w:r>
        <w:rPr>
          <w:rFonts w:ascii="MinionPro" w:hAnsi="MinionPro"/>
          <w:color w:val="3A689B"/>
          <w:position w:val="6"/>
          <w:sz w:val="10"/>
          <w:szCs w:val="10"/>
        </w:rPr>
        <w:t xml:space="preserve">5 </w:t>
      </w:r>
      <w:r>
        <w:rPr>
          <w:rFonts w:ascii="MinionPro" w:hAnsi="MinionPro"/>
          <w:sz w:val="18"/>
          <w:szCs w:val="18"/>
        </w:rPr>
        <w:t>(Supplementary Text 2). However, in SSP4 and SSP5 limiting radia- tive forcing to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proved difficult too. In SSP4, a world that promotes both geographical and social inequalities, only one out of three models attempting a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scenario was successful. Weak mitigation is achieved rather easily in SSP4</w:t>
      </w:r>
      <w:r>
        <w:rPr>
          <w:rFonts w:ascii="MinionPro" w:hAnsi="MinionPro"/>
          <w:color w:val="3A689B"/>
          <w:position w:val="6"/>
          <w:sz w:val="10"/>
          <w:szCs w:val="10"/>
        </w:rPr>
        <w:t>5</w:t>
      </w:r>
      <w:r>
        <w:rPr>
          <w:rFonts w:ascii="MinionPro" w:hAnsi="MinionPro"/>
          <w:position w:val="6"/>
          <w:sz w:val="10"/>
          <w:szCs w:val="10"/>
        </w:rPr>
        <w:t>,</w:t>
      </w:r>
      <w:r>
        <w:rPr>
          <w:rFonts w:ascii="MinionPro" w:hAnsi="MinionPro"/>
          <w:color w:val="3A689B"/>
          <w:position w:val="6"/>
          <w:sz w:val="10"/>
          <w:szCs w:val="10"/>
        </w:rPr>
        <w:t>12</w:t>
      </w:r>
      <w:r>
        <w:rPr>
          <w:rFonts w:ascii="MinionPro" w:hAnsi="MinionPro"/>
          <w:sz w:val="18"/>
          <w:szCs w:val="18"/>
        </w:rPr>
        <w:t>. However, the lack of control over land-related emissions in developing countries and lower acceptability of CCS in developed countries in SSP4 make very low emissions pathways unachievable</w:t>
      </w:r>
      <w:r>
        <w:rPr>
          <w:rFonts w:ascii="MinionPro" w:hAnsi="MinionPro"/>
          <w:color w:val="3A689B"/>
          <w:position w:val="6"/>
          <w:sz w:val="10"/>
          <w:szCs w:val="10"/>
        </w:rPr>
        <w:t>12</w:t>
      </w:r>
      <w:r>
        <w:rPr>
          <w:rFonts w:ascii="MinionPro" w:hAnsi="MinionPro"/>
          <w:sz w:val="18"/>
          <w:szCs w:val="18"/>
        </w:rPr>
        <w:t>. Also in SSP5, a world dominated by high economic growth and fossil-fuel development, challenges to mitigation are high</w:t>
      </w:r>
      <w:r>
        <w:rPr>
          <w:rFonts w:ascii="MinionPro" w:hAnsi="MinionPro"/>
          <w:color w:val="3A689B"/>
          <w:position w:val="6"/>
          <w:sz w:val="10"/>
          <w:szCs w:val="10"/>
        </w:rPr>
        <w:t>13</w:t>
      </w:r>
      <w:r>
        <w:rPr>
          <w:rFonts w:ascii="MinionPro" w:hAnsi="MinionPro"/>
          <w:sz w:val="18"/>
          <w:szCs w:val="18"/>
        </w:rPr>
        <w:t>. Finally, under a middle-of-the- road development (SSP2) and under a green-growth paradigm (SSP1) four and six models, respectively, were able to produce a 1.9 W m</w:t>
      </w:r>
      <w:r>
        <w:rPr>
          <w:rFonts w:ascii="STIXGeneral" w:hAnsi="STIXGeneral" w:cs="STIXGeneral"/>
          <w:position w:val="6"/>
          <w:sz w:val="10"/>
          <w:szCs w:val="10"/>
        </w:rPr>
        <w:t>−</w:t>
      </w:r>
      <w:r>
        <w:rPr>
          <w:rFonts w:ascii="MinionPro" w:hAnsi="MinionPro"/>
          <w:position w:val="6"/>
          <w:sz w:val="10"/>
          <w:szCs w:val="10"/>
        </w:rPr>
        <w:t xml:space="preserve">2 </w:t>
      </w:r>
      <w:r>
        <w:rPr>
          <w:rFonts w:ascii="MinionPro" w:hAnsi="MinionPro"/>
          <w:sz w:val="18"/>
          <w:szCs w:val="18"/>
        </w:rPr>
        <w:t xml:space="preserve">scenario (Supplementary Table 1). </w:t>
      </w:r>
    </w:p>
    <w:p w:rsidR="000E158D" w:rsidRDefault="000E158D" w:rsidP="000E158D">
      <w:pPr>
        <w:pStyle w:val="NormalWeb"/>
      </w:pPr>
      <w:r>
        <w:rPr>
          <w:rFonts w:ascii="MinionPro" w:hAnsi="MinionPro"/>
          <w:sz w:val="18"/>
          <w:szCs w:val="18"/>
        </w:rPr>
        <w:t xml:space="preserve">What can SSPx-1.9 scenarios teach us about the feasibility of limit- ing warming to 1.5 °C? Typically, feasibility refers to a multi-dimen- sional concept that considers aspects of geophysics, technology, economics, societal acceptance, institutions and politics, among other disciplines. </w:t>
      </w:r>
    </w:p>
    <w:p w:rsidR="0079718A" w:rsidRDefault="000E158D" w:rsidP="000E158D">
      <w:pPr>
        <w:pStyle w:val="NormalWeb"/>
        <w:rPr>
          <w:rFonts w:ascii="MinionPro" w:hAnsi="MinionPro"/>
          <w:sz w:val="18"/>
          <w:szCs w:val="18"/>
        </w:rPr>
      </w:pPr>
      <w:r>
        <w:rPr>
          <w:rFonts w:ascii="MinionPro" w:hAnsi="MinionPro"/>
          <w:sz w:val="18"/>
          <w:szCs w:val="18"/>
        </w:rPr>
        <w:t xml:space="preserve">n this context, our scenarios can illustrate that multiple technologically salient options are available for limiting warming increase to 1.5°C, but that the risk of failure increases markedly in the high growth, unequal and/or energy- intensive worlds of SSP3, SSP4 and SSP5. </w:t>
      </w:r>
    </w:p>
    <w:p w:rsidR="001144D9" w:rsidRDefault="0079718A">
      <w:pPr>
        <w:rPr>
          <w:rFonts w:ascii="MinionPro" w:hAnsi="MinionPro"/>
          <w:sz w:val="18"/>
          <w:szCs w:val="18"/>
        </w:rPr>
        <w:sectPr w:rsidR="001144D9" w:rsidSect="001144D9">
          <w:pgSz w:w="12240" w:h="15840"/>
          <w:pgMar w:top="1440" w:right="1440" w:bottom="1440" w:left="1440" w:header="720" w:footer="720" w:gutter="0"/>
          <w:cols w:space="720"/>
          <w:docGrid w:linePitch="360"/>
        </w:sectPr>
      </w:pPr>
      <w:r>
        <w:rPr>
          <w:rFonts w:ascii="MinionPro" w:hAnsi="MinionPro"/>
          <w:sz w:val="18"/>
          <w:szCs w:val="18"/>
        </w:rPr>
        <w:br w:type="page"/>
      </w:r>
    </w:p>
    <w:p w:rsidR="0079718A" w:rsidRDefault="00056A27">
      <w:pPr>
        <w:rPr>
          <w:rFonts w:ascii="MinionPro" w:eastAsia="Times New Roman" w:hAnsi="MinionPro" w:cs="Times New Roman"/>
          <w:sz w:val="18"/>
          <w:szCs w:val="18"/>
        </w:rPr>
      </w:pPr>
      <w:r>
        <w:rPr>
          <w:rFonts w:ascii="MinionPro" w:eastAsia="Times New Roman" w:hAnsi="MinionPro" w:cs="Times New Roman"/>
          <w:sz w:val="18"/>
          <w:szCs w:val="18"/>
        </w:rPr>
        <w:lastRenderedPageBreak/>
        <w:t>Links:</w:t>
      </w:r>
    </w:p>
    <w:p w:rsidR="00056A27" w:rsidRDefault="00056A27" w:rsidP="00056A27">
      <w:pPr>
        <w:pStyle w:val="ListParagraph"/>
        <w:numPr>
          <w:ilvl w:val="0"/>
          <w:numId w:val="11"/>
        </w:numPr>
        <w:rPr>
          <w:rFonts w:ascii="MinionPro" w:hAnsi="MinionPro"/>
          <w:sz w:val="18"/>
          <w:szCs w:val="18"/>
        </w:rPr>
      </w:pPr>
      <w:hyperlink r:id="rId8" w:history="1">
        <w:r w:rsidRPr="000D3E03">
          <w:rPr>
            <w:rStyle w:val="Hyperlink"/>
            <w:rFonts w:ascii="MinionPro" w:hAnsi="MinionPro"/>
            <w:sz w:val="18"/>
            <w:szCs w:val="18"/>
          </w:rPr>
          <w:t>http://www.globalchange.umd.edu/gcamrcp/</w:t>
        </w:r>
      </w:hyperlink>
    </w:p>
    <w:p w:rsidR="00056A27" w:rsidRDefault="00056A27" w:rsidP="00056A27">
      <w:pPr>
        <w:pStyle w:val="ListParagraph"/>
        <w:numPr>
          <w:ilvl w:val="0"/>
          <w:numId w:val="11"/>
        </w:numPr>
        <w:rPr>
          <w:rFonts w:ascii="MinionPro" w:hAnsi="MinionPro"/>
          <w:sz w:val="18"/>
          <w:szCs w:val="18"/>
        </w:rPr>
      </w:pPr>
      <w:hyperlink r:id="rId9" w:history="1">
        <w:r w:rsidRPr="000D3E03">
          <w:rPr>
            <w:rStyle w:val="Hyperlink"/>
            <w:rFonts w:ascii="MinionPro" w:hAnsi="MinionPro"/>
            <w:sz w:val="18"/>
            <w:szCs w:val="18"/>
          </w:rPr>
          <w:t>https://secure.iiasa.ac.at/web-apps/ene/SspDb/dsd?Action=htmlpage&amp;page=about</w:t>
        </w:r>
      </w:hyperlink>
    </w:p>
    <w:p w:rsidR="00056A27" w:rsidRDefault="00056A27" w:rsidP="00056A27">
      <w:pPr>
        <w:pStyle w:val="ListParagraph"/>
        <w:numPr>
          <w:ilvl w:val="0"/>
          <w:numId w:val="11"/>
        </w:numPr>
        <w:rPr>
          <w:rFonts w:ascii="MinionPro" w:hAnsi="MinionPro"/>
          <w:sz w:val="18"/>
          <w:szCs w:val="18"/>
        </w:rPr>
      </w:pPr>
      <w:hyperlink r:id="rId10" w:history="1">
        <w:r w:rsidRPr="000D3E03">
          <w:rPr>
            <w:rStyle w:val="Hyperlink"/>
            <w:rFonts w:ascii="MinionPro" w:hAnsi="MinionPro"/>
            <w:sz w:val="18"/>
            <w:szCs w:val="18"/>
          </w:rPr>
          <w:t>https://secure.iiasa.ac.at/web-apps/ene/SspDb/dsd?Action=htmlpage&amp;page=about</w:t>
        </w:r>
      </w:hyperlink>
    </w:p>
    <w:p w:rsidR="00056A27" w:rsidRDefault="00056A27" w:rsidP="00056A27">
      <w:pPr>
        <w:pStyle w:val="ListParagraph"/>
        <w:numPr>
          <w:ilvl w:val="0"/>
          <w:numId w:val="11"/>
        </w:numPr>
        <w:rPr>
          <w:rFonts w:ascii="MinionPro" w:hAnsi="MinionPro"/>
          <w:sz w:val="18"/>
          <w:szCs w:val="18"/>
        </w:rPr>
      </w:pPr>
      <w:hyperlink r:id="rId11" w:history="1">
        <w:r w:rsidRPr="000D3E03">
          <w:rPr>
            <w:rStyle w:val="Hyperlink"/>
            <w:rFonts w:ascii="MinionPro" w:hAnsi="MinionPro"/>
            <w:sz w:val="18"/>
            <w:szCs w:val="18"/>
          </w:rPr>
          <w:t>http://www.globalchange.umd.edu/data-products/</w:t>
        </w:r>
      </w:hyperlink>
    </w:p>
    <w:p w:rsidR="00056A27" w:rsidRDefault="00056A27" w:rsidP="00056A27">
      <w:pPr>
        <w:pStyle w:val="ListParagraph"/>
        <w:numPr>
          <w:ilvl w:val="0"/>
          <w:numId w:val="11"/>
        </w:numPr>
        <w:rPr>
          <w:rFonts w:ascii="MinionPro" w:hAnsi="MinionPro"/>
          <w:sz w:val="18"/>
          <w:szCs w:val="18"/>
        </w:rPr>
      </w:pPr>
      <w:hyperlink r:id="rId12" w:history="1">
        <w:r w:rsidRPr="000D3E03">
          <w:rPr>
            <w:rStyle w:val="Hyperlink"/>
            <w:rFonts w:ascii="MinionPro" w:hAnsi="MinionPro"/>
            <w:sz w:val="18"/>
            <w:szCs w:val="18"/>
          </w:rPr>
          <w:t>http://www.ipcc-data.org/guidelines/pages/glossary/glossary_lm.html</w:t>
        </w:r>
      </w:hyperlink>
    </w:p>
    <w:p w:rsidR="00056A27" w:rsidRPr="00056A27" w:rsidRDefault="00B842D1" w:rsidP="00056A27">
      <w:pPr>
        <w:pStyle w:val="ListParagraph"/>
        <w:ind w:left="720"/>
        <w:rPr>
          <w:rFonts w:ascii="MinionPro" w:hAnsi="MinionPro"/>
          <w:sz w:val="18"/>
          <w:szCs w:val="18"/>
        </w:rPr>
      </w:pPr>
      <w:r>
        <w:rPr>
          <w:rFonts w:ascii="MinionPro" w:hAnsi="MinionPro"/>
          <w:sz w:val="18"/>
          <w:szCs w:val="18"/>
        </w:rPr>
        <w:t xml:space="preserve">Scenario description - </w:t>
      </w:r>
    </w:p>
    <w:p w:rsidR="000E158D" w:rsidRDefault="000E158D" w:rsidP="000E158D">
      <w:pPr>
        <w:pStyle w:val="NormalWeb"/>
      </w:pPr>
    </w:p>
    <w:tbl>
      <w:tblPr>
        <w:tblStyle w:val="TableGrid"/>
        <w:tblW w:w="13923" w:type="dxa"/>
        <w:tblLook w:val="04A0" w:firstRow="1" w:lastRow="0" w:firstColumn="1" w:lastColumn="0" w:noHBand="0" w:noVBand="1"/>
      </w:tblPr>
      <w:tblGrid>
        <w:gridCol w:w="1013"/>
        <w:gridCol w:w="2583"/>
        <w:gridCol w:w="2582"/>
        <w:gridCol w:w="2582"/>
        <w:gridCol w:w="2581"/>
        <w:gridCol w:w="2582"/>
      </w:tblGrid>
      <w:tr w:rsidR="00D267DA" w:rsidRPr="0079718A" w:rsidTr="0079718A">
        <w:tc>
          <w:tcPr>
            <w:tcW w:w="963" w:type="dxa"/>
            <w:tcBorders>
              <w:right w:val="single" w:sz="12" w:space="0" w:color="auto"/>
            </w:tcBorders>
          </w:tcPr>
          <w:p w:rsidR="0079718A" w:rsidRPr="0079718A" w:rsidRDefault="0079718A" w:rsidP="0079718A">
            <w:pPr>
              <w:pStyle w:val="NormalWeb"/>
              <w:spacing w:before="0" w:beforeAutospacing="0" w:after="0" w:afterAutospacing="0"/>
              <w:rPr>
                <w:sz w:val="16"/>
                <w:szCs w:val="16"/>
              </w:rPr>
            </w:pPr>
          </w:p>
        </w:tc>
        <w:tc>
          <w:tcPr>
            <w:tcW w:w="2592" w:type="dxa"/>
            <w:tcBorders>
              <w:left w:val="single" w:sz="12" w:space="0" w:color="auto"/>
            </w:tcBorders>
          </w:tcPr>
          <w:p w:rsidR="0079718A" w:rsidRPr="0079718A" w:rsidRDefault="0079718A" w:rsidP="0079718A">
            <w:pPr>
              <w:pStyle w:val="NormalWeb"/>
              <w:spacing w:before="0" w:beforeAutospacing="0" w:after="0" w:afterAutospacing="0"/>
              <w:rPr>
                <w:sz w:val="16"/>
                <w:szCs w:val="16"/>
              </w:rPr>
            </w:pPr>
            <w:r w:rsidRPr="0079718A">
              <w:rPr>
                <w:sz w:val="16"/>
                <w:szCs w:val="16"/>
              </w:rPr>
              <w:t>SSP1</w:t>
            </w:r>
          </w:p>
        </w:tc>
        <w:tc>
          <w:tcPr>
            <w:tcW w:w="2592" w:type="dxa"/>
          </w:tcPr>
          <w:p w:rsidR="0079718A" w:rsidRPr="0079718A" w:rsidRDefault="0079718A" w:rsidP="0079718A">
            <w:pPr>
              <w:pStyle w:val="NormalWeb"/>
              <w:spacing w:before="0" w:beforeAutospacing="0" w:after="0" w:afterAutospacing="0"/>
              <w:rPr>
                <w:sz w:val="16"/>
                <w:szCs w:val="16"/>
              </w:rPr>
            </w:pPr>
            <w:r w:rsidRPr="0079718A">
              <w:rPr>
                <w:sz w:val="16"/>
                <w:szCs w:val="16"/>
              </w:rPr>
              <w:t>SSP2</w:t>
            </w:r>
          </w:p>
        </w:tc>
        <w:tc>
          <w:tcPr>
            <w:tcW w:w="2592" w:type="dxa"/>
          </w:tcPr>
          <w:p w:rsidR="0079718A" w:rsidRPr="0079718A" w:rsidRDefault="0079718A" w:rsidP="0079718A">
            <w:pPr>
              <w:pStyle w:val="NormalWeb"/>
              <w:spacing w:before="0" w:beforeAutospacing="0" w:after="0" w:afterAutospacing="0"/>
              <w:rPr>
                <w:sz w:val="16"/>
                <w:szCs w:val="16"/>
              </w:rPr>
            </w:pPr>
            <w:r w:rsidRPr="0079718A">
              <w:rPr>
                <w:sz w:val="16"/>
                <w:szCs w:val="16"/>
              </w:rPr>
              <w:t>SSP3</w:t>
            </w:r>
          </w:p>
        </w:tc>
        <w:tc>
          <w:tcPr>
            <w:tcW w:w="2592" w:type="dxa"/>
          </w:tcPr>
          <w:p w:rsidR="0079718A" w:rsidRPr="0079718A" w:rsidRDefault="0079718A" w:rsidP="0079718A">
            <w:pPr>
              <w:pStyle w:val="NormalWeb"/>
              <w:spacing w:before="0" w:beforeAutospacing="0" w:after="0" w:afterAutospacing="0"/>
              <w:rPr>
                <w:sz w:val="16"/>
                <w:szCs w:val="16"/>
              </w:rPr>
            </w:pPr>
            <w:r w:rsidRPr="0079718A">
              <w:rPr>
                <w:sz w:val="16"/>
                <w:szCs w:val="16"/>
              </w:rPr>
              <w:t>SSP4</w:t>
            </w:r>
          </w:p>
        </w:tc>
        <w:tc>
          <w:tcPr>
            <w:tcW w:w="2592" w:type="dxa"/>
          </w:tcPr>
          <w:p w:rsidR="0079718A" w:rsidRPr="0079718A" w:rsidRDefault="0079718A" w:rsidP="0079718A">
            <w:pPr>
              <w:pStyle w:val="NormalWeb"/>
              <w:spacing w:before="0" w:beforeAutospacing="0" w:after="0" w:afterAutospacing="0"/>
              <w:rPr>
                <w:sz w:val="16"/>
                <w:szCs w:val="16"/>
              </w:rPr>
            </w:pPr>
            <w:r w:rsidRPr="0079718A">
              <w:rPr>
                <w:sz w:val="16"/>
                <w:szCs w:val="16"/>
              </w:rPr>
              <w:t>SSP5</w:t>
            </w:r>
          </w:p>
        </w:tc>
      </w:tr>
      <w:tr w:rsidR="00D267DA" w:rsidRPr="0079718A" w:rsidTr="0079718A">
        <w:tc>
          <w:tcPr>
            <w:tcW w:w="963" w:type="dxa"/>
            <w:tcBorders>
              <w:right w:val="single" w:sz="12" w:space="0" w:color="auto"/>
            </w:tcBorders>
          </w:tcPr>
          <w:p w:rsidR="0079718A" w:rsidRPr="0079718A" w:rsidRDefault="0079718A" w:rsidP="0079718A">
            <w:pPr>
              <w:pStyle w:val="NormalWeb"/>
              <w:spacing w:before="0" w:beforeAutospacing="0" w:after="0" w:afterAutospacing="0"/>
              <w:rPr>
                <w:sz w:val="16"/>
                <w:szCs w:val="16"/>
              </w:rPr>
            </w:pPr>
            <w:r w:rsidRPr="0079718A">
              <w:rPr>
                <w:sz w:val="16"/>
                <w:szCs w:val="16"/>
              </w:rPr>
              <w:t>Description</w:t>
            </w:r>
            <w:r w:rsidR="00D267DA">
              <w:rPr>
                <w:sz w:val="16"/>
                <w:szCs w:val="16"/>
              </w:rPr>
              <w:fldChar w:fldCharType="begin"/>
            </w:r>
            <w:r w:rsidR="00D267DA">
              <w:rPr>
                <w:sz w:val="16"/>
                <w:szCs w:val="16"/>
              </w:rPr>
              <w:instrText xml:space="preserve"> ADDIN ZOTERO_ITEM CSL_CITATION {"citationID":"98306Tou","properties":{"formattedCitation":"\\super 1\\nosupersub{}","plainCitation":"1","noteIndex":0},"citationItems":[{"id":432,"uris":["http://zotero.org/groups/2384940/items/J6NLZJCL"],"uri":["http://zotero.org/groups/2384940/items/J6NLZJCL"],"itemData":{"id":432,"type":"article","title":"Calvin_SSPs.pdf","URL":"http://www.globalchange.umd.edu/data/annual-meetings/2016/Calvin_SSPs.pdf","accessed":{"date-parts":[["2019",10,16]]}}}],"schema":"https://github.com/citation-style-language/schema/raw/master/csl-citation.json"} </w:instrText>
            </w:r>
            <w:r w:rsidR="00D267DA">
              <w:rPr>
                <w:sz w:val="16"/>
                <w:szCs w:val="16"/>
              </w:rPr>
              <w:fldChar w:fldCharType="separate"/>
            </w:r>
            <w:r w:rsidR="00D267DA" w:rsidRPr="00D267DA">
              <w:rPr>
                <w:sz w:val="16"/>
                <w:vertAlign w:val="superscript"/>
              </w:rPr>
              <w:t>1</w:t>
            </w:r>
            <w:r w:rsidR="00D267DA">
              <w:rPr>
                <w:sz w:val="16"/>
                <w:szCs w:val="16"/>
              </w:rPr>
              <w:fldChar w:fldCharType="end"/>
            </w:r>
            <w:r w:rsidRPr="0079718A">
              <w:rPr>
                <w:sz w:val="16"/>
                <w:szCs w:val="16"/>
              </w:rPr>
              <w:t xml:space="preserve"> </w:t>
            </w:r>
          </w:p>
        </w:tc>
        <w:tc>
          <w:tcPr>
            <w:tcW w:w="2592" w:type="dxa"/>
            <w:tcBorders>
              <w:left w:val="single" w:sz="12" w:space="0" w:color="auto"/>
            </w:tcBorders>
          </w:tcPr>
          <w:p w:rsidR="0079718A" w:rsidRDefault="0079718A" w:rsidP="00A86F83">
            <w:pPr>
              <w:pStyle w:val="NormalWeb"/>
              <w:ind w:left="167"/>
              <w:rPr>
                <w:sz w:val="16"/>
                <w:szCs w:val="16"/>
              </w:rPr>
            </w:pPr>
            <w:r>
              <w:rPr>
                <w:sz w:val="16"/>
                <w:szCs w:val="16"/>
              </w:rPr>
              <w:t>Sustainability</w:t>
            </w:r>
          </w:p>
          <w:p w:rsidR="00A86F83" w:rsidRPr="00A86F83" w:rsidRDefault="00A86F83" w:rsidP="00A86F83">
            <w:pPr>
              <w:pStyle w:val="NormalWeb"/>
              <w:numPr>
                <w:ilvl w:val="0"/>
                <w:numId w:val="7"/>
              </w:numPr>
              <w:ind w:left="167" w:hanging="167"/>
              <w:rPr>
                <w:sz w:val="16"/>
                <w:szCs w:val="16"/>
              </w:rPr>
            </w:pPr>
            <w:r w:rsidRPr="00A86F83">
              <w:rPr>
                <w:sz w:val="16"/>
                <w:szCs w:val="16"/>
              </w:rPr>
              <w:t>Good progress towards sustainable development</w:t>
            </w:r>
          </w:p>
          <w:p w:rsidR="00A86F83" w:rsidRPr="00A86F83" w:rsidRDefault="00A86F83" w:rsidP="00A86F83">
            <w:pPr>
              <w:pStyle w:val="NormalWeb"/>
              <w:numPr>
                <w:ilvl w:val="0"/>
                <w:numId w:val="7"/>
              </w:numPr>
              <w:ind w:left="167" w:hanging="167"/>
              <w:rPr>
                <w:sz w:val="16"/>
                <w:szCs w:val="16"/>
              </w:rPr>
            </w:pPr>
            <w:r w:rsidRPr="00A86F83">
              <w:rPr>
                <w:sz w:val="16"/>
                <w:szCs w:val="16"/>
              </w:rPr>
              <w:t>Stabilizing popula</w:t>
            </w:r>
            <w:r>
              <w:rPr>
                <w:sz w:val="16"/>
                <w:szCs w:val="16"/>
              </w:rPr>
              <w:t>ti</w:t>
            </w:r>
            <w:r w:rsidRPr="00A86F83">
              <w:rPr>
                <w:sz w:val="16"/>
                <w:szCs w:val="16"/>
              </w:rPr>
              <w:t>on</w:t>
            </w:r>
          </w:p>
          <w:p w:rsidR="00A86F83" w:rsidRPr="00A86F83" w:rsidRDefault="00A86F83" w:rsidP="00A86F83">
            <w:pPr>
              <w:pStyle w:val="NormalWeb"/>
              <w:numPr>
                <w:ilvl w:val="0"/>
                <w:numId w:val="7"/>
              </w:numPr>
              <w:ind w:left="167" w:hanging="167"/>
              <w:rPr>
                <w:sz w:val="16"/>
                <w:szCs w:val="16"/>
              </w:rPr>
            </w:pPr>
            <w:r w:rsidRPr="00A86F83">
              <w:rPr>
                <w:sz w:val="16"/>
                <w:szCs w:val="16"/>
              </w:rPr>
              <w:t>Decreasing income inequality</w:t>
            </w:r>
          </w:p>
          <w:p w:rsidR="00A86F83" w:rsidRPr="00A86F83" w:rsidRDefault="00A86F83" w:rsidP="00A86F83">
            <w:pPr>
              <w:pStyle w:val="NormalWeb"/>
              <w:numPr>
                <w:ilvl w:val="0"/>
                <w:numId w:val="7"/>
              </w:numPr>
              <w:ind w:left="167" w:hanging="167"/>
              <w:rPr>
                <w:sz w:val="16"/>
                <w:szCs w:val="16"/>
              </w:rPr>
            </w:pPr>
            <w:r w:rsidRPr="00A86F83">
              <w:rPr>
                <w:sz w:val="16"/>
                <w:szCs w:val="16"/>
              </w:rPr>
              <w:t>Early MDG achievement</w:t>
            </w:r>
          </w:p>
          <w:p w:rsidR="00A86F83" w:rsidRPr="00A86F83" w:rsidRDefault="00A86F83" w:rsidP="00A86F83">
            <w:pPr>
              <w:pStyle w:val="NormalWeb"/>
              <w:numPr>
                <w:ilvl w:val="0"/>
                <w:numId w:val="7"/>
              </w:numPr>
              <w:ind w:left="167" w:hanging="167"/>
              <w:rPr>
                <w:sz w:val="16"/>
                <w:szCs w:val="16"/>
              </w:rPr>
            </w:pPr>
            <w:r w:rsidRPr="00A86F83">
              <w:rPr>
                <w:sz w:val="16"/>
                <w:szCs w:val="16"/>
              </w:rPr>
              <w:t>Low resource intensity and fossil</w:t>
            </w:r>
            <w:r>
              <w:rPr>
                <w:sz w:val="16"/>
                <w:szCs w:val="16"/>
              </w:rPr>
              <w:t xml:space="preserve"> </w:t>
            </w:r>
            <w:r w:rsidRPr="00A86F83">
              <w:rPr>
                <w:sz w:val="16"/>
                <w:szCs w:val="16"/>
              </w:rPr>
              <w:t>fuel dependency</w:t>
            </w:r>
          </w:p>
          <w:p w:rsidR="00A86F83" w:rsidRPr="00A86F83" w:rsidRDefault="00A86F83" w:rsidP="000027BE">
            <w:pPr>
              <w:pStyle w:val="NormalWeb"/>
              <w:numPr>
                <w:ilvl w:val="0"/>
                <w:numId w:val="7"/>
              </w:numPr>
              <w:ind w:left="167" w:hanging="167"/>
              <w:rPr>
                <w:sz w:val="16"/>
                <w:szCs w:val="16"/>
              </w:rPr>
            </w:pPr>
            <w:r w:rsidRPr="00A86F83">
              <w:rPr>
                <w:sz w:val="16"/>
                <w:szCs w:val="16"/>
              </w:rPr>
              <w:t>Strong int’l governance and local institutions</w:t>
            </w:r>
          </w:p>
          <w:p w:rsidR="00A86F83" w:rsidRPr="00A86F83" w:rsidRDefault="00A86F83" w:rsidP="00A86F83">
            <w:pPr>
              <w:pStyle w:val="NormalWeb"/>
              <w:numPr>
                <w:ilvl w:val="0"/>
                <w:numId w:val="7"/>
              </w:numPr>
              <w:ind w:left="167" w:hanging="167"/>
              <w:rPr>
                <w:sz w:val="16"/>
                <w:szCs w:val="16"/>
              </w:rPr>
            </w:pPr>
            <w:r w:rsidRPr="00A86F83">
              <w:rPr>
                <w:sz w:val="16"/>
                <w:szCs w:val="16"/>
              </w:rPr>
              <w:t>Well managed urbaniza</w:t>
            </w:r>
            <w:r>
              <w:rPr>
                <w:sz w:val="16"/>
                <w:szCs w:val="16"/>
              </w:rPr>
              <w:t>ti</w:t>
            </w:r>
            <w:r w:rsidRPr="00A86F83">
              <w:rPr>
                <w:sz w:val="16"/>
                <w:szCs w:val="16"/>
              </w:rPr>
              <w:t>on</w:t>
            </w:r>
          </w:p>
          <w:p w:rsidR="00A86F83" w:rsidRPr="0079718A" w:rsidRDefault="00A86F83" w:rsidP="00A86F83">
            <w:pPr>
              <w:pStyle w:val="NormalWeb"/>
              <w:numPr>
                <w:ilvl w:val="0"/>
                <w:numId w:val="7"/>
              </w:numPr>
              <w:ind w:left="167" w:hanging="167"/>
              <w:rPr>
                <w:sz w:val="16"/>
                <w:szCs w:val="16"/>
              </w:rPr>
            </w:pPr>
            <w:r>
              <w:rPr>
                <w:sz w:val="16"/>
                <w:szCs w:val="16"/>
              </w:rPr>
              <w:t>E</w:t>
            </w:r>
            <w:r w:rsidRPr="00A86F83">
              <w:rPr>
                <w:sz w:val="16"/>
                <w:szCs w:val="16"/>
              </w:rPr>
              <w:t>nvironmentalism</w:t>
            </w:r>
          </w:p>
        </w:tc>
        <w:tc>
          <w:tcPr>
            <w:tcW w:w="2592" w:type="dxa"/>
          </w:tcPr>
          <w:p w:rsidR="0079718A" w:rsidRPr="00C029E7" w:rsidRDefault="0079718A" w:rsidP="0079718A">
            <w:pPr>
              <w:pStyle w:val="NormalWeb"/>
              <w:spacing w:before="0" w:beforeAutospacing="0" w:after="0" w:afterAutospacing="0"/>
              <w:rPr>
                <w:sz w:val="16"/>
                <w:szCs w:val="16"/>
                <w:highlight w:val="yellow"/>
              </w:rPr>
            </w:pPr>
            <w:r w:rsidRPr="00C029E7">
              <w:rPr>
                <w:sz w:val="16"/>
                <w:szCs w:val="16"/>
                <w:highlight w:val="yellow"/>
              </w:rPr>
              <w:t>Middle of the Road</w:t>
            </w:r>
          </w:p>
          <w:p w:rsidR="00A86F83" w:rsidRPr="00C029E7" w:rsidRDefault="00A86F83" w:rsidP="00A86F83">
            <w:pPr>
              <w:pStyle w:val="NormalWeb"/>
              <w:numPr>
                <w:ilvl w:val="0"/>
                <w:numId w:val="7"/>
              </w:numPr>
              <w:ind w:left="167" w:hanging="167"/>
              <w:rPr>
                <w:sz w:val="16"/>
                <w:szCs w:val="16"/>
                <w:highlight w:val="yellow"/>
              </w:rPr>
            </w:pPr>
            <w:r w:rsidRPr="00C029E7">
              <w:rPr>
                <w:sz w:val="16"/>
                <w:szCs w:val="16"/>
                <w:highlight w:val="yellow"/>
              </w:rPr>
              <w:t>Current trends con</w:t>
            </w:r>
            <w:r w:rsidR="008C3EE2" w:rsidRPr="00C029E7">
              <w:rPr>
                <w:sz w:val="16"/>
                <w:szCs w:val="16"/>
                <w:highlight w:val="yellow"/>
              </w:rPr>
              <w:t>ti</w:t>
            </w:r>
            <w:r w:rsidRPr="00C029E7">
              <w:rPr>
                <w:sz w:val="16"/>
                <w:szCs w:val="16"/>
                <w:highlight w:val="yellow"/>
              </w:rPr>
              <w:t xml:space="preserve">nue </w:t>
            </w:r>
          </w:p>
          <w:p w:rsidR="00A86F83" w:rsidRPr="00C029E7" w:rsidRDefault="00A86F83" w:rsidP="00A86F83">
            <w:pPr>
              <w:pStyle w:val="NormalWeb"/>
              <w:numPr>
                <w:ilvl w:val="0"/>
                <w:numId w:val="7"/>
              </w:numPr>
              <w:ind w:left="167" w:hanging="167"/>
              <w:rPr>
                <w:sz w:val="16"/>
                <w:szCs w:val="16"/>
                <w:highlight w:val="yellow"/>
              </w:rPr>
            </w:pPr>
            <w:r w:rsidRPr="00C029E7">
              <w:rPr>
                <w:sz w:val="16"/>
                <w:szCs w:val="16"/>
                <w:highlight w:val="yellow"/>
              </w:rPr>
              <w:t>Moderate popula</w:t>
            </w:r>
            <w:r w:rsidR="008C3EE2" w:rsidRPr="00C029E7">
              <w:rPr>
                <w:sz w:val="16"/>
                <w:szCs w:val="16"/>
                <w:highlight w:val="yellow"/>
              </w:rPr>
              <w:t>ti</w:t>
            </w:r>
            <w:r w:rsidRPr="00C029E7">
              <w:rPr>
                <w:sz w:val="16"/>
                <w:szCs w:val="16"/>
                <w:highlight w:val="yellow"/>
              </w:rPr>
              <w:t xml:space="preserve">on growth </w:t>
            </w:r>
          </w:p>
          <w:p w:rsidR="00A86F83" w:rsidRPr="00C029E7" w:rsidRDefault="00A86F83" w:rsidP="008C3EE2">
            <w:pPr>
              <w:pStyle w:val="NormalWeb"/>
              <w:numPr>
                <w:ilvl w:val="0"/>
                <w:numId w:val="7"/>
              </w:numPr>
              <w:ind w:left="167" w:hanging="167"/>
              <w:rPr>
                <w:sz w:val="16"/>
                <w:szCs w:val="16"/>
                <w:highlight w:val="yellow"/>
              </w:rPr>
            </w:pPr>
            <w:r w:rsidRPr="00C029E7">
              <w:rPr>
                <w:sz w:val="16"/>
                <w:szCs w:val="16"/>
                <w:highlight w:val="yellow"/>
              </w:rPr>
              <w:t xml:space="preserve">Slowly converging incomes between industrialized and developing countries </w:t>
            </w:r>
          </w:p>
          <w:p w:rsidR="00A86F83" w:rsidRPr="00C029E7" w:rsidRDefault="00A86F83" w:rsidP="00A86F83">
            <w:pPr>
              <w:pStyle w:val="NormalWeb"/>
              <w:numPr>
                <w:ilvl w:val="0"/>
                <w:numId w:val="7"/>
              </w:numPr>
              <w:ind w:left="167" w:hanging="167"/>
              <w:rPr>
                <w:sz w:val="16"/>
                <w:szCs w:val="16"/>
                <w:highlight w:val="yellow"/>
              </w:rPr>
            </w:pPr>
            <w:r w:rsidRPr="00C029E7">
              <w:rPr>
                <w:sz w:val="16"/>
                <w:szCs w:val="16"/>
                <w:highlight w:val="yellow"/>
              </w:rPr>
              <w:t xml:space="preserve">Delayed MDG achievement </w:t>
            </w:r>
          </w:p>
          <w:p w:rsidR="00A86F83" w:rsidRPr="00C029E7" w:rsidRDefault="00A86F83" w:rsidP="008C3EE2">
            <w:pPr>
              <w:pStyle w:val="NormalWeb"/>
              <w:numPr>
                <w:ilvl w:val="0"/>
                <w:numId w:val="7"/>
              </w:numPr>
              <w:ind w:left="167" w:hanging="167"/>
              <w:rPr>
                <w:sz w:val="16"/>
                <w:szCs w:val="16"/>
                <w:highlight w:val="yellow"/>
              </w:rPr>
            </w:pPr>
            <w:r w:rsidRPr="00C029E7">
              <w:rPr>
                <w:sz w:val="16"/>
                <w:szCs w:val="16"/>
                <w:highlight w:val="yellow"/>
              </w:rPr>
              <w:t>Reduc</w:t>
            </w:r>
            <w:r w:rsidR="008C3EE2" w:rsidRPr="00C029E7">
              <w:rPr>
                <w:sz w:val="16"/>
                <w:szCs w:val="16"/>
                <w:highlight w:val="yellow"/>
              </w:rPr>
              <w:t>ti</w:t>
            </w:r>
            <w:r w:rsidRPr="00C029E7">
              <w:rPr>
                <w:sz w:val="16"/>
                <w:szCs w:val="16"/>
                <w:highlight w:val="yellow"/>
              </w:rPr>
              <w:t xml:space="preserve">ons in resource and energy intensity at historic rates </w:t>
            </w:r>
          </w:p>
          <w:p w:rsidR="00A86F83" w:rsidRPr="00C029E7" w:rsidRDefault="00A86F83" w:rsidP="00A86F83">
            <w:pPr>
              <w:pStyle w:val="NormalWeb"/>
              <w:numPr>
                <w:ilvl w:val="0"/>
                <w:numId w:val="7"/>
              </w:numPr>
              <w:ind w:left="167" w:hanging="167"/>
              <w:rPr>
                <w:sz w:val="16"/>
                <w:szCs w:val="16"/>
                <w:highlight w:val="yellow"/>
              </w:rPr>
            </w:pPr>
            <w:r w:rsidRPr="00C029E7">
              <w:rPr>
                <w:sz w:val="16"/>
                <w:szCs w:val="16"/>
                <w:highlight w:val="yellow"/>
              </w:rPr>
              <w:t>Environmental degrada</w:t>
            </w:r>
            <w:r w:rsidR="008C3EE2" w:rsidRPr="00C029E7">
              <w:rPr>
                <w:sz w:val="16"/>
                <w:szCs w:val="16"/>
                <w:highlight w:val="yellow"/>
              </w:rPr>
              <w:t>ti</w:t>
            </w:r>
            <w:r w:rsidRPr="00C029E7">
              <w:rPr>
                <w:sz w:val="16"/>
                <w:szCs w:val="16"/>
                <w:highlight w:val="yellow"/>
              </w:rPr>
              <w:t xml:space="preserve">on </w:t>
            </w:r>
          </w:p>
          <w:p w:rsidR="00A86F83" w:rsidRPr="0079718A" w:rsidRDefault="00A86F83" w:rsidP="0079718A">
            <w:pPr>
              <w:pStyle w:val="NormalWeb"/>
              <w:spacing w:before="0" w:beforeAutospacing="0" w:after="0" w:afterAutospacing="0"/>
              <w:rPr>
                <w:sz w:val="16"/>
                <w:szCs w:val="16"/>
              </w:rPr>
            </w:pPr>
          </w:p>
        </w:tc>
        <w:tc>
          <w:tcPr>
            <w:tcW w:w="2592" w:type="dxa"/>
          </w:tcPr>
          <w:p w:rsidR="008C3EE2" w:rsidRDefault="0079718A" w:rsidP="008C3EE2">
            <w:pPr>
              <w:pStyle w:val="NormalWeb"/>
              <w:ind w:left="167"/>
              <w:rPr>
                <w:sz w:val="16"/>
                <w:szCs w:val="16"/>
              </w:rPr>
            </w:pPr>
            <w:r>
              <w:rPr>
                <w:sz w:val="16"/>
                <w:szCs w:val="16"/>
              </w:rPr>
              <w:t>Fragmentation</w:t>
            </w:r>
          </w:p>
          <w:p w:rsidR="008C3EE2" w:rsidRPr="008C3EE2" w:rsidRDefault="008C3EE2" w:rsidP="008C3EE2">
            <w:pPr>
              <w:pStyle w:val="NormalWeb"/>
              <w:numPr>
                <w:ilvl w:val="0"/>
                <w:numId w:val="7"/>
              </w:numPr>
              <w:ind w:left="167" w:hanging="167"/>
              <w:rPr>
                <w:sz w:val="16"/>
                <w:szCs w:val="16"/>
              </w:rPr>
            </w:pPr>
            <w:r w:rsidRPr="008C3EE2">
              <w:rPr>
                <w:sz w:val="16"/>
                <w:szCs w:val="16"/>
              </w:rPr>
              <w:t>Rapid popula</w:t>
            </w:r>
            <w:r>
              <w:rPr>
                <w:sz w:val="16"/>
                <w:szCs w:val="16"/>
              </w:rPr>
              <w:t>ti</w:t>
            </w:r>
            <w:r w:rsidRPr="008C3EE2">
              <w:rPr>
                <w:sz w:val="16"/>
                <w:szCs w:val="16"/>
              </w:rPr>
              <w:t xml:space="preserve">on growth </w:t>
            </w:r>
          </w:p>
          <w:p w:rsidR="008C3EE2" w:rsidRPr="008C3EE2" w:rsidRDefault="008C3EE2" w:rsidP="008C3EE2">
            <w:pPr>
              <w:pStyle w:val="NormalWeb"/>
              <w:numPr>
                <w:ilvl w:val="0"/>
                <w:numId w:val="7"/>
              </w:numPr>
              <w:ind w:left="167" w:hanging="167"/>
              <w:rPr>
                <w:sz w:val="16"/>
                <w:szCs w:val="16"/>
              </w:rPr>
            </w:pPr>
            <w:r w:rsidRPr="008C3EE2">
              <w:rPr>
                <w:sz w:val="16"/>
                <w:szCs w:val="16"/>
              </w:rPr>
              <w:t xml:space="preserve">Slow economic growth </w:t>
            </w:r>
          </w:p>
          <w:p w:rsidR="008C3EE2" w:rsidRPr="008C3EE2" w:rsidRDefault="008C3EE2" w:rsidP="008C3EE2">
            <w:pPr>
              <w:pStyle w:val="NormalWeb"/>
              <w:numPr>
                <w:ilvl w:val="0"/>
                <w:numId w:val="7"/>
              </w:numPr>
              <w:ind w:left="167" w:hanging="167"/>
              <w:rPr>
                <w:sz w:val="16"/>
                <w:szCs w:val="16"/>
              </w:rPr>
            </w:pPr>
            <w:r w:rsidRPr="008C3EE2">
              <w:rPr>
                <w:sz w:val="16"/>
                <w:szCs w:val="16"/>
              </w:rPr>
              <w:t xml:space="preserve">Failing to achieve MDG </w:t>
            </w:r>
          </w:p>
          <w:p w:rsidR="008C3EE2" w:rsidRPr="008C3EE2" w:rsidRDefault="008C3EE2" w:rsidP="008C3EE2">
            <w:pPr>
              <w:pStyle w:val="NormalWeb"/>
              <w:numPr>
                <w:ilvl w:val="0"/>
                <w:numId w:val="7"/>
              </w:numPr>
              <w:ind w:left="167" w:hanging="167"/>
              <w:rPr>
                <w:sz w:val="16"/>
                <w:szCs w:val="16"/>
              </w:rPr>
            </w:pPr>
            <w:r w:rsidRPr="008C3EE2">
              <w:rPr>
                <w:sz w:val="16"/>
                <w:szCs w:val="16"/>
              </w:rPr>
              <w:t xml:space="preserve">High resource intensity and fossil fuel dependency </w:t>
            </w:r>
          </w:p>
          <w:p w:rsidR="008C3EE2" w:rsidRPr="008C3EE2" w:rsidRDefault="008C3EE2" w:rsidP="008C3EE2">
            <w:pPr>
              <w:pStyle w:val="NormalWeb"/>
              <w:numPr>
                <w:ilvl w:val="0"/>
                <w:numId w:val="7"/>
              </w:numPr>
              <w:ind w:left="167" w:hanging="167"/>
              <w:rPr>
                <w:sz w:val="16"/>
                <w:szCs w:val="16"/>
              </w:rPr>
            </w:pPr>
            <w:r w:rsidRPr="008C3EE2">
              <w:rPr>
                <w:sz w:val="16"/>
                <w:szCs w:val="16"/>
              </w:rPr>
              <w:t>Low investments in technology development and educa</w:t>
            </w:r>
            <w:r>
              <w:rPr>
                <w:sz w:val="16"/>
                <w:szCs w:val="16"/>
              </w:rPr>
              <w:t>ti</w:t>
            </w:r>
            <w:r w:rsidRPr="008C3EE2">
              <w:rPr>
                <w:sz w:val="16"/>
                <w:szCs w:val="16"/>
              </w:rPr>
              <w:t xml:space="preserve">on </w:t>
            </w:r>
          </w:p>
          <w:p w:rsidR="008C3EE2" w:rsidRPr="008C3EE2" w:rsidRDefault="008C3EE2" w:rsidP="008C3EE2">
            <w:pPr>
              <w:pStyle w:val="NormalWeb"/>
              <w:numPr>
                <w:ilvl w:val="0"/>
                <w:numId w:val="7"/>
              </w:numPr>
              <w:ind w:left="167" w:hanging="167"/>
              <w:rPr>
                <w:sz w:val="16"/>
                <w:szCs w:val="16"/>
              </w:rPr>
            </w:pPr>
            <w:r w:rsidRPr="008C3EE2">
              <w:rPr>
                <w:sz w:val="16"/>
                <w:szCs w:val="16"/>
              </w:rPr>
              <w:t>Unplanned se</w:t>
            </w:r>
            <w:r>
              <w:rPr>
                <w:sz w:val="16"/>
                <w:szCs w:val="16"/>
              </w:rPr>
              <w:t>tt</w:t>
            </w:r>
            <w:r w:rsidRPr="008C3EE2">
              <w:rPr>
                <w:sz w:val="16"/>
                <w:szCs w:val="16"/>
              </w:rPr>
              <w:t xml:space="preserve">lements </w:t>
            </w:r>
          </w:p>
          <w:p w:rsidR="008C3EE2" w:rsidRPr="008C3EE2" w:rsidRDefault="008C3EE2" w:rsidP="008C3EE2">
            <w:pPr>
              <w:pStyle w:val="NormalWeb"/>
              <w:numPr>
                <w:ilvl w:val="0"/>
                <w:numId w:val="7"/>
              </w:numPr>
              <w:ind w:left="167" w:hanging="167"/>
              <w:rPr>
                <w:sz w:val="16"/>
                <w:szCs w:val="16"/>
              </w:rPr>
            </w:pPr>
            <w:r w:rsidRPr="008C3EE2">
              <w:rPr>
                <w:sz w:val="16"/>
                <w:szCs w:val="16"/>
              </w:rPr>
              <w:t>Weak int’l governance and local ins</w:t>
            </w:r>
            <w:r>
              <w:rPr>
                <w:sz w:val="16"/>
                <w:szCs w:val="16"/>
              </w:rPr>
              <w:t>ti</w:t>
            </w:r>
            <w:r w:rsidRPr="008C3EE2">
              <w:rPr>
                <w:sz w:val="16"/>
                <w:szCs w:val="16"/>
              </w:rPr>
              <w:t>tu</w:t>
            </w:r>
            <w:r>
              <w:rPr>
                <w:sz w:val="16"/>
                <w:szCs w:val="16"/>
              </w:rPr>
              <w:t>ti</w:t>
            </w:r>
            <w:r w:rsidRPr="008C3EE2">
              <w:rPr>
                <w:sz w:val="16"/>
                <w:szCs w:val="16"/>
              </w:rPr>
              <w:t xml:space="preserve">ons </w:t>
            </w:r>
          </w:p>
        </w:tc>
        <w:tc>
          <w:tcPr>
            <w:tcW w:w="2592" w:type="dxa"/>
          </w:tcPr>
          <w:p w:rsidR="0079718A" w:rsidRDefault="0079718A" w:rsidP="0079718A">
            <w:pPr>
              <w:pStyle w:val="NormalWeb"/>
              <w:spacing w:before="0" w:beforeAutospacing="0" w:after="0" w:afterAutospacing="0"/>
              <w:rPr>
                <w:sz w:val="16"/>
                <w:szCs w:val="16"/>
              </w:rPr>
            </w:pPr>
            <w:r>
              <w:rPr>
                <w:sz w:val="16"/>
                <w:szCs w:val="16"/>
              </w:rPr>
              <w:t>Inequality</w:t>
            </w:r>
          </w:p>
          <w:p w:rsidR="008C3EE2" w:rsidRPr="008C3EE2" w:rsidRDefault="008C3EE2" w:rsidP="008C3EE2">
            <w:pPr>
              <w:pStyle w:val="NormalWeb"/>
              <w:numPr>
                <w:ilvl w:val="0"/>
                <w:numId w:val="7"/>
              </w:numPr>
              <w:ind w:left="167" w:hanging="167"/>
              <w:rPr>
                <w:sz w:val="16"/>
                <w:szCs w:val="16"/>
              </w:rPr>
            </w:pPr>
            <w:r w:rsidRPr="008C3EE2">
              <w:rPr>
                <w:sz w:val="16"/>
                <w:szCs w:val="16"/>
              </w:rPr>
              <w:t>Increasing inequality within and across countries</w:t>
            </w:r>
          </w:p>
          <w:p w:rsidR="008C3EE2" w:rsidRPr="008C3EE2" w:rsidRDefault="008C3EE2" w:rsidP="008C3EE2">
            <w:pPr>
              <w:pStyle w:val="NormalWeb"/>
              <w:numPr>
                <w:ilvl w:val="0"/>
                <w:numId w:val="7"/>
              </w:numPr>
              <w:ind w:left="167" w:hanging="167"/>
              <w:rPr>
                <w:sz w:val="16"/>
                <w:szCs w:val="16"/>
              </w:rPr>
            </w:pPr>
            <w:r w:rsidRPr="008C3EE2">
              <w:rPr>
                <w:sz w:val="16"/>
                <w:szCs w:val="16"/>
              </w:rPr>
              <w:t>Effec</w:t>
            </w:r>
            <w:r>
              <w:rPr>
                <w:sz w:val="16"/>
                <w:szCs w:val="16"/>
              </w:rPr>
              <w:t>ti</w:t>
            </w:r>
            <w:r w:rsidRPr="008C3EE2">
              <w:rPr>
                <w:sz w:val="16"/>
                <w:szCs w:val="16"/>
              </w:rPr>
              <w:t>ve governance controlled by a small number of rich global elites</w:t>
            </w:r>
          </w:p>
          <w:p w:rsidR="008C3EE2" w:rsidRPr="008C3EE2" w:rsidRDefault="008C3EE2" w:rsidP="008C3EE2">
            <w:pPr>
              <w:pStyle w:val="NormalWeb"/>
              <w:numPr>
                <w:ilvl w:val="0"/>
                <w:numId w:val="7"/>
              </w:numPr>
              <w:ind w:left="167" w:hanging="167"/>
              <w:rPr>
                <w:sz w:val="16"/>
                <w:szCs w:val="16"/>
              </w:rPr>
            </w:pPr>
            <w:r w:rsidRPr="008C3EE2">
              <w:rPr>
                <w:sz w:val="16"/>
                <w:szCs w:val="16"/>
              </w:rPr>
              <w:t>Most of popula</w:t>
            </w:r>
            <w:r>
              <w:rPr>
                <w:sz w:val="16"/>
                <w:szCs w:val="16"/>
              </w:rPr>
              <w:t>ti</w:t>
            </w:r>
            <w:r w:rsidRPr="008C3EE2">
              <w:rPr>
                <w:sz w:val="16"/>
                <w:szCs w:val="16"/>
              </w:rPr>
              <w:t>ons with limited access to higher educa</w:t>
            </w:r>
            <w:r>
              <w:rPr>
                <w:sz w:val="16"/>
                <w:szCs w:val="16"/>
              </w:rPr>
              <w:t>ti</w:t>
            </w:r>
            <w:r w:rsidRPr="008C3EE2">
              <w:rPr>
                <w:sz w:val="16"/>
                <w:szCs w:val="16"/>
              </w:rPr>
              <w:t>on and basic services</w:t>
            </w:r>
          </w:p>
          <w:p w:rsidR="008C3EE2" w:rsidRPr="008C3EE2" w:rsidRDefault="008C3EE2" w:rsidP="008C3EE2">
            <w:pPr>
              <w:pStyle w:val="NormalWeb"/>
              <w:numPr>
                <w:ilvl w:val="0"/>
                <w:numId w:val="7"/>
              </w:numPr>
              <w:ind w:left="167" w:hanging="167"/>
              <w:rPr>
                <w:sz w:val="16"/>
                <w:szCs w:val="16"/>
              </w:rPr>
            </w:pPr>
            <w:r w:rsidRPr="008C3EE2">
              <w:rPr>
                <w:sz w:val="16"/>
                <w:szCs w:val="16"/>
              </w:rPr>
              <w:t>Energy tech R&amp;D made by global energy corpora</w:t>
            </w:r>
            <w:r>
              <w:rPr>
                <w:sz w:val="16"/>
                <w:szCs w:val="16"/>
              </w:rPr>
              <w:t>ti</w:t>
            </w:r>
            <w:r w:rsidRPr="008C3EE2">
              <w:rPr>
                <w:sz w:val="16"/>
                <w:szCs w:val="16"/>
              </w:rPr>
              <w:t>ons</w:t>
            </w:r>
          </w:p>
          <w:p w:rsidR="008C3EE2" w:rsidRPr="0079718A" w:rsidRDefault="008C3EE2" w:rsidP="008C3EE2">
            <w:pPr>
              <w:pStyle w:val="NormalWeb"/>
              <w:numPr>
                <w:ilvl w:val="0"/>
                <w:numId w:val="7"/>
              </w:numPr>
              <w:ind w:left="167" w:hanging="167"/>
              <w:rPr>
                <w:sz w:val="16"/>
                <w:szCs w:val="16"/>
              </w:rPr>
            </w:pPr>
            <w:r w:rsidRPr="008C3EE2">
              <w:rPr>
                <w:sz w:val="16"/>
                <w:szCs w:val="16"/>
              </w:rPr>
              <w:t>Low social coh</w:t>
            </w:r>
            <w:r>
              <w:rPr>
                <w:sz w:val="16"/>
                <w:szCs w:val="16"/>
              </w:rPr>
              <w:t>esion</w:t>
            </w:r>
          </w:p>
        </w:tc>
        <w:tc>
          <w:tcPr>
            <w:tcW w:w="2592" w:type="dxa"/>
          </w:tcPr>
          <w:p w:rsidR="0079718A" w:rsidRDefault="0079718A" w:rsidP="0079718A">
            <w:pPr>
              <w:pStyle w:val="NormalWeb"/>
              <w:spacing w:before="0" w:beforeAutospacing="0" w:after="0" w:afterAutospacing="0"/>
              <w:rPr>
                <w:sz w:val="16"/>
                <w:szCs w:val="16"/>
              </w:rPr>
            </w:pPr>
            <w:r>
              <w:rPr>
                <w:sz w:val="16"/>
                <w:szCs w:val="16"/>
              </w:rPr>
              <w:t>Conventional Development</w:t>
            </w:r>
          </w:p>
          <w:p w:rsidR="00A86F83" w:rsidRDefault="0079718A" w:rsidP="00A86F83">
            <w:pPr>
              <w:pStyle w:val="NormalWeb"/>
              <w:numPr>
                <w:ilvl w:val="0"/>
                <w:numId w:val="7"/>
              </w:numPr>
              <w:ind w:left="167" w:hanging="167"/>
              <w:rPr>
                <w:sz w:val="16"/>
                <w:szCs w:val="16"/>
              </w:rPr>
            </w:pPr>
            <w:r w:rsidRPr="0079718A">
              <w:rPr>
                <w:sz w:val="16"/>
                <w:szCs w:val="16"/>
              </w:rPr>
              <w:t>Rapid economic development</w:t>
            </w:r>
          </w:p>
          <w:p w:rsidR="00A86F83" w:rsidRDefault="0079718A" w:rsidP="00A86F83">
            <w:pPr>
              <w:pStyle w:val="NormalWeb"/>
              <w:numPr>
                <w:ilvl w:val="0"/>
                <w:numId w:val="7"/>
              </w:numPr>
              <w:ind w:left="167" w:hanging="167"/>
              <w:rPr>
                <w:sz w:val="16"/>
                <w:szCs w:val="16"/>
              </w:rPr>
            </w:pPr>
            <w:r w:rsidRPr="00A86F83">
              <w:rPr>
                <w:sz w:val="16"/>
                <w:szCs w:val="16"/>
              </w:rPr>
              <w:t>Stabilizing popula</w:t>
            </w:r>
            <w:r w:rsidR="00A86F83" w:rsidRPr="00A86F83">
              <w:rPr>
                <w:sz w:val="16"/>
                <w:szCs w:val="16"/>
              </w:rPr>
              <w:t>ti</w:t>
            </w:r>
            <w:r w:rsidRPr="00A86F83">
              <w:rPr>
                <w:sz w:val="16"/>
                <w:szCs w:val="16"/>
              </w:rPr>
              <w:t>on</w:t>
            </w:r>
          </w:p>
          <w:p w:rsidR="00A86F83" w:rsidRDefault="0079718A" w:rsidP="00A86F83">
            <w:pPr>
              <w:pStyle w:val="NormalWeb"/>
              <w:numPr>
                <w:ilvl w:val="0"/>
                <w:numId w:val="7"/>
              </w:numPr>
              <w:ind w:left="167" w:hanging="167"/>
              <w:rPr>
                <w:sz w:val="16"/>
                <w:szCs w:val="16"/>
              </w:rPr>
            </w:pPr>
            <w:r w:rsidRPr="00A86F83">
              <w:rPr>
                <w:sz w:val="16"/>
                <w:szCs w:val="16"/>
              </w:rPr>
              <w:t>Consumeris</w:t>
            </w:r>
            <w:r w:rsidR="00A86F83">
              <w:rPr>
                <w:sz w:val="16"/>
                <w:szCs w:val="16"/>
              </w:rPr>
              <w:t>m</w:t>
            </w:r>
          </w:p>
          <w:p w:rsidR="00A86F83" w:rsidRDefault="0079718A" w:rsidP="00A86F83">
            <w:pPr>
              <w:pStyle w:val="NormalWeb"/>
              <w:numPr>
                <w:ilvl w:val="0"/>
                <w:numId w:val="7"/>
              </w:numPr>
              <w:ind w:left="167" w:hanging="167"/>
              <w:rPr>
                <w:sz w:val="16"/>
                <w:szCs w:val="16"/>
              </w:rPr>
            </w:pPr>
            <w:r w:rsidRPr="00A86F83">
              <w:rPr>
                <w:sz w:val="16"/>
                <w:szCs w:val="16"/>
              </w:rPr>
              <w:t>High fossil fuel dependency</w:t>
            </w:r>
          </w:p>
          <w:p w:rsidR="00A86F83" w:rsidRDefault="0079718A" w:rsidP="00A86F83">
            <w:pPr>
              <w:pStyle w:val="NormalWeb"/>
              <w:numPr>
                <w:ilvl w:val="0"/>
                <w:numId w:val="7"/>
              </w:numPr>
              <w:ind w:left="167" w:hanging="167"/>
              <w:rPr>
                <w:sz w:val="16"/>
                <w:szCs w:val="16"/>
              </w:rPr>
            </w:pPr>
            <w:r w:rsidRPr="00A86F83">
              <w:rPr>
                <w:sz w:val="16"/>
                <w:szCs w:val="16"/>
              </w:rPr>
              <w:t>Eradica</w:t>
            </w:r>
            <w:r w:rsidR="00A86F83">
              <w:rPr>
                <w:sz w:val="16"/>
                <w:szCs w:val="16"/>
              </w:rPr>
              <w:t>ti</w:t>
            </w:r>
            <w:r w:rsidRPr="00A86F83">
              <w:rPr>
                <w:sz w:val="16"/>
                <w:szCs w:val="16"/>
              </w:rPr>
              <w:t>on of extreme poverty and universal access to educa</w:t>
            </w:r>
            <w:r w:rsidR="00A86F83">
              <w:rPr>
                <w:sz w:val="16"/>
                <w:szCs w:val="16"/>
              </w:rPr>
              <w:t>ti</w:t>
            </w:r>
            <w:r w:rsidRPr="00A86F83">
              <w:rPr>
                <w:sz w:val="16"/>
                <w:szCs w:val="16"/>
              </w:rPr>
              <w:t>on and basic services</w:t>
            </w:r>
          </w:p>
          <w:p w:rsidR="00A86F83" w:rsidRPr="00A86F83" w:rsidRDefault="0079718A" w:rsidP="00A86F83">
            <w:pPr>
              <w:pStyle w:val="NormalWeb"/>
              <w:numPr>
                <w:ilvl w:val="0"/>
                <w:numId w:val="7"/>
              </w:numPr>
              <w:ind w:left="167" w:hanging="167"/>
              <w:rPr>
                <w:sz w:val="16"/>
                <w:szCs w:val="16"/>
              </w:rPr>
            </w:pPr>
            <w:r w:rsidRPr="0079718A">
              <w:rPr>
                <w:sz w:val="16"/>
                <w:szCs w:val="16"/>
              </w:rPr>
              <w:t>Highly engineered infrastructure and ecosystems</w:t>
            </w:r>
          </w:p>
        </w:tc>
      </w:tr>
      <w:tr w:rsidR="00D267DA" w:rsidRPr="0079718A" w:rsidTr="0079718A">
        <w:tc>
          <w:tcPr>
            <w:tcW w:w="963" w:type="dxa"/>
            <w:tcBorders>
              <w:right w:val="single" w:sz="12" w:space="0" w:color="auto"/>
            </w:tcBorders>
          </w:tcPr>
          <w:p w:rsidR="0079718A" w:rsidRPr="0079718A" w:rsidRDefault="00461A06" w:rsidP="0079718A">
            <w:pPr>
              <w:pStyle w:val="NormalWeb"/>
              <w:spacing w:before="0" w:beforeAutospacing="0" w:after="0" w:afterAutospacing="0"/>
              <w:rPr>
                <w:sz w:val="16"/>
                <w:szCs w:val="16"/>
              </w:rPr>
            </w:pPr>
            <w:r>
              <w:rPr>
                <w:sz w:val="16"/>
                <w:szCs w:val="16"/>
              </w:rPr>
              <w:t>Challenges to Mitigation</w:t>
            </w:r>
            <w:r w:rsidR="00D267DA">
              <w:rPr>
                <w:sz w:val="16"/>
                <w:szCs w:val="16"/>
              </w:rPr>
              <w:fldChar w:fldCharType="begin"/>
            </w:r>
            <w:r w:rsidR="00056A27">
              <w:rPr>
                <w:sz w:val="16"/>
                <w:szCs w:val="16"/>
              </w:rPr>
              <w:instrText xml:space="preserve"> ADDIN ZOTERO_ITEM CSL_CITATION {"citationID":"4z5jt1ze","properties":{"formattedCitation":"\\super 1\\nosupersub{}","plainCitation":"1","noteIndex":0},"citationItems":[{"id":432,"uris":["http://zotero.org/groups/2384940/items/J6NLZJCL"],"uri":["http://zotero.org/groups/2384940/items/J6NLZJCL"],"itemData":{"id":432,"type":"article","title":"Calvin_SSPs.pdf","URL":"http://www.globalchange.umd.edu/data/annual-meetings/2016/Calvin_SSPs.pdf","accessed":{"date-parts":[["2019",10,16]]}}}],"schema":"https://github.com/citation-style-language/schema/raw/master/csl-citation.json"} </w:instrText>
            </w:r>
            <w:r w:rsidR="00D267DA">
              <w:rPr>
                <w:sz w:val="16"/>
                <w:szCs w:val="16"/>
              </w:rPr>
              <w:fldChar w:fldCharType="separate"/>
            </w:r>
            <w:r w:rsidR="00D267DA" w:rsidRPr="00D267DA">
              <w:rPr>
                <w:sz w:val="16"/>
                <w:vertAlign w:val="superscript"/>
              </w:rPr>
              <w:t>1</w:t>
            </w:r>
            <w:r w:rsidR="00D267DA">
              <w:rPr>
                <w:sz w:val="16"/>
                <w:szCs w:val="16"/>
              </w:rPr>
              <w:fldChar w:fldCharType="end"/>
            </w:r>
          </w:p>
        </w:tc>
        <w:tc>
          <w:tcPr>
            <w:tcW w:w="2592" w:type="dxa"/>
            <w:tcBorders>
              <w:left w:val="single" w:sz="12" w:space="0" w:color="auto"/>
            </w:tcBorders>
          </w:tcPr>
          <w:p w:rsidR="0079718A" w:rsidRPr="0079718A" w:rsidRDefault="00461A06" w:rsidP="0079718A">
            <w:pPr>
              <w:pStyle w:val="NormalWeb"/>
              <w:spacing w:before="0" w:beforeAutospacing="0" w:after="0" w:afterAutospacing="0"/>
              <w:rPr>
                <w:sz w:val="16"/>
                <w:szCs w:val="16"/>
              </w:rPr>
            </w:pPr>
            <w:r>
              <w:rPr>
                <w:sz w:val="16"/>
                <w:szCs w:val="16"/>
              </w:rPr>
              <w:t>Low</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Medium</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High</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Low</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High</w:t>
            </w:r>
          </w:p>
        </w:tc>
      </w:tr>
      <w:tr w:rsidR="00D267DA" w:rsidRPr="0079718A" w:rsidTr="0079718A">
        <w:tc>
          <w:tcPr>
            <w:tcW w:w="963" w:type="dxa"/>
            <w:tcBorders>
              <w:right w:val="single" w:sz="12" w:space="0" w:color="auto"/>
            </w:tcBorders>
          </w:tcPr>
          <w:p w:rsidR="0079718A" w:rsidRPr="0079718A" w:rsidRDefault="00461A06" w:rsidP="0079718A">
            <w:pPr>
              <w:pStyle w:val="NormalWeb"/>
              <w:spacing w:before="0" w:beforeAutospacing="0" w:after="0" w:afterAutospacing="0"/>
              <w:rPr>
                <w:sz w:val="16"/>
                <w:szCs w:val="16"/>
              </w:rPr>
            </w:pPr>
            <w:r>
              <w:rPr>
                <w:sz w:val="16"/>
                <w:szCs w:val="16"/>
              </w:rPr>
              <w:t>Challenges to Adaptation</w:t>
            </w:r>
            <w:r w:rsidR="00D267DA">
              <w:rPr>
                <w:sz w:val="16"/>
                <w:szCs w:val="16"/>
              </w:rPr>
              <w:fldChar w:fldCharType="begin"/>
            </w:r>
            <w:r w:rsidR="00056A27">
              <w:rPr>
                <w:sz w:val="16"/>
                <w:szCs w:val="16"/>
              </w:rPr>
              <w:instrText xml:space="preserve"> ADDIN ZOTERO_ITEM CSL_CITATION {"citationID":"yVd85BFQ","properties":{"formattedCitation":"\\super 1\\nosupersub{}","plainCitation":"1","noteIndex":0},"citationItems":[{"id":432,"uris":["http://zotero.org/groups/2384940/items/J6NLZJCL"],"uri":["http://zotero.org/groups/2384940/items/J6NLZJCL"],"itemData":{"id":432,"type":"article","title":"Calvin_SSPs.pdf","URL":"http://www.globalchange.umd.edu/data/annual-meetings/2016/Calvin_SSPs.pdf","accessed":{"date-parts":[["2019",10,16]]}}}],"schema":"https://github.com/citation-style-language/schema/raw/master/csl-citation.json"} </w:instrText>
            </w:r>
            <w:r w:rsidR="00D267DA">
              <w:rPr>
                <w:sz w:val="16"/>
                <w:szCs w:val="16"/>
              </w:rPr>
              <w:fldChar w:fldCharType="separate"/>
            </w:r>
            <w:r w:rsidR="00D267DA" w:rsidRPr="00D267DA">
              <w:rPr>
                <w:sz w:val="16"/>
                <w:vertAlign w:val="superscript"/>
              </w:rPr>
              <w:t>1</w:t>
            </w:r>
            <w:r w:rsidR="00D267DA">
              <w:rPr>
                <w:sz w:val="16"/>
                <w:szCs w:val="16"/>
              </w:rPr>
              <w:fldChar w:fldCharType="end"/>
            </w:r>
          </w:p>
        </w:tc>
        <w:tc>
          <w:tcPr>
            <w:tcW w:w="2592" w:type="dxa"/>
            <w:tcBorders>
              <w:left w:val="single" w:sz="12" w:space="0" w:color="auto"/>
            </w:tcBorders>
          </w:tcPr>
          <w:p w:rsidR="0079718A" w:rsidRPr="0079718A" w:rsidRDefault="00461A06" w:rsidP="0079718A">
            <w:pPr>
              <w:pStyle w:val="NormalWeb"/>
              <w:spacing w:before="0" w:beforeAutospacing="0" w:after="0" w:afterAutospacing="0"/>
              <w:rPr>
                <w:sz w:val="16"/>
                <w:szCs w:val="16"/>
              </w:rPr>
            </w:pPr>
            <w:r>
              <w:rPr>
                <w:sz w:val="16"/>
                <w:szCs w:val="16"/>
              </w:rPr>
              <w:t>Low</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Medium</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High</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High</w:t>
            </w:r>
          </w:p>
        </w:tc>
        <w:tc>
          <w:tcPr>
            <w:tcW w:w="2592" w:type="dxa"/>
          </w:tcPr>
          <w:p w:rsidR="0079718A" w:rsidRPr="0079718A" w:rsidRDefault="00461A06" w:rsidP="0079718A">
            <w:pPr>
              <w:pStyle w:val="NormalWeb"/>
              <w:spacing w:before="0" w:beforeAutospacing="0" w:after="0" w:afterAutospacing="0"/>
              <w:rPr>
                <w:sz w:val="16"/>
                <w:szCs w:val="16"/>
              </w:rPr>
            </w:pPr>
            <w:r>
              <w:rPr>
                <w:sz w:val="16"/>
                <w:szCs w:val="16"/>
              </w:rPr>
              <w:t>Low</w:t>
            </w:r>
          </w:p>
        </w:tc>
      </w:tr>
      <w:tr w:rsidR="000C0F24" w:rsidRPr="0079718A" w:rsidTr="0079718A">
        <w:tc>
          <w:tcPr>
            <w:tcW w:w="963" w:type="dxa"/>
            <w:tcBorders>
              <w:right w:val="single" w:sz="12" w:space="0" w:color="auto"/>
            </w:tcBorders>
          </w:tcPr>
          <w:p w:rsidR="000C0F24" w:rsidRDefault="000C0F24" w:rsidP="000C0F24">
            <w:pPr>
              <w:pStyle w:val="NormalWeb"/>
              <w:spacing w:before="0" w:beforeAutospacing="0" w:after="0" w:afterAutospacing="0"/>
              <w:rPr>
                <w:sz w:val="16"/>
                <w:szCs w:val="16"/>
              </w:rPr>
            </w:pPr>
            <w:r>
              <w:rPr>
                <w:sz w:val="16"/>
                <w:szCs w:val="16"/>
              </w:rPr>
              <w:t>Technical change on extraction cost (% per year)</w:t>
            </w:r>
            <w:r w:rsidR="00D267DA">
              <w:rPr>
                <w:sz w:val="16"/>
                <w:szCs w:val="16"/>
              </w:rPr>
              <w:t xml:space="preserve"> </w:t>
            </w:r>
            <w:r w:rsidR="00D267DA">
              <w:rPr>
                <w:sz w:val="16"/>
                <w:szCs w:val="16"/>
              </w:rPr>
              <w:fldChar w:fldCharType="begin"/>
            </w:r>
            <w:r w:rsidR="00056A27">
              <w:rPr>
                <w:sz w:val="16"/>
                <w:szCs w:val="16"/>
              </w:rPr>
              <w:instrText xml:space="preserve"> ADDIN ZOTERO_ITEM CSL_CITATION {"citationID":"zyn0YwjH","properties":{"formattedCitation":"\\super 1\\nosupersub{}","plainCitation":"1","noteIndex":0},"citationItems":[{"id":432,"uris":["http://zotero.org/groups/2384940/items/J6NLZJCL"],"uri":["http://zotero.org/groups/2384940/items/J6NLZJCL"],"itemData":{"id":432,"type":"article","title":"Calvin_SSPs.pdf","URL":"http://www.globalchange.umd.edu/data/annual-meetings/2016/Calvin_SSPs.pdf","accessed":{"date-parts":[["2019",10,16]]}}}],"schema":"https://github.com/citation-style-language/schema/raw/master/csl-citation.json"} </w:instrText>
            </w:r>
            <w:r w:rsidR="00D267DA">
              <w:rPr>
                <w:sz w:val="16"/>
                <w:szCs w:val="16"/>
              </w:rPr>
              <w:fldChar w:fldCharType="separate"/>
            </w:r>
            <w:r w:rsidR="00D267DA" w:rsidRPr="00D267DA">
              <w:rPr>
                <w:sz w:val="16"/>
                <w:vertAlign w:val="superscript"/>
              </w:rPr>
              <w:t>1</w:t>
            </w:r>
            <w:r w:rsidR="00D267DA">
              <w:rPr>
                <w:sz w:val="16"/>
                <w:szCs w:val="16"/>
              </w:rPr>
              <w:fldChar w:fldCharType="end"/>
            </w:r>
            <w:r>
              <w:rPr>
                <w:sz w:val="16"/>
                <w:szCs w:val="16"/>
              </w:rPr>
              <w:t>:</w:t>
            </w:r>
          </w:p>
          <w:p w:rsidR="000C0F24" w:rsidRDefault="000C0F24" w:rsidP="0079718A">
            <w:pPr>
              <w:pStyle w:val="NormalWeb"/>
              <w:spacing w:before="0" w:beforeAutospacing="0" w:after="0" w:afterAutospacing="0"/>
              <w:rPr>
                <w:sz w:val="16"/>
                <w:szCs w:val="16"/>
              </w:rPr>
            </w:pPr>
          </w:p>
        </w:tc>
        <w:tc>
          <w:tcPr>
            <w:tcW w:w="2592" w:type="dxa"/>
            <w:tcBorders>
              <w:left w:val="single" w:sz="12" w:space="0" w:color="auto"/>
            </w:tcBorders>
          </w:tcPr>
          <w:p w:rsidR="000C0F24" w:rsidRDefault="000C0F24" w:rsidP="0079718A">
            <w:pPr>
              <w:pStyle w:val="NormalWeb"/>
              <w:spacing w:before="0" w:beforeAutospacing="0" w:after="0" w:afterAutospacing="0"/>
              <w:rPr>
                <w:sz w:val="16"/>
                <w:szCs w:val="16"/>
              </w:rPr>
            </w:pPr>
          </w:p>
        </w:tc>
        <w:tc>
          <w:tcPr>
            <w:tcW w:w="2592" w:type="dxa"/>
          </w:tcPr>
          <w:p w:rsidR="000C0F24" w:rsidRDefault="000C0F24" w:rsidP="0079718A">
            <w:pPr>
              <w:pStyle w:val="NormalWeb"/>
              <w:spacing w:before="0" w:beforeAutospacing="0" w:after="0" w:afterAutospacing="0"/>
              <w:rPr>
                <w:sz w:val="16"/>
                <w:szCs w:val="16"/>
              </w:rPr>
            </w:pPr>
          </w:p>
        </w:tc>
        <w:tc>
          <w:tcPr>
            <w:tcW w:w="2592" w:type="dxa"/>
          </w:tcPr>
          <w:p w:rsidR="000C0F24" w:rsidRDefault="000C0F24" w:rsidP="0079718A">
            <w:pPr>
              <w:pStyle w:val="NormalWeb"/>
              <w:spacing w:before="0" w:beforeAutospacing="0" w:after="0" w:afterAutospacing="0"/>
              <w:rPr>
                <w:sz w:val="16"/>
                <w:szCs w:val="16"/>
              </w:rPr>
            </w:pPr>
          </w:p>
        </w:tc>
        <w:tc>
          <w:tcPr>
            <w:tcW w:w="2592" w:type="dxa"/>
          </w:tcPr>
          <w:p w:rsidR="000C0F24" w:rsidRDefault="000C0F24" w:rsidP="0079718A">
            <w:pPr>
              <w:pStyle w:val="NormalWeb"/>
              <w:spacing w:before="0" w:beforeAutospacing="0" w:after="0" w:afterAutospacing="0"/>
              <w:rPr>
                <w:sz w:val="16"/>
                <w:szCs w:val="16"/>
              </w:rPr>
            </w:pPr>
          </w:p>
        </w:tc>
        <w:tc>
          <w:tcPr>
            <w:tcW w:w="2592" w:type="dxa"/>
          </w:tcPr>
          <w:p w:rsidR="000C0F24" w:rsidRDefault="000C0F24" w:rsidP="0079718A">
            <w:pPr>
              <w:pStyle w:val="NormalWeb"/>
              <w:spacing w:before="0" w:beforeAutospacing="0" w:after="0" w:afterAutospacing="0"/>
              <w:rPr>
                <w:sz w:val="16"/>
                <w:szCs w:val="16"/>
              </w:rPr>
            </w:pPr>
          </w:p>
        </w:tc>
      </w:tr>
      <w:tr w:rsidR="000C0F24" w:rsidRPr="0079718A" w:rsidTr="0079718A">
        <w:tc>
          <w:tcPr>
            <w:tcW w:w="963" w:type="dxa"/>
            <w:tcBorders>
              <w:right w:val="single" w:sz="12" w:space="0" w:color="auto"/>
            </w:tcBorders>
          </w:tcPr>
          <w:p w:rsidR="000C0F24" w:rsidRDefault="000C0F24" w:rsidP="000C0F24">
            <w:pPr>
              <w:pStyle w:val="NormalWeb"/>
              <w:spacing w:before="0" w:beforeAutospacing="0" w:after="0" w:afterAutospacing="0"/>
              <w:ind w:left="-76"/>
              <w:rPr>
                <w:sz w:val="16"/>
                <w:szCs w:val="16"/>
              </w:rPr>
            </w:pPr>
            <w:r>
              <w:rPr>
                <w:sz w:val="16"/>
                <w:szCs w:val="16"/>
              </w:rPr>
              <w:t>1.Coal</w:t>
            </w:r>
          </w:p>
          <w:p w:rsidR="000C0F24" w:rsidRDefault="000C0F24" w:rsidP="000C0F24">
            <w:pPr>
              <w:pStyle w:val="NormalWeb"/>
              <w:spacing w:before="0" w:beforeAutospacing="0" w:after="0" w:afterAutospacing="0"/>
              <w:ind w:left="-76"/>
              <w:rPr>
                <w:sz w:val="16"/>
                <w:szCs w:val="16"/>
              </w:rPr>
            </w:pPr>
            <w:r>
              <w:rPr>
                <w:sz w:val="16"/>
                <w:szCs w:val="16"/>
              </w:rPr>
              <w:t>2.Gas</w:t>
            </w:r>
          </w:p>
          <w:p w:rsidR="000C0F24" w:rsidRDefault="000C0F24" w:rsidP="000C0F24">
            <w:pPr>
              <w:pStyle w:val="NormalWeb"/>
              <w:spacing w:before="0" w:beforeAutospacing="0" w:after="0" w:afterAutospacing="0"/>
              <w:ind w:left="-76"/>
              <w:rPr>
                <w:sz w:val="16"/>
                <w:szCs w:val="16"/>
              </w:rPr>
            </w:pPr>
            <w:r>
              <w:rPr>
                <w:sz w:val="16"/>
                <w:szCs w:val="16"/>
              </w:rPr>
              <w:t>3.Con oil</w:t>
            </w:r>
          </w:p>
          <w:p w:rsidR="000C0F24" w:rsidRDefault="000C0F24" w:rsidP="000C0F24">
            <w:pPr>
              <w:pStyle w:val="NormalWeb"/>
              <w:spacing w:before="0" w:beforeAutospacing="0" w:after="0" w:afterAutospacing="0"/>
              <w:ind w:left="-76"/>
              <w:rPr>
                <w:sz w:val="16"/>
                <w:szCs w:val="16"/>
              </w:rPr>
            </w:pPr>
            <w:r>
              <w:rPr>
                <w:sz w:val="16"/>
                <w:szCs w:val="16"/>
              </w:rPr>
              <w:t>4.Unc oil</w:t>
            </w:r>
          </w:p>
          <w:p w:rsidR="000C0F24" w:rsidRDefault="000C0F24" w:rsidP="000C0F24">
            <w:pPr>
              <w:pStyle w:val="NormalWeb"/>
              <w:spacing w:before="0" w:beforeAutospacing="0" w:after="0" w:afterAutospacing="0"/>
              <w:ind w:left="720"/>
              <w:rPr>
                <w:sz w:val="16"/>
                <w:szCs w:val="16"/>
              </w:rPr>
            </w:pPr>
          </w:p>
        </w:tc>
        <w:tc>
          <w:tcPr>
            <w:tcW w:w="2592" w:type="dxa"/>
            <w:tcBorders>
              <w:left w:val="single" w:sz="12" w:space="0" w:color="auto"/>
            </w:tcBorders>
          </w:tcPr>
          <w:p w:rsidR="000C0F24" w:rsidRDefault="000C0F24" w:rsidP="000C0F24">
            <w:pPr>
              <w:pStyle w:val="NormalWeb"/>
              <w:spacing w:before="0" w:beforeAutospacing="0" w:after="0" w:afterAutospacing="0"/>
              <w:rPr>
                <w:sz w:val="16"/>
                <w:szCs w:val="16"/>
              </w:rPr>
            </w:pPr>
            <w:r>
              <w:rPr>
                <w:sz w:val="16"/>
                <w:szCs w:val="16"/>
              </w:rPr>
              <w:t>1. 0.5%</w:t>
            </w:r>
          </w:p>
          <w:p w:rsidR="000C0F24" w:rsidRDefault="000C0F24" w:rsidP="000C0F24">
            <w:pPr>
              <w:pStyle w:val="NormalWeb"/>
              <w:spacing w:before="0" w:beforeAutospacing="0" w:after="0" w:afterAutospacing="0"/>
              <w:rPr>
                <w:sz w:val="16"/>
                <w:szCs w:val="16"/>
              </w:rPr>
            </w:pPr>
            <w:r>
              <w:rPr>
                <w:sz w:val="16"/>
                <w:szCs w:val="16"/>
              </w:rPr>
              <w:t>2. 0.5%</w:t>
            </w:r>
          </w:p>
          <w:p w:rsidR="000C0F24" w:rsidRDefault="000C0F24" w:rsidP="000C0F24">
            <w:pPr>
              <w:pStyle w:val="NormalWeb"/>
              <w:spacing w:before="0" w:beforeAutospacing="0" w:after="0" w:afterAutospacing="0"/>
              <w:rPr>
                <w:sz w:val="16"/>
                <w:szCs w:val="16"/>
              </w:rPr>
            </w:pPr>
            <w:r>
              <w:rPr>
                <w:sz w:val="16"/>
                <w:szCs w:val="16"/>
              </w:rPr>
              <w:t>3. 0.5%</w:t>
            </w:r>
          </w:p>
          <w:p w:rsidR="000C0F24" w:rsidRDefault="000C0F24" w:rsidP="000C0F24">
            <w:pPr>
              <w:pStyle w:val="NormalWeb"/>
              <w:spacing w:before="0" w:beforeAutospacing="0" w:after="0" w:afterAutospacing="0"/>
              <w:rPr>
                <w:sz w:val="16"/>
                <w:szCs w:val="16"/>
              </w:rPr>
            </w:pPr>
            <w:r>
              <w:rPr>
                <w:sz w:val="16"/>
                <w:szCs w:val="16"/>
              </w:rPr>
              <w:t>4. 0%</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1. 0.5%</w:t>
            </w:r>
          </w:p>
          <w:p w:rsidR="000C0F24" w:rsidRDefault="000C0F24" w:rsidP="000C0F24">
            <w:pPr>
              <w:pStyle w:val="NormalWeb"/>
              <w:spacing w:before="0" w:beforeAutospacing="0" w:after="0" w:afterAutospacing="0"/>
              <w:rPr>
                <w:sz w:val="16"/>
                <w:szCs w:val="16"/>
              </w:rPr>
            </w:pPr>
            <w:r>
              <w:rPr>
                <w:sz w:val="16"/>
                <w:szCs w:val="16"/>
              </w:rPr>
              <w:t>2. 0.5%</w:t>
            </w:r>
          </w:p>
          <w:p w:rsidR="000C0F24" w:rsidRDefault="000C0F24" w:rsidP="000C0F24">
            <w:pPr>
              <w:pStyle w:val="NormalWeb"/>
              <w:spacing w:before="0" w:beforeAutospacing="0" w:after="0" w:afterAutospacing="0"/>
              <w:rPr>
                <w:sz w:val="16"/>
                <w:szCs w:val="16"/>
              </w:rPr>
            </w:pPr>
            <w:r>
              <w:rPr>
                <w:sz w:val="16"/>
                <w:szCs w:val="16"/>
              </w:rPr>
              <w:t>3. 0.5%</w:t>
            </w:r>
          </w:p>
          <w:p w:rsidR="000C0F24" w:rsidRDefault="000C0F24" w:rsidP="000C0F24">
            <w:pPr>
              <w:pStyle w:val="NormalWeb"/>
              <w:spacing w:before="0" w:beforeAutospacing="0" w:after="0" w:afterAutospacing="0"/>
              <w:rPr>
                <w:sz w:val="16"/>
                <w:szCs w:val="16"/>
              </w:rPr>
            </w:pPr>
            <w:r>
              <w:rPr>
                <w:sz w:val="16"/>
                <w:szCs w:val="16"/>
              </w:rPr>
              <w:t>4. 0.5%</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1. 1%</w:t>
            </w:r>
          </w:p>
          <w:p w:rsidR="000C0F24" w:rsidRDefault="000C0F24" w:rsidP="000C0F24">
            <w:pPr>
              <w:pStyle w:val="NormalWeb"/>
              <w:spacing w:before="0" w:beforeAutospacing="0" w:after="0" w:afterAutospacing="0"/>
              <w:rPr>
                <w:sz w:val="16"/>
                <w:szCs w:val="16"/>
              </w:rPr>
            </w:pPr>
            <w:r>
              <w:rPr>
                <w:sz w:val="16"/>
                <w:szCs w:val="16"/>
              </w:rPr>
              <w:t>2. 0.5%</w:t>
            </w:r>
          </w:p>
          <w:p w:rsidR="000C0F24" w:rsidRDefault="000C0F24" w:rsidP="000C0F24">
            <w:pPr>
              <w:pStyle w:val="NormalWeb"/>
              <w:spacing w:before="0" w:beforeAutospacing="0" w:after="0" w:afterAutospacing="0"/>
              <w:rPr>
                <w:sz w:val="16"/>
                <w:szCs w:val="16"/>
              </w:rPr>
            </w:pPr>
            <w:r>
              <w:rPr>
                <w:sz w:val="16"/>
                <w:szCs w:val="16"/>
              </w:rPr>
              <w:t>3. 0.5%</w:t>
            </w:r>
          </w:p>
          <w:p w:rsidR="000C0F24" w:rsidRDefault="000C0F24" w:rsidP="000C0F24">
            <w:pPr>
              <w:pStyle w:val="NormalWeb"/>
              <w:spacing w:before="0" w:beforeAutospacing="0" w:after="0" w:afterAutospacing="0"/>
              <w:rPr>
                <w:sz w:val="16"/>
                <w:szCs w:val="16"/>
              </w:rPr>
            </w:pPr>
            <w:r>
              <w:rPr>
                <w:sz w:val="16"/>
                <w:szCs w:val="16"/>
              </w:rPr>
              <w:t>4. 0.5%</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1. 1%</w:t>
            </w:r>
          </w:p>
          <w:p w:rsidR="000C0F24" w:rsidRDefault="000C0F24" w:rsidP="000C0F24">
            <w:pPr>
              <w:pStyle w:val="NormalWeb"/>
              <w:spacing w:before="0" w:beforeAutospacing="0" w:after="0" w:afterAutospacing="0"/>
              <w:rPr>
                <w:sz w:val="16"/>
                <w:szCs w:val="16"/>
              </w:rPr>
            </w:pPr>
            <w:r>
              <w:rPr>
                <w:sz w:val="16"/>
                <w:szCs w:val="16"/>
              </w:rPr>
              <w:t>2. 0.5%</w:t>
            </w:r>
          </w:p>
          <w:p w:rsidR="000C0F24" w:rsidRDefault="000C0F24" w:rsidP="000C0F24">
            <w:pPr>
              <w:pStyle w:val="NormalWeb"/>
              <w:spacing w:before="0" w:beforeAutospacing="0" w:after="0" w:afterAutospacing="0"/>
              <w:rPr>
                <w:sz w:val="16"/>
                <w:szCs w:val="16"/>
              </w:rPr>
            </w:pPr>
            <w:r>
              <w:rPr>
                <w:sz w:val="16"/>
                <w:szCs w:val="16"/>
              </w:rPr>
              <w:t>3. 0.5%</w:t>
            </w:r>
          </w:p>
          <w:p w:rsidR="000C0F24" w:rsidRDefault="000C0F24" w:rsidP="000C0F24">
            <w:pPr>
              <w:pStyle w:val="NormalWeb"/>
              <w:spacing w:before="0" w:beforeAutospacing="0" w:after="0" w:afterAutospacing="0"/>
              <w:rPr>
                <w:sz w:val="16"/>
                <w:szCs w:val="16"/>
              </w:rPr>
            </w:pPr>
            <w:r>
              <w:rPr>
                <w:sz w:val="16"/>
                <w:szCs w:val="16"/>
              </w:rPr>
              <w:t>4. 1%</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1. 2%</w:t>
            </w:r>
          </w:p>
          <w:p w:rsidR="000C0F24" w:rsidRDefault="000C0F24" w:rsidP="000C0F24">
            <w:pPr>
              <w:pStyle w:val="NormalWeb"/>
              <w:spacing w:before="0" w:beforeAutospacing="0" w:after="0" w:afterAutospacing="0"/>
              <w:rPr>
                <w:sz w:val="16"/>
                <w:szCs w:val="16"/>
              </w:rPr>
            </w:pPr>
            <w:r>
              <w:rPr>
                <w:sz w:val="16"/>
                <w:szCs w:val="16"/>
              </w:rPr>
              <w:t>2. 2%</w:t>
            </w:r>
          </w:p>
          <w:p w:rsidR="000C0F24" w:rsidRDefault="000C0F24" w:rsidP="000C0F24">
            <w:pPr>
              <w:pStyle w:val="NormalWeb"/>
              <w:spacing w:before="0" w:beforeAutospacing="0" w:after="0" w:afterAutospacing="0"/>
              <w:rPr>
                <w:sz w:val="16"/>
                <w:szCs w:val="16"/>
              </w:rPr>
            </w:pPr>
            <w:r>
              <w:rPr>
                <w:sz w:val="16"/>
                <w:szCs w:val="16"/>
              </w:rPr>
              <w:t>3. 2%</w:t>
            </w:r>
          </w:p>
          <w:p w:rsidR="000C0F24" w:rsidRDefault="000C0F24" w:rsidP="000C0F24">
            <w:pPr>
              <w:pStyle w:val="NormalWeb"/>
              <w:spacing w:before="0" w:beforeAutospacing="0" w:after="0" w:afterAutospacing="0"/>
              <w:rPr>
                <w:sz w:val="16"/>
                <w:szCs w:val="16"/>
              </w:rPr>
            </w:pPr>
            <w:r>
              <w:rPr>
                <w:sz w:val="16"/>
                <w:szCs w:val="16"/>
              </w:rPr>
              <w:t>4. 2%</w:t>
            </w:r>
          </w:p>
          <w:p w:rsidR="000C0F24" w:rsidRDefault="000C0F24" w:rsidP="000C0F24">
            <w:pPr>
              <w:pStyle w:val="NormalWeb"/>
              <w:spacing w:before="0" w:beforeAutospacing="0" w:after="0" w:afterAutospacing="0"/>
              <w:rPr>
                <w:sz w:val="16"/>
                <w:szCs w:val="16"/>
              </w:rPr>
            </w:pPr>
          </w:p>
        </w:tc>
      </w:tr>
      <w:tr w:rsidR="000C0F24" w:rsidRPr="0079718A" w:rsidTr="0079718A">
        <w:tc>
          <w:tcPr>
            <w:tcW w:w="963" w:type="dxa"/>
            <w:tcBorders>
              <w:right w:val="single" w:sz="12" w:space="0" w:color="auto"/>
            </w:tcBorders>
          </w:tcPr>
          <w:p w:rsidR="000C0F24" w:rsidRDefault="000C0F24" w:rsidP="000C0F24">
            <w:pPr>
              <w:pStyle w:val="NormalWeb"/>
              <w:spacing w:before="0" w:beforeAutospacing="0" w:after="0" w:afterAutospacing="0"/>
              <w:rPr>
                <w:sz w:val="16"/>
                <w:szCs w:val="16"/>
              </w:rPr>
            </w:pPr>
            <w:r>
              <w:rPr>
                <w:sz w:val="16"/>
                <w:szCs w:val="16"/>
              </w:rPr>
              <w:lastRenderedPageBreak/>
              <w:t>Cost</w:t>
            </w:r>
            <w:r w:rsidRPr="000C0F24">
              <w:rPr>
                <w:sz w:val="16"/>
                <w:szCs w:val="16"/>
              </w:rPr>
              <w:t xml:space="preserve"> </w:t>
            </w:r>
            <w:r>
              <w:rPr>
                <w:sz w:val="16"/>
                <w:szCs w:val="16"/>
              </w:rPr>
              <w:t>Adder in 2100 ($/GJ)</w:t>
            </w:r>
            <w:r w:rsidR="00D267DA">
              <w:rPr>
                <w:sz w:val="16"/>
                <w:szCs w:val="16"/>
              </w:rPr>
              <w:t xml:space="preserve"> </w:t>
            </w:r>
            <w:r w:rsidR="00D267DA">
              <w:rPr>
                <w:sz w:val="16"/>
                <w:szCs w:val="16"/>
              </w:rPr>
              <w:fldChar w:fldCharType="begin"/>
            </w:r>
            <w:r w:rsidR="00056A27">
              <w:rPr>
                <w:sz w:val="16"/>
                <w:szCs w:val="16"/>
              </w:rPr>
              <w:instrText xml:space="preserve"> ADDIN ZOTERO_ITEM CSL_CITATION {"citationID":"KGIh3Q7v","properties":{"formattedCitation":"\\super 1\\nosupersub{}","plainCitation":"1","noteIndex":0},"citationItems":[{"id":432,"uris":["http://zotero.org/groups/2384940/items/J6NLZJCL"],"uri":["http://zotero.org/groups/2384940/items/J6NLZJCL"],"itemData":{"id":432,"type":"article","title":"Calvin_SSPs.pdf","URL":"http://www.globalchange.umd.edu/data/annual-meetings/2016/Calvin_SSPs.pdf","accessed":{"date-parts":[["2019",10,16]]}}}],"schema":"https://github.com/citation-style-language/schema/raw/master/csl-citation.json"} </w:instrText>
            </w:r>
            <w:r w:rsidR="00D267DA">
              <w:rPr>
                <w:sz w:val="16"/>
                <w:szCs w:val="16"/>
              </w:rPr>
              <w:fldChar w:fldCharType="separate"/>
            </w:r>
            <w:r w:rsidR="00D267DA" w:rsidRPr="00D267DA">
              <w:rPr>
                <w:sz w:val="16"/>
                <w:vertAlign w:val="superscript"/>
              </w:rPr>
              <w:t>1</w:t>
            </w:r>
            <w:r w:rsidR="00D267DA">
              <w:rPr>
                <w:sz w:val="16"/>
                <w:szCs w:val="16"/>
              </w:rPr>
              <w:fldChar w:fldCharType="end"/>
            </w:r>
            <w:r>
              <w:rPr>
                <w:sz w:val="16"/>
                <w:szCs w:val="16"/>
              </w:rPr>
              <w:t>:</w:t>
            </w:r>
          </w:p>
          <w:p w:rsidR="000C0F24" w:rsidRDefault="000C0F24" w:rsidP="000C0F24">
            <w:pPr>
              <w:pStyle w:val="NormalWeb"/>
              <w:spacing w:before="0" w:beforeAutospacing="0" w:after="0" w:afterAutospacing="0"/>
              <w:ind w:left="-76"/>
              <w:rPr>
                <w:sz w:val="16"/>
                <w:szCs w:val="16"/>
              </w:rPr>
            </w:pPr>
          </w:p>
        </w:tc>
        <w:tc>
          <w:tcPr>
            <w:tcW w:w="2592" w:type="dxa"/>
            <w:tcBorders>
              <w:left w:val="single" w:sz="12" w:space="0" w:color="auto"/>
            </w:tcBorders>
          </w:tcPr>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p>
        </w:tc>
      </w:tr>
      <w:tr w:rsidR="000C0F24" w:rsidRPr="0079718A" w:rsidTr="0079718A">
        <w:tc>
          <w:tcPr>
            <w:tcW w:w="963" w:type="dxa"/>
            <w:tcBorders>
              <w:right w:val="single" w:sz="12" w:space="0" w:color="auto"/>
            </w:tcBorders>
          </w:tcPr>
          <w:p w:rsidR="000C0F24" w:rsidRDefault="000C0F24" w:rsidP="000C0F24">
            <w:pPr>
              <w:pStyle w:val="NormalWeb"/>
              <w:spacing w:before="0" w:beforeAutospacing="0" w:after="0" w:afterAutospacing="0"/>
              <w:ind w:left="-76"/>
              <w:rPr>
                <w:sz w:val="16"/>
                <w:szCs w:val="16"/>
              </w:rPr>
            </w:pPr>
            <w:r>
              <w:rPr>
                <w:sz w:val="16"/>
                <w:szCs w:val="16"/>
              </w:rPr>
              <w:t>1.Coal</w:t>
            </w:r>
          </w:p>
          <w:p w:rsidR="000C0F24" w:rsidRDefault="000C0F24" w:rsidP="000C0F24">
            <w:pPr>
              <w:pStyle w:val="NormalWeb"/>
              <w:spacing w:before="0" w:beforeAutospacing="0" w:after="0" w:afterAutospacing="0"/>
              <w:ind w:left="-76"/>
              <w:rPr>
                <w:sz w:val="16"/>
                <w:szCs w:val="16"/>
              </w:rPr>
            </w:pPr>
            <w:r>
              <w:rPr>
                <w:sz w:val="16"/>
                <w:szCs w:val="16"/>
              </w:rPr>
              <w:t>2.Gas</w:t>
            </w:r>
          </w:p>
          <w:p w:rsidR="000C0F24" w:rsidRDefault="000C0F24" w:rsidP="000C0F24">
            <w:pPr>
              <w:pStyle w:val="NormalWeb"/>
              <w:spacing w:before="0" w:beforeAutospacing="0" w:after="0" w:afterAutospacing="0"/>
              <w:ind w:left="-76"/>
              <w:rPr>
                <w:sz w:val="16"/>
                <w:szCs w:val="16"/>
              </w:rPr>
            </w:pPr>
            <w:r>
              <w:rPr>
                <w:sz w:val="16"/>
                <w:szCs w:val="16"/>
              </w:rPr>
              <w:t>3.Con oil</w:t>
            </w:r>
          </w:p>
          <w:p w:rsidR="000C0F24" w:rsidRDefault="000C0F24" w:rsidP="000C0F24">
            <w:pPr>
              <w:pStyle w:val="NormalWeb"/>
              <w:spacing w:before="0" w:beforeAutospacing="0" w:after="0" w:afterAutospacing="0"/>
              <w:ind w:left="-76"/>
              <w:rPr>
                <w:sz w:val="16"/>
                <w:szCs w:val="16"/>
              </w:rPr>
            </w:pPr>
            <w:r>
              <w:rPr>
                <w:sz w:val="16"/>
                <w:szCs w:val="16"/>
              </w:rPr>
              <w:t>4.Unc oil</w:t>
            </w:r>
          </w:p>
          <w:p w:rsidR="000C0F24" w:rsidRDefault="000C0F24" w:rsidP="000C0F24">
            <w:pPr>
              <w:pStyle w:val="NormalWeb"/>
              <w:spacing w:before="0" w:beforeAutospacing="0" w:after="0" w:afterAutospacing="0"/>
              <w:rPr>
                <w:sz w:val="16"/>
                <w:szCs w:val="16"/>
              </w:rPr>
            </w:pPr>
          </w:p>
        </w:tc>
        <w:tc>
          <w:tcPr>
            <w:tcW w:w="2592" w:type="dxa"/>
            <w:tcBorders>
              <w:left w:val="single" w:sz="12" w:space="0" w:color="auto"/>
            </w:tcBorders>
          </w:tcPr>
          <w:p w:rsidR="000C0F24" w:rsidRDefault="000C0F24" w:rsidP="000C0F24">
            <w:pPr>
              <w:pStyle w:val="NormalWeb"/>
              <w:spacing w:before="0" w:beforeAutospacing="0" w:after="0" w:afterAutospacing="0"/>
              <w:rPr>
                <w:sz w:val="16"/>
                <w:szCs w:val="16"/>
              </w:rPr>
            </w:pPr>
            <w:r>
              <w:rPr>
                <w:sz w:val="16"/>
                <w:szCs w:val="16"/>
              </w:rPr>
              <w:t>1. $1.37</w:t>
            </w:r>
          </w:p>
          <w:p w:rsidR="000C0F24" w:rsidRDefault="000C0F24" w:rsidP="000C0F24">
            <w:pPr>
              <w:pStyle w:val="NormalWeb"/>
              <w:spacing w:before="0" w:beforeAutospacing="0" w:after="0" w:afterAutospacing="0"/>
              <w:rPr>
                <w:sz w:val="16"/>
                <w:szCs w:val="16"/>
              </w:rPr>
            </w:pPr>
            <w:r>
              <w:rPr>
                <w:sz w:val="16"/>
                <w:szCs w:val="16"/>
              </w:rPr>
              <w:t>2. $0.14</w:t>
            </w:r>
          </w:p>
          <w:p w:rsidR="000C0F24" w:rsidRDefault="000C0F24" w:rsidP="000C0F24">
            <w:pPr>
              <w:pStyle w:val="NormalWeb"/>
              <w:spacing w:before="0" w:beforeAutospacing="0" w:after="0" w:afterAutospacing="0"/>
              <w:rPr>
                <w:sz w:val="16"/>
                <w:szCs w:val="16"/>
              </w:rPr>
            </w:pPr>
            <w:r>
              <w:rPr>
                <w:sz w:val="16"/>
                <w:szCs w:val="16"/>
              </w:rPr>
              <w:t>3. $0.20</w:t>
            </w:r>
          </w:p>
          <w:p w:rsidR="000C0F24" w:rsidRDefault="000C0F24" w:rsidP="000C0F24">
            <w:pPr>
              <w:pStyle w:val="NormalWeb"/>
              <w:spacing w:before="0" w:beforeAutospacing="0" w:after="0" w:afterAutospacing="0"/>
              <w:rPr>
                <w:sz w:val="16"/>
                <w:szCs w:val="16"/>
              </w:rPr>
            </w:pPr>
            <w:r>
              <w:rPr>
                <w:sz w:val="16"/>
                <w:szCs w:val="16"/>
              </w:rPr>
              <w:t>4. $0.21</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$0.27</w:t>
            </w:r>
          </w:p>
          <w:p w:rsidR="000C0F24" w:rsidRDefault="000C0F24" w:rsidP="000C0F24">
            <w:pPr>
              <w:pStyle w:val="NormalWeb"/>
              <w:spacing w:before="0" w:beforeAutospacing="0" w:after="0" w:afterAutospacing="0"/>
              <w:rPr>
                <w:sz w:val="16"/>
                <w:szCs w:val="16"/>
              </w:rPr>
            </w:pPr>
            <w:r>
              <w:rPr>
                <w:sz w:val="16"/>
                <w:szCs w:val="16"/>
              </w:rPr>
              <w:t>2. $0.14</w:t>
            </w:r>
          </w:p>
          <w:p w:rsidR="000C0F24" w:rsidRDefault="000C0F24" w:rsidP="000C0F24">
            <w:pPr>
              <w:pStyle w:val="NormalWeb"/>
              <w:spacing w:before="0" w:beforeAutospacing="0" w:after="0" w:afterAutospacing="0"/>
              <w:rPr>
                <w:sz w:val="16"/>
                <w:szCs w:val="16"/>
              </w:rPr>
            </w:pPr>
            <w:r>
              <w:rPr>
                <w:sz w:val="16"/>
                <w:szCs w:val="16"/>
              </w:rPr>
              <w:t>3. $0.20</w:t>
            </w:r>
          </w:p>
          <w:p w:rsidR="000C0F24" w:rsidRDefault="000C0F24" w:rsidP="000C0F24">
            <w:pPr>
              <w:pStyle w:val="NormalWeb"/>
              <w:spacing w:before="0" w:beforeAutospacing="0" w:after="0" w:afterAutospacing="0"/>
              <w:rPr>
                <w:sz w:val="16"/>
                <w:szCs w:val="16"/>
              </w:rPr>
            </w:pPr>
            <w:r>
              <w:rPr>
                <w:sz w:val="16"/>
                <w:szCs w:val="16"/>
              </w:rPr>
              <w:t>4. $0.21</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$0.00</w:t>
            </w:r>
          </w:p>
          <w:p w:rsidR="000C0F24" w:rsidRDefault="000C0F24" w:rsidP="000C0F24">
            <w:pPr>
              <w:pStyle w:val="NormalWeb"/>
              <w:spacing w:before="0" w:beforeAutospacing="0" w:after="0" w:afterAutospacing="0"/>
              <w:rPr>
                <w:sz w:val="16"/>
                <w:szCs w:val="16"/>
              </w:rPr>
            </w:pPr>
            <w:r>
              <w:rPr>
                <w:sz w:val="16"/>
                <w:szCs w:val="16"/>
              </w:rPr>
              <w:t>2. $0.14</w:t>
            </w:r>
          </w:p>
          <w:p w:rsidR="000C0F24" w:rsidRDefault="000C0F24" w:rsidP="000C0F24">
            <w:pPr>
              <w:pStyle w:val="NormalWeb"/>
              <w:spacing w:before="0" w:beforeAutospacing="0" w:after="0" w:afterAutospacing="0"/>
              <w:rPr>
                <w:sz w:val="16"/>
                <w:szCs w:val="16"/>
              </w:rPr>
            </w:pPr>
            <w:r>
              <w:rPr>
                <w:sz w:val="16"/>
                <w:szCs w:val="16"/>
              </w:rPr>
              <w:t>3. $0.20</w:t>
            </w:r>
          </w:p>
          <w:p w:rsidR="000C0F24" w:rsidRDefault="000C0F24" w:rsidP="000C0F24">
            <w:pPr>
              <w:pStyle w:val="NormalWeb"/>
              <w:spacing w:before="0" w:beforeAutospacing="0" w:after="0" w:afterAutospacing="0"/>
              <w:rPr>
                <w:sz w:val="16"/>
                <w:szCs w:val="16"/>
              </w:rPr>
            </w:pPr>
            <w:r>
              <w:rPr>
                <w:sz w:val="16"/>
                <w:szCs w:val="16"/>
              </w:rPr>
              <w:t>4. $0.21</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$0.27</w:t>
            </w:r>
          </w:p>
          <w:p w:rsidR="000C0F24" w:rsidRDefault="000C0F24" w:rsidP="000C0F24">
            <w:pPr>
              <w:pStyle w:val="NormalWeb"/>
              <w:spacing w:before="0" w:beforeAutospacing="0" w:after="0" w:afterAutospacing="0"/>
              <w:rPr>
                <w:sz w:val="16"/>
                <w:szCs w:val="16"/>
              </w:rPr>
            </w:pPr>
            <w:r>
              <w:rPr>
                <w:sz w:val="16"/>
                <w:szCs w:val="16"/>
              </w:rPr>
              <w:t>2. $0.71</w:t>
            </w:r>
          </w:p>
          <w:p w:rsidR="000C0F24" w:rsidRDefault="000C0F24" w:rsidP="000C0F24">
            <w:pPr>
              <w:pStyle w:val="NormalWeb"/>
              <w:spacing w:before="0" w:beforeAutospacing="0" w:after="0" w:afterAutospacing="0"/>
              <w:rPr>
                <w:sz w:val="16"/>
                <w:szCs w:val="16"/>
              </w:rPr>
            </w:pPr>
            <w:r>
              <w:rPr>
                <w:sz w:val="16"/>
                <w:szCs w:val="16"/>
              </w:rPr>
              <w:t>3. $0.98</w:t>
            </w:r>
          </w:p>
          <w:p w:rsidR="000C0F24" w:rsidRDefault="000C0F24" w:rsidP="000C0F24">
            <w:pPr>
              <w:pStyle w:val="NormalWeb"/>
              <w:spacing w:before="0" w:beforeAutospacing="0" w:after="0" w:afterAutospacing="0"/>
              <w:rPr>
                <w:sz w:val="16"/>
                <w:szCs w:val="16"/>
              </w:rPr>
            </w:pPr>
            <w:r>
              <w:rPr>
                <w:sz w:val="16"/>
                <w:szCs w:val="16"/>
              </w:rPr>
              <w:t>4. $1.06</w:t>
            </w:r>
          </w:p>
          <w:p w:rsidR="000C0F24" w:rsidRDefault="000C0F24" w:rsidP="000C0F24">
            <w:pPr>
              <w:pStyle w:val="NormalWeb"/>
              <w:spacing w:before="0" w:beforeAutospacing="0" w:after="0" w:afterAutospacing="0"/>
              <w:rPr>
                <w:sz w:val="16"/>
                <w:szCs w:val="16"/>
              </w:rPr>
            </w:pPr>
          </w:p>
        </w:tc>
        <w:tc>
          <w:tcPr>
            <w:tcW w:w="2592" w:type="dxa"/>
          </w:tcPr>
          <w:p w:rsidR="000C0F24" w:rsidRDefault="000C0F24" w:rsidP="000C0F24">
            <w:pPr>
              <w:pStyle w:val="NormalWeb"/>
              <w:spacing w:before="0" w:beforeAutospacing="0" w:after="0" w:afterAutospacing="0"/>
              <w:rPr>
                <w:sz w:val="16"/>
                <w:szCs w:val="16"/>
              </w:rPr>
            </w:pPr>
            <w:r>
              <w:rPr>
                <w:sz w:val="16"/>
                <w:szCs w:val="16"/>
              </w:rPr>
              <w:t>1. $0.00</w:t>
            </w:r>
          </w:p>
          <w:p w:rsidR="000C0F24" w:rsidRDefault="000C0F24" w:rsidP="000C0F24">
            <w:pPr>
              <w:pStyle w:val="NormalWeb"/>
              <w:spacing w:before="0" w:beforeAutospacing="0" w:after="0" w:afterAutospacing="0"/>
              <w:rPr>
                <w:sz w:val="16"/>
                <w:szCs w:val="16"/>
              </w:rPr>
            </w:pPr>
            <w:r>
              <w:rPr>
                <w:sz w:val="16"/>
                <w:szCs w:val="16"/>
              </w:rPr>
              <w:t>2. $0.00</w:t>
            </w:r>
          </w:p>
          <w:p w:rsidR="000C0F24" w:rsidRDefault="000C0F24" w:rsidP="000C0F24">
            <w:pPr>
              <w:pStyle w:val="NormalWeb"/>
              <w:spacing w:before="0" w:beforeAutospacing="0" w:after="0" w:afterAutospacing="0"/>
              <w:rPr>
                <w:sz w:val="16"/>
                <w:szCs w:val="16"/>
              </w:rPr>
            </w:pPr>
            <w:r>
              <w:rPr>
                <w:sz w:val="16"/>
                <w:szCs w:val="16"/>
              </w:rPr>
              <w:t>3. $0.00</w:t>
            </w:r>
          </w:p>
          <w:p w:rsidR="000C0F24" w:rsidRPr="00D267DA" w:rsidRDefault="000C0F24" w:rsidP="000C0F24">
            <w:pPr>
              <w:pStyle w:val="NormalWeb"/>
              <w:spacing w:before="0" w:beforeAutospacing="0" w:after="0" w:afterAutospacing="0"/>
              <w:rPr>
                <w:sz w:val="16"/>
                <w:szCs w:val="16"/>
              </w:rPr>
            </w:pPr>
            <w:r>
              <w:rPr>
                <w:sz w:val="16"/>
                <w:szCs w:val="16"/>
              </w:rPr>
              <w:t>4. $0.00</w:t>
            </w:r>
          </w:p>
          <w:p w:rsidR="000C0F24" w:rsidRDefault="000C0F24" w:rsidP="000C0F24">
            <w:pPr>
              <w:pStyle w:val="NormalWeb"/>
              <w:spacing w:before="0" w:beforeAutospacing="0" w:after="0" w:afterAutospacing="0"/>
              <w:rPr>
                <w:sz w:val="16"/>
                <w:szCs w:val="16"/>
              </w:rPr>
            </w:pPr>
          </w:p>
        </w:tc>
      </w:tr>
    </w:tbl>
    <w:p w:rsidR="00D267DA" w:rsidRDefault="00D267DA" w:rsidP="00AD4E55">
      <w:pPr>
        <w:pStyle w:val="NormalWeb"/>
      </w:pPr>
      <w:r>
        <w:t>EMF 34</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056A27" w:rsidRPr="00D31057" w:rsidTr="00056A27">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Reference case </w:t>
            </w:r>
            <w:r w:rsidRPr="00D31057">
              <w:rPr>
                <w:sz w:val="16"/>
                <w:szCs w:val="16"/>
              </w:rPr>
              <w:fldChar w:fldCharType="begin"/>
            </w:r>
            <w:r w:rsidRPr="00D31057">
              <w:rPr>
                <w:sz w:val="16"/>
                <w:szCs w:val="16"/>
              </w:rPr>
              <w:instrText xml:space="preserve"> ADDIN ZOTERO_ITEM CSL_CITATION {"citationID":"p9aNIyPa","properties":{"formattedCitation":"\\super 2\\nosupersub{}","plainCitation":"2","noteIndex":0},"citationItems":[{"id":437,"uris":["http://zotero.org/groups/2384940/items/FFZFUNML"],"uri":["http://zotero.org/groups/2384940/items/FFZFUNML"],"itemData":{"id":437,"type":"speech","title":"Annual Energy Outlook 2019"}}],"schema":"https://github.com/citation-style-language/schema/raw/master/csl-citation.json"} </w:instrText>
            </w:r>
            <w:r w:rsidRPr="00D31057">
              <w:rPr>
                <w:sz w:val="16"/>
                <w:szCs w:val="16"/>
              </w:rPr>
              <w:fldChar w:fldCharType="separate"/>
            </w:r>
            <w:r w:rsidRPr="00D31057">
              <w:rPr>
                <w:sz w:val="16"/>
                <w:szCs w:val="16"/>
                <w:vertAlign w:val="superscript"/>
              </w:rPr>
              <w:t>2</w:t>
            </w:r>
            <w:r w:rsidRPr="00D31057">
              <w:rPr>
                <w:sz w:val="16"/>
                <w:szCs w:val="16"/>
              </w:rPr>
              <w:fldChar w:fldCharType="end"/>
            </w: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Low Oil Price </w:t>
            </w:r>
          </w:p>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High Gas Supply </w:t>
            </w:r>
          </w:p>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High Macro Growth </w:t>
            </w:r>
          </w:p>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High Intermittent Renewables Penetration </w:t>
            </w:r>
          </w:p>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Cross-border Energy Infrastructure </w:t>
            </w:r>
          </w:p>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 xml:space="preserve">Carbon Policy </w:t>
            </w:r>
          </w:p>
          <w:p w:rsidR="00056A27" w:rsidRPr="00D31057" w:rsidRDefault="00056A27" w:rsidP="00D31057">
            <w:pPr>
              <w:pStyle w:val="NormalWeb"/>
              <w:spacing w:before="0" w:beforeAutospacing="0" w:after="0" w:afterAutospacing="0"/>
              <w:rPr>
                <w:sz w:val="16"/>
                <w:szCs w:val="16"/>
              </w:rPr>
            </w:pPr>
          </w:p>
        </w:tc>
      </w:tr>
      <w:tr w:rsidR="00056A27" w:rsidRPr="00D31057" w:rsidTr="00056A27">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t>U.S. crude oil production continues to set annual records through 2027 and remains greater than 14.0 million barrels per day (b/d) through 2040</w:t>
            </w:r>
          </w:p>
          <w:p w:rsidR="00056A27" w:rsidRPr="00D31057" w:rsidRDefault="00056A27" w:rsidP="00D31057">
            <w:pPr>
              <w:pStyle w:val="NormalWeb"/>
              <w:spacing w:before="0" w:beforeAutospacing="0" w:after="0" w:afterAutospacing="0"/>
              <w:rPr>
                <w:sz w:val="16"/>
                <w:szCs w:val="16"/>
              </w:rPr>
            </w:pPr>
            <w:r w:rsidRPr="00D31057">
              <w:rPr>
                <w:sz w:val="16"/>
                <w:szCs w:val="16"/>
              </w:rPr>
              <w:t>tight oil and shale gas resources supports growth in natural gas plant liquids (NGPL) production reaches 6.0 million b/d by 2029</w:t>
            </w:r>
            <w:r w:rsidRPr="00D31057">
              <w:rPr>
                <w:sz w:val="16"/>
                <w:szCs w:val="16"/>
              </w:rPr>
              <w:fldChar w:fldCharType="begin"/>
            </w:r>
            <w:r w:rsidR="00802DE1">
              <w:rPr>
                <w:sz w:val="16"/>
                <w:szCs w:val="16"/>
              </w:rPr>
              <w:instrText xml:space="preserve"> ADDIN ZOTERO_ITEM CSL_CITATION {"citationID":"bOw3EL56","properties":{"formattedCitation":"\\super 2\\nosupersub{}","plainCitation":"2","noteIndex":0},"citationItems":[{"id":437,"uris":["http://zotero.org/groups/2384940/items/FFZFUNML"],"uri":["http://zotero.org/groups/2384940/items/FFZFUNML"],"itemData":{"id":437,"type":"speech","title":"Annual Energy Outlook 2019"}}],"schema":"https://github.com/citation-style-language/schema/raw/master/csl-citation.json"} </w:instrText>
            </w:r>
            <w:r w:rsidRPr="00D31057">
              <w:rPr>
                <w:sz w:val="16"/>
                <w:szCs w:val="16"/>
              </w:rPr>
              <w:fldChar w:fldCharType="separate"/>
            </w:r>
            <w:r w:rsidRPr="00D31057">
              <w:rPr>
                <w:sz w:val="16"/>
                <w:szCs w:val="16"/>
                <w:vertAlign w:val="superscript"/>
              </w:rPr>
              <w:t>2</w:t>
            </w:r>
            <w:r w:rsidRPr="00D31057">
              <w:rPr>
                <w:sz w:val="16"/>
                <w:szCs w:val="16"/>
              </w:rPr>
              <w:fldChar w:fldCharType="end"/>
            </w:r>
          </w:p>
          <w:p w:rsidR="00056A27" w:rsidRPr="00D31057" w:rsidRDefault="00056A27" w:rsidP="00D31057">
            <w:pPr>
              <w:pStyle w:val="NormalWeb"/>
              <w:spacing w:before="0" w:beforeAutospacing="0" w:after="0" w:afterAutospacing="0"/>
              <w:rPr>
                <w:sz w:val="16"/>
                <w:szCs w:val="16"/>
              </w:rPr>
            </w:pPr>
            <w:r w:rsidRPr="00D31057">
              <w:rPr>
                <w:sz w:val="16"/>
                <w:szCs w:val="16"/>
              </w:rPr>
              <w:t>dry natural gas production from oil formations increased from 8% in 2013 to 17% in 2018 and remains near this percentage through 2050 in the Reference case</w:t>
            </w:r>
            <w:r w:rsidRPr="00D31057">
              <w:rPr>
                <w:sz w:val="16"/>
                <w:szCs w:val="16"/>
              </w:rPr>
              <w:fldChar w:fldCharType="begin"/>
            </w:r>
            <w:r w:rsidR="00802DE1">
              <w:rPr>
                <w:sz w:val="16"/>
                <w:szCs w:val="16"/>
              </w:rPr>
              <w:instrText xml:space="preserve"> ADDIN ZOTERO_ITEM CSL_CITATION {"citationID":"JU36QwX2","properties":{"formattedCitation":"\\super 2\\nosupersub{}","plainCitation":"2","noteIndex":0},"citationItems":[{"id":437,"uris":["http://zotero.org/groups/2384940/items/FFZFUNML"],"uri":["http://zotero.org/groups/2384940/items/FFZFUNML"],"itemData":{"id":437,"type":"speech","title":"Annual Energy Outlook 2019"}}],"schema":"https://github.com/citation-style-language/schema/raw/master/csl-citation.json"} </w:instrText>
            </w:r>
            <w:r w:rsidRPr="00D31057">
              <w:rPr>
                <w:sz w:val="16"/>
                <w:szCs w:val="16"/>
              </w:rPr>
              <w:fldChar w:fldCharType="separate"/>
            </w:r>
            <w:r w:rsidRPr="00D31057">
              <w:rPr>
                <w:sz w:val="16"/>
                <w:szCs w:val="16"/>
                <w:vertAlign w:val="superscript"/>
              </w:rPr>
              <w:t>2</w:t>
            </w:r>
            <w:r w:rsidRPr="00D31057">
              <w:rPr>
                <w:sz w:val="16"/>
                <w:szCs w:val="16"/>
              </w:rPr>
              <w:fldChar w:fldCharType="end"/>
            </w:r>
          </w:p>
          <w:p w:rsidR="00056A27" w:rsidRPr="00D31057" w:rsidRDefault="00056A27" w:rsidP="00D31057">
            <w:pPr>
              <w:pStyle w:val="NormalWeb"/>
              <w:spacing w:before="0" w:beforeAutospacing="0" w:after="0" w:afterAutospacing="0"/>
              <w:rPr>
                <w:sz w:val="16"/>
                <w:szCs w:val="16"/>
              </w:rPr>
            </w:pPr>
            <w:r w:rsidRPr="00D31057">
              <w:rPr>
                <w:sz w:val="16"/>
                <w:szCs w:val="16"/>
              </w:rPr>
              <w:t>The share of natural gas generation rises from 34% in 2018 to 39% in 2050, and the share of renewable generation increases from 18% to 31%.</w:t>
            </w:r>
          </w:p>
          <w:p w:rsidR="00056A27" w:rsidRDefault="006F14DA" w:rsidP="00D31057">
            <w:pPr>
              <w:pStyle w:val="NormalWeb"/>
              <w:spacing w:before="0" w:beforeAutospacing="0" w:after="0" w:afterAutospacing="0"/>
              <w:rPr>
                <w:sz w:val="16"/>
                <w:szCs w:val="16"/>
              </w:rPr>
            </w:pPr>
            <w:r w:rsidRPr="00D31057">
              <w:rPr>
                <w:sz w:val="16"/>
                <w:szCs w:val="16"/>
              </w:rPr>
              <w:t xml:space="preserve">Transportation travel is measured in three ways, depending on the mode: highway vehicle miles (light- and heavy-duty vehicles), passenger miles (bus, passenger </w:t>
            </w:r>
            <w:r w:rsidRPr="00D31057">
              <w:rPr>
                <w:sz w:val="16"/>
                <w:szCs w:val="16"/>
              </w:rPr>
              <w:lastRenderedPageBreak/>
              <w:t>rail, and air), and off-highway freight ton-miles (freight rail, air, and domestic shipping</w:t>
            </w:r>
          </w:p>
          <w:p w:rsidR="004535EB" w:rsidRPr="00D31057" w:rsidRDefault="004535EB" w:rsidP="00D31057">
            <w:pPr>
              <w:pStyle w:val="NormalWeb"/>
              <w:spacing w:before="0" w:beforeAutospacing="0" w:after="0" w:afterAutospacing="0"/>
              <w:rPr>
                <w:sz w:val="16"/>
                <w:szCs w:val="16"/>
              </w:rPr>
            </w:pPr>
          </w:p>
          <w:p w:rsidR="00A254F6" w:rsidRPr="00D31057" w:rsidRDefault="006F14DA" w:rsidP="00D31057">
            <w:pPr>
              <w:pStyle w:val="NormalWeb"/>
              <w:spacing w:before="0" w:beforeAutospacing="0" w:after="0" w:afterAutospacing="0"/>
              <w:rPr>
                <w:sz w:val="16"/>
                <w:szCs w:val="16"/>
              </w:rPr>
            </w:pPr>
            <w:r w:rsidRPr="00D31057">
              <w:rPr>
                <w:sz w:val="16"/>
                <w:szCs w:val="16"/>
              </w:rPr>
              <w:t xml:space="preserve">The steepest decline in energy intensity is in the transportation sector, with the level of energy used per highway vehicle-mile traveled declining by 32% from 2018 to 2050 as a result of increasingly stringent fuel economy and energy </w:t>
            </w:r>
          </w:p>
          <w:p w:rsidR="006F14DA" w:rsidRPr="00D31057" w:rsidRDefault="006F14DA" w:rsidP="00D31057">
            <w:pPr>
              <w:pStyle w:val="NormalWeb"/>
              <w:spacing w:before="0" w:beforeAutospacing="0" w:after="0" w:afterAutospacing="0"/>
              <w:rPr>
                <w:sz w:val="16"/>
                <w:szCs w:val="16"/>
              </w:rPr>
            </w:pPr>
            <w:r w:rsidRPr="00D31057">
              <w:rPr>
                <w:sz w:val="16"/>
                <w:szCs w:val="16"/>
              </w:rPr>
              <w:t>efficiency standards for light- and heavy-duty vehicles</w:t>
            </w:r>
          </w:p>
          <w:p w:rsidR="006F14DA" w:rsidRPr="00D31057" w:rsidRDefault="006F14DA" w:rsidP="00D31057">
            <w:pPr>
              <w:pStyle w:val="NormalWeb"/>
              <w:spacing w:before="0" w:beforeAutospacing="0" w:after="0" w:afterAutospacing="0"/>
              <w:rPr>
                <w:sz w:val="16"/>
                <w:szCs w:val="16"/>
              </w:rPr>
            </w:pPr>
            <w:r w:rsidRPr="00D31057">
              <w:rPr>
                <w:sz w:val="16"/>
                <w:szCs w:val="16"/>
              </w:rPr>
              <w:t>Transportation carbon intensity declines by 5%.</w:t>
            </w:r>
          </w:p>
          <w:p w:rsidR="00A254F6" w:rsidRPr="00D31057" w:rsidRDefault="00AE449C" w:rsidP="00D31057">
            <w:pPr>
              <w:pStyle w:val="NormalWeb"/>
              <w:spacing w:before="0" w:beforeAutospacing="0" w:after="0" w:afterAutospacing="0"/>
              <w:rPr>
                <w:sz w:val="16"/>
                <w:szCs w:val="16"/>
              </w:rPr>
            </w:pPr>
            <w:r w:rsidRPr="00D31057">
              <w:rPr>
                <w:sz w:val="16"/>
                <w:szCs w:val="16"/>
              </w:rPr>
              <w:t>jet fuel consumption grows more than any other transportation fuel during the projection period, rising 35% from 2018 to 2050</w:t>
            </w:r>
          </w:p>
          <w:p w:rsidR="00056A27" w:rsidRPr="00D31057" w:rsidRDefault="00056A27" w:rsidP="00D31057">
            <w:pPr>
              <w:pStyle w:val="NormalWeb"/>
              <w:spacing w:before="0" w:beforeAutospacing="0" w:after="0" w:afterAutospacing="0"/>
              <w:rPr>
                <w:sz w:val="16"/>
                <w:szCs w:val="16"/>
              </w:rPr>
            </w:pPr>
          </w:p>
          <w:p w:rsidR="00AE449C" w:rsidRPr="00D31057" w:rsidRDefault="00AE449C" w:rsidP="00D31057">
            <w:pPr>
              <w:pStyle w:val="NormalWeb"/>
              <w:spacing w:before="0" w:beforeAutospacing="0" w:after="0" w:afterAutospacing="0"/>
              <w:rPr>
                <w:sz w:val="16"/>
                <w:szCs w:val="16"/>
              </w:rPr>
            </w:pPr>
            <w:r w:rsidRPr="00D31057">
              <w:rPr>
                <w:sz w:val="16"/>
                <w:szCs w:val="16"/>
              </w:rPr>
              <w:t>Motor gasoline and distillate fuel oil’s combined share of total transportation energy consumption decreases from 84% in 2018 to 74% in 2050 as the use of alternative fuels increases</w:t>
            </w:r>
          </w:p>
          <w:p w:rsidR="00AE449C" w:rsidRPr="00D31057" w:rsidRDefault="00AE449C" w:rsidP="00D31057">
            <w:pPr>
              <w:pStyle w:val="NormalWeb"/>
              <w:spacing w:before="0" w:beforeAutospacing="0" w:after="0" w:afterAutospacing="0"/>
              <w:rPr>
                <w:sz w:val="16"/>
                <w:szCs w:val="16"/>
              </w:rPr>
            </w:pPr>
            <w:r w:rsidRPr="00D31057">
              <w:rPr>
                <w:sz w:val="16"/>
                <w:szCs w:val="16"/>
              </w:rPr>
              <w:t>Light-duty vehicle miles traveled increase by 20% in the Reference case, growing from 2.9 trillion miles in 2018 to 3.5 trillion miles in 2050 as a result of rising incomes and growing population</w:t>
            </w:r>
          </w:p>
          <w:p w:rsidR="00AE449C" w:rsidRPr="00D31057" w:rsidRDefault="00AE449C" w:rsidP="00D31057">
            <w:pPr>
              <w:pStyle w:val="NormalWeb"/>
              <w:spacing w:before="0" w:beforeAutospacing="0" w:after="0" w:afterAutospacing="0"/>
              <w:rPr>
                <w:sz w:val="16"/>
                <w:szCs w:val="16"/>
              </w:rPr>
            </w:pPr>
            <w:r w:rsidRPr="00D31057">
              <w:rPr>
                <w:sz w:val="16"/>
                <w:szCs w:val="16"/>
              </w:rPr>
              <w:t xml:space="preserve">Air travel grows 77% from 990 billion revenue passenger miles to 1,753 billion revenue passenger miles between 2018 and 2050 in the </w:t>
            </w:r>
            <w:r w:rsidRPr="00D31057">
              <w:rPr>
                <w:sz w:val="16"/>
                <w:szCs w:val="16"/>
              </w:rPr>
              <w:lastRenderedPageBreak/>
              <w:t>Reference case because of increased demand for global connectivity and rising personal incomes. Bus and passenger rail travel increase 11% and 31%, respectively</w:t>
            </w:r>
          </w:p>
          <w:p w:rsidR="00AE449C" w:rsidRPr="00D31057" w:rsidRDefault="00AE449C" w:rsidP="00D31057">
            <w:pPr>
              <w:pStyle w:val="NormalWeb"/>
              <w:spacing w:before="0" w:beforeAutospacing="0" w:after="0" w:afterAutospacing="0"/>
              <w:rPr>
                <w:sz w:val="16"/>
                <w:szCs w:val="16"/>
              </w:rPr>
            </w:pPr>
          </w:p>
          <w:p w:rsidR="00AE449C" w:rsidRPr="00D31057" w:rsidRDefault="00AE449C" w:rsidP="00D31057">
            <w:pPr>
              <w:pStyle w:val="NormalWeb"/>
              <w:spacing w:before="0" w:beforeAutospacing="0" w:after="0" w:afterAutospacing="0"/>
              <w:rPr>
                <w:sz w:val="16"/>
                <w:szCs w:val="16"/>
              </w:rPr>
            </w:pPr>
            <w:r w:rsidRPr="00D31057">
              <w:rPr>
                <w:sz w:val="16"/>
                <w:szCs w:val="16"/>
              </w:rPr>
              <w:t>Energy use per passenger-mile of travel in light-duty vehicles declines nearly 40% between 2018 and 2050 as newer, more fuel-efficient vehicles enter the market, including both more efficient conventional gasoline vehicles and highly efficient alternatives such as battery electric vehicles. Light-duty vehicle energy efficiencies are affected by current federal fuel economy and greenhouse gas emission standards</w:t>
            </w:r>
          </w:p>
          <w:p w:rsidR="00AE449C" w:rsidRPr="00D31057" w:rsidRDefault="00AE449C" w:rsidP="00D31057">
            <w:pPr>
              <w:pStyle w:val="NormalWeb"/>
              <w:spacing w:before="0" w:beforeAutospacing="0" w:after="0" w:afterAutospacing="0"/>
              <w:rPr>
                <w:sz w:val="16"/>
                <w:szCs w:val="16"/>
              </w:rPr>
            </w:pPr>
          </w:p>
          <w:p w:rsidR="00AE449C" w:rsidRPr="00D31057" w:rsidRDefault="00AE449C" w:rsidP="00D31057">
            <w:pPr>
              <w:pStyle w:val="NormalWeb"/>
              <w:spacing w:before="0" w:beforeAutospacing="0" w:after="0" w:afterAutospacing="0"/>
              <w:rPr>
                <w:sz w:val="16"/>
                <w:szCs w:val="16"/>
              </w:rPr>
            </w:pPr>
            <w:r w:rsidRPr="00D31057">
              <w:rPr>
                <w:sz w:val="16"/>
                <w:szCs w:val="16"/>
              </w:rPr>
              <w:t>The fuel economy of light-duty vehicles in use from 2018 to 2050 increases by 60% for cars and by 60% for light trucks in the Reference case. Across all light-duty vehicles, fuel efficiency improves by 65% from 2018 to 2050 as newer, more fuel-efficient vehicles enter the market, including a higher share of cars, which are more efficient than light trucks</w:t>
            </w:r>
          </w:p>
          <w:p w:rsidR="004C651A" w:rsidRPr="00D31057" w:rsidRDefault="004C651A" w:rsidP="00D31057">
            <w:pPr>
              <w:pStyle w:val="NormalWeb"/>
              <w:spacing w:before="0" w:beforeAutospacing="0" w:after="0" w:afterAutospacing="0"/>
              <w:rPr>
                <w:sz w:val="16"/>
                <w:szCs w:val="16"/>
              </w:rPr>
            </w:pPr>
          </w:p>
          <w:p w:rsidR="004C651A" w:rsidRPr="00D31057" w:rsidRDefault="004C651A" w:rsidP="00D31057">
            <w:pPr>
              <w:pStyle w:val="NormalWeb"/>
              <w:spacing w:before="0" w:beforeAutospacing="0" w:after="0" w:afterAutospacing="0"/>
              <w:rPr>
                <w:sz w:val="16"/>
                <w:szCs w:val="16"/>
              </w:rPr>
            </w:pPr>
            <w:r w:rsidRPr="00D31057">
              <w:rPr>
                <w:sz w:val="16"/>
                <w:szCs w:val="16"/>
              </w:rPr>
              <w:t xml:space="preserve">The combined share of sales attributable to gasoline and flex-fuel vehicles (which use gasoline blended with up </w:t>
            </w:r>
            <w:r w:rsidRPr="00D31057">
              <w:rPr>
                <w:sz w:val="16"/>
                <w:szCs w:val="16"/>
              </w:rPr>
              <w:lastRenderedPageBreak/>
              <w:t>to 85% ethanol) declines from 93% in 2018 to 75% in 2050 because of the growth in battery electric vehicle (BEV), plug-in hybrid electric vehicle (PHEV), and hybrid electric vehicle sales</w:t>
            </w:r>
          </w:p>
          <w:p w:rsidR="00AE449C" w:rsidRPr="00D31057" w:rsidRDefault="00AE449C"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r w:rsidRPr="00D31057">
              <w:rPr>
                <w:sz w:val="16"/>
                <w:szCs w:val="16"/>
              </w:rPr>
              <w:lastRenderedPageBreak/>
              <w:t>The Low Oil Price case, with the U.S. crude oil benchmark West Texas Intermediate (WTI, Cushing, Oklahoma) price at $58 per barrel or lower, is the only case in which natural gas production from oil formations is lower in 2050 than at current levels</w:t>
            </w:r>
            <w:r w:rsidRPr="00D31057">
              <w:rPr>
                <w:sz w:val="16"/>
                <w:szCs w:val="16"/>
              </w:rPr>
              <w:fldChar w:fldCharType="begin"/>
            </w:r>
            <w:r w:rsidR="00802DE1">
              <w:rPr>
                <w:sz w:val="16"/>
                <w:szCs w:val="16"/>
              </w:rPr>
              <w:instrText xml:space="preserve"> ADDIN ZOTERO_ITEM CSL_CITATION {"citationID":"4b4gI74W","properties":{"formattedCitation":"\\super 2\\nosupersub{}","plainCitation":"2","noteIndex":0},"citationItems":[{"id":437,"uris":["http://zotero.org/groups/2384940/items/FFZFUNML"],"uri":["http://zotero.org/groups/2384940/items/FFZFUNML"],"itemData":{"id":437,"type":"speech","title":"Annual Energy Outlook 2019"}}],"schema":"https://github.com/citation-style-language/schema/raw/master/csl-citation.json"} </w:instrText>
            </w:r>
            <w:r w:rsidRPr="00D31057">
              <w:rPr>
                <w:sz w:val="16"/>
                <w:szCs w:val="16"/>
              </w:rPr>
              <w:fldChar w:fldCharType="separate"/>
            </w:r>
            <w:r w:rsidRPr="00D31057">
              <w:rPr>
                <w:sz w:val="16"/>
                <w:szCs w:val="16"/>
                <w:vertAlign w:val="superscript"/>
              </w:rPr>
              <w:t>2</w:t>
            </w:r>
            <w:r w:rsidRPr="00D31057">
              <w:rPr>
                <w:sz w:val="16"/>
                <w:szCs w:val="16"/>
              </w:rPr>
              <w:fldChar w:fldCharType="end"/>
            </w:r>
          </w:p>
        </w:tc>
        <w:tc>
          <w:tcPr>
            <w:tcW w:w="1850" w:type="dxa"/>
          </w:tcPr>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p>
        </w:tc>
        <w:tc>
          <w:tcPr>
            <w:tcW w:w="1850" w:type="dxa"/>
          </w:tcPr>
          <w:p w:rsidR="00056A27" w:rsidRPr="00D31057" w:rsidRDefault="00056A27" w:rsidP="00D31057">
            <w:pPr>
              <w:pStyle w:val="NormalWeb"/>
              <w:spacing w:before="0" w:beforeAutospacing="0" w:after="0" w:afterAutospacing="0"/>
              <w:rPr>
                <w:sz w:val="16"/>
                <w:szCs w:val="16"/>
              </w:rPr>
            </w:pPr>
          </w:p>
        </w:tc>
        <w:tc>
          <w:tcPr>
            <w:tcW w:w="1850" w:type="dxa"/>
          </w:tcPr>
          <w:p w:rsidR="00D31057" w:rsidRPr="00D31057" w:rsidRDefault="00D31057" w:rsidP="00D31057">
            <w:pPr>
              <w:pStyle w:val="NormalWeb"/>
              <w:rPr>
                <w:sz w:val="16"/>
                <w:szCs w:val="16"/>
              </w:rPr>
            </w:pPr>
            <w:r w:rsidRPr="00D31057">
              <w:rPr>
                <w:sz w:val="16"/>
                <w:szCs w:val="16"/>
              </w:rPr>
              <w:t>Case focuses on the impact of carbon policy.</w:t>
            </w:r>
          </w:p>
          <w:p w:rsidR="00D31057" w:rsidRPr="00D31057" w:rsidRDefault="00D31057" w:rsidP="00D31057">
            <w:pPr>
              <w:pStyle w:val="NormalWeb"/>
              <w:rPr>
                <w:sz w:val="16"/>
                <w:szCs w:val="16"/>
              </w:rPr>
            </w:pPr>
            <w:r w:rsidRPr="00D31057">
              <w:rPr>
                <w:sz w:val="16"/>
                <w:szCs w:val="16"/>
              </w:rPr>
              <w:t> Carbon policy is modeled as a carbon tax of US</w:t>
            </w:r>
          </w:p>
          <w:p w:rsidR="00D31057" w:rsidRPr="00D31057" w:rsidRDefault="00D31057" w:rsidP="00D31057">
            <w:pPr>
              <w:pStyle w:val="NormalWeb"/>
              <w:rPr>
                <w:sz w:val="16"/>
                <w:szCs w:val="16"/>
              </w:rPr>
            </w:pPr>
            <w:r w:rsidRPr="00D31057">
              <w:rPr>
                <w:sz w:val="16"/>
                <w:szCs w:val="16"/>
              </w:rPr>
              <w:t>$35/tonne starting 2022 and increasing at 5%</w:t>
            </w:r>
          </w:p>
          <w:p w:rsidR="00D31057" w:rsidRPr="00D31057" w:rsidRDefault="00D31057" w:rsidP="00D31057">
            <w:pPr>
              <w:pStyle w:val="NormalWeb"/>
              <w:rPr>
                <w:sz w:val="16"/>
                <w:szCs w:val="16"/>
              </w:rPr>
            </w:pPr>
            <w:r w:rsidRPr="00D31057">
              <w:rPr>
                <w:sz w:val="16"/>
                <w:szCs w:val="16"/>
              </w:rPr>
              <w:t>per year until the last model year</w:t>
            </w:r>
          </w:p>
          <w:p w:rsidR="00D31057" w:rsidRPr="00D31057" w:rsidRDefault="00D31057" w:rsidP="00D31057">
            <w:pPr>
              <w:pStyle w:val="NormalWeb"/>
              <w:rPr>
                <w:sz w:val="16"/>
                <w:szCs w:val="16"/>
              </w:rPr>
            </w:pPr>
            <w:r w:rsidRPr="00D31057">
              <w:rPr>
                <w:sz w:val="16"/>
                <w:szCs w:val="16"/>
              </w:rPr>
              <w:t> All other countries outside of North America</w:t>
            </w:r>
          </w:p>
          <w:p w:rsidR="00D31057" w:rsidRPr="00D31057" w:rsidRDefault="00D31057" w:rsidP="00D31057">
            <w:pPr>
              <w:pStyle w:val="NormalWeb"/>
              <w:rPr>
                <w:sz w:val="16"/>
                <w:szCs w:val="16"/>
              </w:rPr>
            </w:pPr>
            <w:r w:rsidRPr="00D31057">
              <w:rPr>
                <w:sz w:val="16"/>
                <w:szCs w:val="16"/>
              </w:rPr>
              <w:t>also impose the same carbon tax Two sub-cases are defined:</w:t>
            </w:r>
          </w:p>
          <w:p w:rsidR="00D31057" w:rsidRPr="00D31057" w:rsidRDefault="00D31057" w:rsidP="00D31057">
            <w:pPr>
              <w:pStyle w:val="NormalWeb"/>
              <w:rPr>
                <w:sz w:val="16"/>
                <w:szCs w:val="16"/>
              </w:rPr>
            </w:pPr>
            <w:r w:rsidRPr="00D31057">
              <w:rPr>
                <w:sz w:val="16"/>
                <w:szCs w:val="16"/>
              </w:rPr>
              <w:t>7.1 Case 1 models the carbon policy adopted in all three countries (US, Canada, Mexico).</w:t>
            </w:r>
          </w:p>
          <w:p w:rsidR="00056A27" w:rsidRPr="00432141" w:rsidRDefault="00D31057" w:rsidP="00D31057">
            <w:pPr>
              <w:pStyle w:val="NormalWeb"/>
              <w:spacing w:before="0" w:beforeAutospacing="0" w:after="0" w:afterAutospacing="0"/>
              <w:rPr>
                <w:sz w:val="16"/>
                <w:szCs w:val="16"/>
              </w:rPr>
            </w:pPr>
            <w:r w:rsidRPr="00D31057">
              <w:rPr>
                <w:sz w:val="16"/>
                <w:szCs w:val="16"/>
              </w:rPr>
              <w:t xml:space="preserve">7.2 Second case models the carbon policy adopted in only Canada </w:t>
            </w:r>
            <w:r w:rsidRPr="00D31057">
              <w:rPr>
                <w:sz w:val="16"/>
                <w:szCs w:val="16"/>
              </w:rPr>
              <w:lastRenderedPageBreak/>
              <w:t>and Mexico but not in the US</w:t>
            </w:r>
          </w:p>
        </w:tc>
      </w:tr>
    </w:tbl>
    <w:p w:rsidR="00D267DA" w:rsidRDefault="00D267DA" w:rsidP="00AD4E55">
      <w:pPr>
        <w:pStyle w:val="NormalWeb"/>
      </w:pPr>
    </w:p>
    <w:p w:rsidR="007E5B0F" w:rsidRDefault="007E5B0F" w:rsidP="00AD4E55">
      <w:pPr>
        <w:pStyle w:val="NormalWeb"/>
      </w:pPr>
      <w:r>
        <w:t>MDG (Mill</w:t>
      </w:r>
      <w:r w:rsidR="000C0F24">
        <w:t>2</w:t>
      </w:r>
      <w:r>
        <w:t>ennium Development Goals)</w:t>
      </w:r>
      <w:r w:rsidR="00D267DA">
        <w:t xml:space="preserve"> ()</w:t>
      </w:r>
      <w:r>
        <w:t xml:space="preserve">: 1) Eradication of extreme poverty and hunger; 2) </w:t>
      </w:r>
      <w:r w:rsidR="00FA0BBD">
        <w:t>universal primary education; 3) gender equality and empower women; 4) reduce child mortality; 5) improve maternal health; 6) Combat HIW/AIDs, malaria and others; 7) Ensure Environmental Sustainability; 8)Global partnership for development</w:t>
      </w:r>
    </w:p>
    <w:p w:rsidR="00A254F6" w:rsidRDefault="00A254F6" w:rsidP="00A254F6">
      <w:pPr>
        <w:pStyle w:val="NormalWeb"/>
      </w:pPr>
      <w:r w:rsidRPr="00A254F6">
        <w:t>EIA did not include the effects of the existing 45Q federal tax credits for carbon capture and sequestration in AEO2019 because the credits, although recently doubled, still do not appear large enough to encourage substantial market penetration of carbon capture in the scenarios modeled</w:t>
      </w:r>
      <w:r>
        <w:t xml:space="preserve"> </w:t>
      </w:r>
      <w:r>
        <w:fldChar w:fldCharType="begin"/>
      </w:r>
      <w:r w:rsidR="00802DE1">
        <w:instrText xml:space="preserve"> ADDIN ZOTERO_ITEM CSL_CITATION {"citationID":"l32fgw8k","properties":{"formattedCitation":"\\super 2\\nosupersub{}","plainCitation":"2","noteIndex":0},"citationItems":[{"id":437,"uris":["http://zotero.org/groups/2384940/items/FFZFUNML"],"uri":["http://zotero.org/groups/2384940/items/FFZFUNML"],"itemData":{"id":437,"type":"speech","title":"Annual Energy Outlook 2019"}}],"schema":"https://github.com/citation-style-language/schema/raw/master/csl-citation.json"} </w:instrText>
      </w:r>
      <w:r>
        <w:fldChar w:fldCharType="separate"/>
      </w:r>
      <w:r w:rsidRPr="00056A27">
        <w:rPr>
          <w:vertAlign w:val="superscript"/>
        </w:rPr>
        <w:t>2</w:t>
      </w:r>
      <w:r>
        <w:fldChar w:fldCharType="end"/>
      </w:r>
      <w:r w:rsidRPr="00A254F6">
        <w:t>.</w:t>
      </w:r>
    </w:p>
    <w:tbl>
      <w:tblPr>
        <w:tblW w:w="13396" w:type="dxa"/>
        <w:tblCellMar>
          <w:left w:w="0" w:type="dxa"/>
          <w:right w:w="0" w:type="dxa"/>
        </w:tblCellMar>
        <w:tblLook w:val="0420" w:firstRow="1" w:lastRow="0" w:firstColumn="0" w:lastColumn="0" w:noHBand="0" w:noVBand="1"/>
      </w:tblPr>
      <w:tblGrid>
        <w:gridCol w:w="894"/>
        <w:gridCol w:w="3515"/>
        <w:gridCol w:w="902"/>
        <w:gridCol w:w="1609"/>
        <w:gridCol w:w="1053"/>
        <w:gridCol w:w="1003"/>
        <w:gridCol w:w="2016"/>
        <w:gridCol w:w="866"/>
        <w:gridCol w:w="1008"/>
        <w:gridCol w:w="530"/>
      </w:tblGrid>
      <w:tr w:rsidR="002E2DB5" w:rsidRPr="00802DE1" w:rsidTr="002E2DB5">
        <w:trPr>
          <w:trHeight w:val="584"/>
        </w:trPr>
        <w:tc>
          <w:tcPr>
            <w:tcW w:w="894"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Scenario name</w:t>
            </w:r>
          </w:p>
        </w:tc>
        <w:tc>
          <w:tcPr>
            <w:tcW w:w="3515"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Description</w:t>
            </w:r>
          </w:p>
        </w:tc>
        <w:tc>
          <w:tcPr>
            <w:tcW w:w="902"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Degrees of warming or forcing</w:t>
            </w:r>
          </w:p>
        </w:tc>
        <w:tc>
          <w:tcPr>
            <w:tcW w:w="1609"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Base carbon tax</w:t>
            </w:r>
          </w:p>
        </w:tc>
        <w:tc>
          <w:tcPr>
            <w:tcW w:w="1053"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1C67A6" w:rsidP="00802DE1">
            <w:pPr>
              <w:pStyle w:val="NormalWeb"/>
              <w:rPr>
                <w:sz w:val="16"/>
                <w:szCs w:val="16"/>
              </w:rPr>
            </w:pPr>
            <w:r>
              <w:rPr>
                <w:b/>
                <w:bCs/>
                <w:sz w:val="16"/>
                <w:szCs w:val="16"/>
              </w:rPr>
              <w:t>Timeframe</w:t>
            </w:r>
          </w:p>
        </w:tc>
        <w:tc>
          <w:tcPr>
            <w:tcW w:w="1003"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Carbon tax escalation rate</w:t>
            </w:r>
          </w:p>
        </w:tc>
        <w:tc>
          <w:tcPr>
            <w:tcW w:w="2016"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With &amp; Without  BECCS</w:t>
            </w:r>
          </w:p>
        </w:tc>
        <w:tc>
          <w:tcPr>
            <w:tcW w:w="866"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GCAM</w:t>
            </w:r>
          </w:p>
        </w:tc>
        <w:tc>
          <w:tcPr>
            <w:tcW w:w="1008"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hideMark/>
          </w:tcPr>
          <w:p w:rsidR="00802DE1" w:rsidRPr="00802DE1" w:rsidRDefault="00802DE1" w:rsidP="00802DE1">
            <w:pPr>
              <w:pStyle w:val="NormalWeb"/>
              <w:rPr>
                <w:sz w:val="16"/>
                <w:szCs w:val="16"/>
              </w:rPr>
            </w:pPr>
            <w:r w:rsidRPr="00802DE1">
              <w:rPr>
                <w:b/>
                <w:bCs/>
                <w:sz w:val="16"/>
                <w:szCs w:val="16"/>
              </w:rPr>
              <w:t>GCAM-USA</w:t>
            </w:r>
          </w:p>
        </w:tc>
        <w:tc>
          <w:tcPr>
            <w:tcW w:w="530" w:type="dxa"/>
            <w:tcBorders>
              <w:top w:val="single" w:sz="8" w:space="0" w:color="FFFFFF"/>
              <w:left w:val="single" w:sz="8" w:space="0" w:color="FFFFFF"/>
              <w:bottom w:val="single" w:sz="24" w:space="0" w:color="FFFFFF"/>
              <w:right w:val="single" w:sz="8" w:space="0" w:color="FFFFFF"/>
            </w:tcBorders>
            <w:shd w:val="clear" w:color="auto" w:fill="0079C1"/>
            <w:tcMar>
              <w:top w:w="72" w:type="dxa"/>
              <w:left w:w="144" w:type="dxa"/>
              <w:bottom w:w="72" w:type="dxa"/>
              <w:right w:w="144" w:type="dxa"/>
            </w:tcMar>
            <w:vAlign w:val="center"/>
            <w:hideMark/>
          </w:tcPr>
          <w:p w:rsidR="00802DE1" w:rsidRPr="00802DE1" w:rsidRDefault="00802DE1" w:rsidP="00802DE1">
            <w:pPr>
              <w:pStyle w:val="NormalWeb"/>
              <w:jc w:val="center"/>
              <w:rPr>
                <w:sz w:val="16"/>
                <w:szCs w:val="16"/>
              </w:rPr>
            </w:pPr>
            <w:r w:rsidRPr="00802DE1">
              <w:rPr>
                <w:b/>
                <w:bCs/>
                <w:sz w:val="16"/>
                <w:szCs w:val="16"/>
              </w:rPr>
              <w:t>Ref</w:t>
            </w:r>
          </w:p>
        </w:tc>
      </w:tr>
      <w:tr w:rsidR="002E2DB5" w:rsidRPr="00802DE1" w:rsidTr="002E2DB5">
        <w:trPr>
          <w:trHeight w:val="584"/>
        </w:trPr>
        <w:tc>
          <w:tcPr>
            <w:tcW w:w="894"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SSP1</w:t>
            </w:r>
          </w:p>
        </w:tc>
        <w:tc>
          <w:tcPr>
            <w:tcW w:w="3515"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A035D1" w:rsidRDefault="00A035D1" w:rsidP="00A035D1">
            <w:pPr>
              <w:pStyle w:val="NormalWeb"/>
              <w:ind w:left="167"/>
              <w:rPr>
                <w:sz w:val="16"/>
                <w:szCs w:val="16"/>
              </w:rPr>
            </w:pPr>
            <w:r>
              <w:rPr>
                <w:sz w:val="16"/>
                <w:szCs w:val="16"/>
              </w:rPr>
              <w:t>Sustainability</w:t>
            </w:r>
          </w:p>
          <w:p w:rsidR="00A035D1" w:rsidRPr="00A86F83" w:rsidRDefault="00A035D1" w:rsidP="00A035D1">
            <w:pPr>
              <w:pStyle w:val="NormalWeb"/>
              <w:numPr>
                <w:ilvl w:val="0"/>
                <w:numId w:val="7"/>
              </w:numPr>
              <w:ind w:left="167" w:hanging="167"/>
              <w:rPr>
                <w:sz w:val="16"/>
                <w:szCs w:val="16"/>
              </w:rPr>
            </w:pPr>
            <w:r w:rsidRPr="00A86F83">
              <w:rPr>
                <w:sz w:val="16"/>
                <w:szCs w:val="16"/>
              </w:rPr>
              <w:t>Good progress towards sustainable development</w:t>
            </w:r>
          </w:p>
          <w:p w:rsidR="00A035D1" w:rsidRPr="00A86F83" w:rsidRDefault="00A035D1" w:rsidP="00A035D1">
            <w:pPr>
              <w:pStyle w:val="NormalWeb"/>
              <w:numPr>
                <w:ilvl w:val="0"/>
                <w:numId w:val="7"/>
              </w:numPr>
              <w:ind w:left="167" w:hanging="167"/>
              <w:rPr>
                <w:sz w:val="16"/>
                <w:szCs w:val="16"/>
              </w:rPr>
            </w:pPr>
            <w:r w:rsidRPr="00A86F83">
              <w:rPr>
                <w:sz w:val="16"/>
                <w:szCs w:val="16"/>
              </w:rPr>
              <w:t>Stabilizing popula</w:t>
            </w:r>
            <w:r>
              <w:rPr>
                <w:sz w:val="16"/>
                <w:szCs w:val="16"/>
              </w:rPr>
              <w:t>ti</w:t>
            </w:r>
            <w:r w:rsidRPr="00A86F83">
              <w:rPr>
                <w:sz w:val="16"/>
                <w:szCs w:val="16"/>
              </w:rPr>
              <w:t>on</w:t>
            </w:r>
            <w:r w:rsidR="003453B9">
              <w:rPr>
                <w:sz w:val="16"/>
                <w:szCs w:val="16"/>
              </w:rPr>
              <w:t xml:space="preserve"> – 6.9 billion (2100)</w:t>
            </w:r>
          </w:p>
          <w:p w:rsidR="00A035D1" w:rsidRPr="00A86F83" w:rsidRDefault="00A035D1" w:rsidP="00A035D1">
            <w:pPr>
              <w:pStyle w:val="NormalWeb"/>
              <w:numPr>
                <w:ilvl w:val="0"/>
                <w:numId w:val="7"/>
              </w:numPr>
              <w:ind w:left="167" w:hanging="167"/>
              <w:rPr>
                <w:sz w:val="16"/>
                <w:szCs w:val="16"/>
              </w:rPr>
            </w:pPr>
            <w:r w:rsidRPr="00A86F83">
              <w:rPr>
                <w:sz w:val="16"/>
                <w:szCs w:val="16"/>
              </w:rPr>
              <w:t>Decreasing income inequality</w:t>
            </w:r>
            <w:r w:rsidR="003453B9">
              <w:rPr>
                <w:sz w:val="16"/>
                <w:szCs w:val="16"/>
              </w:rPr>
              <w:t xml:space="preserve"> ($46,306)</w:t>
            </w:r>
          </w:p>
          <w:p w:rsidR="00A035D1" w:rsidRPr="00A86F83" w:rsidRDefault="00A035D1" w:rsidP="00A035D1">
            <w:pPr>
              <w:pStyle w:val="NormalWeb"/>
              <w:numPr>
                <w:ilvl w:val="0"/>
                <w:numId w:val="7"/>
              </w:numPr>
              <w:ind w:left="167" w:hanging="167"/>
              <w:rPr>
                <w:sz w:val="16"/>
                <w:szCs w:val="16"/>
              </w:rPr>
            </w:pPr>
            <w:r w:rsidRPr="00A86F83">
              <w:rPr>
                <w:sz w:val="16"/>
                <w:szCs w:val="16"/>
              </w:rPr>
              <w:t>Early MDG achievement</w:t>
            </w:r>
          </w:p>
          <w:p w:rsidR="00A035D1" w:rsidRPr="00A86F83" w:rsidRDefault="00A035D1" w:rsidP="00A035D1">
            <w:pPr>
              <w:pStyle w:val="NormalWeb"/>
              <w:numPr>
                <w:ilvl w:val="0"/>
                <w:numId w:val="7"/>
              </w:numPr>
              <w:ind w:left="167" w:hanging="167"/>
              <w:rPr>
                <w:sz w:val="16"/>
                <w:szCs w:val="16"/>
              </w:rPr>
            </w:pPr>
            <w:r w:rsidRPr="00A86F83">
              <w:rPr>
                <w:sz w:val="16"/>
                <w:szCs w:val="16"/>
              </w:rPr>
              <w:t>Low resource intensity and fossil</w:t>
            </w:r>
            <w:r>
              <w:rPr>
                <w:sz w:val="16"/>
                <w:szCs w:val="16"/>
              </w:rPr>
              <w:t xml:space="preserve"> </w:t>
            </w:r>
            <w:r w:rsidRPr="00A86F83">
              <w:rPr>
                <w:sz w:val="16"/>
                <w:szCs w:val="16"/>
              </w:rPr>
              <w:t>fuel dependency</w:t>
            </w:r>
            <w:r w:rsidR="003453B9">
              <w:rPr>
                <w:sz w:val="16"/>
                <w:szCs w:val="16"/>
              </w:rPr>
              <w:t>; High renewables preference</w:t>
            </w:r>
          </w:p>
          <w:p w:rsidR="003453B9" w:rsidRPr="003453B9" w:rsidRDefault="00A035D1" w:rsidP="003453B9">
            <w:pPr>
              <w:pStyle w:val="NormalWeb"/>
              <w:numPr>
                <w:ilvl w:val="0"/>
                <w:numId w:val="7"/>
              </w:numPr>
              <w:ind w:left="167" w:hanging="167"/>
              <w:rPr>
                <w:sz w:val="16"/>
                <w:szCs w:val="16"/>
              </w:rPr>
            </w:pPr>
            <w:r w:rsidRPr="00A86F83">
              <w:rPr>
                <w:sz w:val="16"/>
                <w:szCs w:val="16"/>
              </w:rPr>
              <w:t>Strong int’l governance and local institutions</w:t>
            </w:r>
          </w:p>
          <w:p w:rsidR="00A035D1" w:rsidRPr="00A86F83" w:rsidRDefault="00A035D1" w:rsidP="00A035D1">
            <w:pPr>
              <w:pStyle w:val="NormalWeb"/>
              <w:numPr>
                <w:ilvl w:val="0"/>
                <w:numId w:val="7"/>
              </w:numPr>
              <w:ind w:left="167" w:hanging="167"/>
              <w:rPr>
                <w:sz w:val="16"/>
                <w:szCs w:val="16"/>
              </w:rPr>
            </w:pPr>
            <w:r w:rsidRPr="00A86F83">
              <w:rPr>
                <w:sz w:val="16"/>
                <w:szCs w:val="16"/>
              </w:rPr>
              <w:t>Well managed urbaniza</w:t>
            </w:r>
            <w:r>
              <w:rPr>
                <w:sz w:val="16"/>
                <w:szCs w:val="16"/>
              </w:rPr>
              <w:t>ti</w:t>
            </w:r>
            <w:r w:rsidRPr="00A86F83">
              <w:rPr>
                <w:sz w:val="16"/>
                <w:szCs w:val="16"/>
              </w:rPr>
              <w:t>on</w:t>
            </w:r>
            <w:r w:rsidRPr="00A86F83">
              <w:rPr>
                <w:sz w:val="16"/>
                <w:szCs w:val="16"/>
              </w:rPr>
              <w:t xml:space="preserve"> </w:t>
            </w:r>
          </w:p>
          <w:p w:rsidR="00802DE1" w:rsidRDefault="00A035D1" w:rsidP="00A035D1">
            <w:pPr>
              <w:pStyle w:val="NormalWeb"/>
              <w:numPr>
                <w:ilvl w:val="0"/>
                <w:numId w:val="7"/>
              </w:numPr>
              <w:ind w:left="167" w:hanging="167"/>
              <w:rPr>
                <w:sz w:val="16"/>
                <w:szCs w:val="16"/>
              </w:rPr>
            </w:pPr>
            <w:r>
              <w:rPr>
                <w:sz w:val="16"/>
                <w:szCs w:val="16"/>
              </w:rPr>
              <w:t>E</w:t>
            </w:r>
            <w:r w:rsidRPr="00A86F83">
              <w:rPr>
                <w:sz w:val="16"/>
                <w:szCs w:val="16"/>
              </w:rPr>
              <w:t>nvironmentalism</w:t>
            </w:r>
          </w:p>
          <w:p w:rsidR="003453B9" w:rsidRDefault="003453B9" w:rsidP="003453B9">
            <w:pPr>
              <w:pStyle w:val="NormalWeb"/>
              <w:spacing w:before="0" w:beforeAutospacing="0" w:after="0" w:afterAutospacing="0"/>
              <w:rPr>
                <w:sz w:val="16"/>
                <w:szCs w:val="16"/>
              </w:rPr>
            </w:pPr>
            <w:r>
              <w:rPr>
                <w:sz w:val="16"/>
                <w:szCs w:val="16"/>
              </w:rPr>
              <w:lastRenderedPageBreak/>
              <w:t>Technical change on extraction cost (% per year)</w:t>
            </w:r>
            <w:r>
              <w:rPr>
                <w:sz w:val="16"/>
                <w:szCs w:val="16"/>
              </w:rPr>
              <w:t xml:space="preserve">: </w:t>
            </w:r>
            <w:r>
              <w:rPr>
                <w:sz w:val="16"/>
                <w:szCs w:val="16"/>
              </w:rPr>
              <w:t>Coal</w:t>
            </w:r>
            <w:r>
              <w:rPr>
                <w:sz w:val="16"/>
                <w:szCs w:val="16"/>
              </w:rPr>
              <w:t xml:space="preserve"> - </w:t>
            </w:r>
            <w:r>
              <w:rPr>
                <w:sz w:val="16"/>
                <w:szCs w:val="16"/>
              </w:rPr>
              <w:t>0.5%</w:t>
            </w:r>
            <w:r>
              <w:rPr>
                <w:sz w:val="16"/>
                <w:szCs w:val="16"/>
              </w:rPr>
              <w:t xml:space="preserve">, </w:t>
            </w:r>
            <w:r>
              <w:rPr>
                <w:sz w:val="16"/>
                <w:szCs w:val="16"/>
              </w:rPr>
              <w:t>Gas</w:t>
            </w:r>
            <w:r>
              <w:rPr>
                <w:sz w:val="16"/>
                <w:szCs w:val="16"/>
              </w:rPr>
              <w:t xml:space="preserve"> - </w:t>
            </w:r>
            <w:r>
              <w:rPr>
                <w:sz w:val="16"/>
                <w:szCs w:val="16"/>
              </w:rPr>
              <w:t>0.5%</w:t>
            </w:r>
            <w:r>
              <w:rPr>
                <w:sz w:val="16"/>
                <w:szCs w:val="16"/>
              </w:rPr>
              <w:t xml:space="preserve">, </w:t>
            </w:r>
            <w:r>
              <w:rPr>
                <w:sz w:val="16"/>
                <w:szCs w:val="16"/>
              </w:rPr>
              <w:t>Con</w:t>
            </w:r>
            <w:r>
              <w:rPr>
                <w:sz w:val="16"/>
                <w:szCs w:val="16"/>
              </w:rPr>
              <w:t>v.</w:t>
            </w:r>
            <w:r>
              <w:rPr>
                <w:sz w:val="16"/>
                <w:szCs w:val="16"/>
              </w:rPr>
              <w:t xml:space="preserve"> oil</w:t>
            </w:r>
            <w:r>
              <w:rPr>
                <w:sz w:val="16"/>
                <w:szCs w:val="16"/>
              </w:rPr>
              <w:t xml:space="preserve"> - 0.5%, </w:t>
            </w:r>
            <w:r>
              <w:rPr>
                <w:sz w:val="16"/>
                <w:szCs w:val="16"/>
              </w:rPr>
              <w:t>Unc</w:t>
            </w:r>
            <w:r>
              <w:rPr>
                <w:sz w:val="16"/>
                <w:szCs w:val="16"/>
              </w:rPr>
              <w:t>onv.</w:t>
            </w:r>
            <w:r>
              <w:rPr>
                <w:sz w:val="16"/>
                <w:szCs w:val="16"/>
              </w:rPr>
              <w:t xml:space="preserve"> </w:t>
            </w:r>
            <w:r>
              <w:rPr>
                <w:sz w:val="16"/>
                <w:szCs w:val="16"/>
              </w:rPr>
              <w:t>O</w:t>
            </w:r>
            <w:r>
              <w:rPr>
                <w:sz w:val="16"/>
                <w:szCs w:val="16"/>
              </w:rPr>
              <w:t>il</w:t>
            </w:r>
            <w:r>
              <w:rPr>
                <w:sz w:val="16"/>
                <w:szCs w:val="16"/>
              </w:rPr>
              <w:t xml:space="preserve"> - 0%</w:t>
            </w:r>
            <w:r w:rsidR="00415039">
              <w:rPr>
                <w:sz w:val="16"/>
                <w:szCs w:val="16"/>
              </w:rPr>
              <w:t>.</w:t>
            </w:r>
          </w:p>
          <w:p w:rsidR="003453B9" w:rsidRDefault="003453B9" w:rsidP="003453B9">
            <w:pPr>
              <w:pStyle w:val="NormalWeb"/>
              <w:spacing w:before="0" w:beforeAutospacing="0" w:after="0" w:afterAutospacing="0"/>
              <w:rPr>
                <w:sz w:val="16"/>
                <w:szCs w:val="16"/>
              </w:rPr>
            </w:pPr>
          </w:p>
          <w:p w:rsidR="00415039" w:rsidRDefault="00415039" w:rsidP="00415039">
            <w:pPr>
              <w:pStyle w:val="NormalWeb"/>
              <w:spacing w:before="0" w:beforeAutospacing="0" w:after="0" w:afterAutospacing="0"/>
              <w:rPr>
                <w:sz w:val="16"/>
                <w:szCs w:val="16"/>
              </w:rPr>
            </w:pPr>
            <w:r>
              <w:rPr>
                <w:sz w:val="16"/>
                <w:szCs w:val="16"/>
              </w:rPr>
              <w:t>Cost</w:t>
            </w:r>
            <w:r w:rsidRPr="000C0F24">
              <w:rPr>
                <w:sz w:val="16"/>
                <w:szCs w:val="16"/>
              </w:rPr>
              <w:t xml:space="preserve"> </w:t>
            </w:r>
            <w:r>
              <w:rPr>
                <w:sz w:val="16"/>
                <w:szCs w:val="16"/>
              </w:rPr>
              <w:t>Adder in 2100 ($/GJ)</w:t>
            </w:r>
            <w:r>
              <w:rPr>
                <w:sz w:val="16"/>
                <w:szCs w:val="16"/>
              </w:rPr>
              <w:t xml:space="preserve">: </w:t>
            </w:r>
            <w:r>
              <w:rPr>
                <w:sz w:val="16"/>
                <w:szCs w:val="16"/>
              </w:rPr>
              <w:t xml:space="preserve">Coal </w:t>
            </w:r>
            <w:r>
              <w:rPr>
                <w:sz w:val="16"/>
                <w:szCs w:val="16"/>
              </w:rPr>
              <w:t xml:space="preserve">- </w:t>
            </w:r>
            <w:r>
              <w:rPr>
                <w:sz w:val="16"/>
                <w:szCs w:val="16"/>
              </w:rPr>
              <w:t>$1.37</w:t>
            </w:r>
            <w:r>
              <w:rPr>
                <w:sz w:val="16"/>
                <w:szCs w:val="16"/>
              </w:rPr>
              <w:t xml:space="preserve">, </w:t>
            </w:r>
            <w:r>
              <w:rPr>
                <w:sz w:val="16"/>
                <w:szCs w:val="16"/>
              </w:rPr>
              <w:t xml:space="preserve">Gas - $0.14, Conv. oil - $0.20, Unconv. Oil - $0.21. </w:t>
            </w:r>
          </w:p>
          <w:p w:rsidR="003453B9" w:rsidRDefault="003453B9" w:rsidP="003453B9">
            <w:pPr>
              <w:pStyle w:val="NormalWeb"/>
              <w:rPr>
                <w:sz w:val="16"/>
                <w:szCs w:val="16"/>
              </w:rPr>
            </w:pPr>
          </w:p>
          <w:p w:rsidR="00415039" w:rsidRPr="00802DE1" w:rsidRDefault="00415039" w:rsidP="003453B9">
            <w:pPr>
              <w:pStyle w:val="NormalWeb"/>
              <w:rPr>
                <w:sz w:val="16"/>
                <w:szCs w:val="16"/>
              </w:rPr>
            </w:pPr>
          </w:p>
        </w:tc>
        <w:tc>
          <w:tcPr>
            <w:tcW w:w="902"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3"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866"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24"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A035D1" w:rsidP="00802DE1">
            <w:pPr>
              <w:pStyle w:val="NormalWeb"/>
              <w:jc w:val="center"/>
              <w:rPr>
                <w:sz w:val="16"/>
                <w:szCs w:val="16"/>
              </w:rPr>
            </w:pPr>
            <w:r>
              <w:rPr>
                <w:sz w:val="16"/>
                <w:szCs w:val="16"/>
              </w:rPr>
              <w:fldChar w:fldCharType="begin"/>
            </w:r>
            <w:r>
              <w:rPr>
                <w:sz w:val="16"/>
                <w:szCs w:val="16"/>
              </w:rPr>
              <w:instrText xml:space="preserve"> ADDIN ZOTERO_ITEM CSL_CITATION {"citationID":"zrEqfXw0","properties":{"formattedCitation":"\\super 3\\nosupersub{}","plainCitation":"3","noteIndex":0},"citationItems":[{"id":429,"uris":["http://zotero.org/groups/2384940/items/GARRD8E2"],"uri":["http://zotero.org/groups/2384940/items/GARRD8E2"],"itemData":{"id":429,"type":"speech","title":"The GCAM Shared Socioeconomic Pathways (SSPs)"}}],"schema":"https://github.com/citation-style-language/schema/raw/master/csl-citation.json"} </w:instrText>
            </w:r>
            <w:r>
              <w:rPr>
                <w:sz w:val="16"/>
                <w:szCs w:val="16"/>
              </w:rPr>
              <w:fldChar w:fldCharType="separate"/>
            </w:r>
            <w:r w:rsidRPr="00A035D1">
              <w:rPr>
                <w:sz w:val="16"/>
                <w:vertAlign w:val="superscript"/>
              </w:rPr>
              <w:t>3</w:t>
            </w:r>
            <w:r>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SSP2</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A035D1" w:rsidRPr="00A035D1" w:rsidRDefault="00A035D1" w:rsidP="00A035D1">
            <w:pPr>
              <w:pStyle w:val="NormalWeb"/>
              <w:spacing w:before="0" w:beforeAutospacing="0" w:after="0" w:afterAutospacing="0"/>
              <w:rPr>
                <w:sz w:val="16"/>
                <w:szCs w:val="16"/>
              </w:rPr>
            </w:pPr>
            <w:r w:rsidRPr="00A035D1">
              <w:rPr>
                <w:sz w:val="16"/>
                <w:szCs w:val="16"/>
              </w:rPr>
              <w:t>Middle of the Road</w:t>
            </w:r>
          </w:p>
          <w:p w:rsidR="00A035D1" w:rsidRPr="00A035D1" w:rsidRDefault="00A035D1" w:rsidP="00A035D1">
            <w:pPr>
              <w:pStyle w:val="NormalWeb"/>
              <w:numPr>
                <w:ilvl w:val="0"/>
                <w:numId w:val="7"/>
              </w:numPr>
              <w:ind w:left="167" w:hanging="167"/>
              <w:rPr>
                <w:sz w:val="16"/>
                <w:szCs w:val="16"/>
              </w:rPr>
            </w:pPr>
            <w:r w:rsidRPr="00A035D1">
              <w:rPr>
                <w:sz w:val="16"/>
                <w:szCs w:val="16"/>
              </w:rPr>
              <w:t xml:space="preserve">Current trends continue </w:t>
            </w:r>
          </w:p>
          <w:p w:rsidR="00A035D1" w:rsidRPr="00A035D1" w:rsidRDefault="00A035D1" w:rsidP="00A035D1">
            <w:pPr>
              <w:pStyle w:val="NormalWeb"/>
              <w:numPr>
                <w:ilvl w:val="0"/>
                <w:numId w:val="7"/>
              </w:numPr>
              <w:ind w:left="167" w:hanging="167"/>
              <w:rPr>
                <w:sz w:val="16"/>
                <w:szCs w:val="16"/>
              </w:rPr>
            </w:pPr>
            <w:r w:rsidRPr="00A035D1">
              <w:rPr>
                <w:sz w:val="16"/>
                <w:szCs w:val="16"/>
              </w:rPr>
              <w:t xml:space="preserve">Moderate population growth </w:t>
            </w:r>
          </w:p>
          <w:p w:rsidR="00A035D1" w:rsidRPr="00A035D1" w:rsidRDefault="00A035D1" w:rsidP="00A035D1">
            <w:pPr>
              <w:pStyle w:val="NormalWeb"/>
              <w:numPr>
                <w:ilvl w:val="0"/>
                <w:numId w:val="7"/>
              </w:numPr>
              <w:ind w:left="167" w:hanging="167"/>
              <w:rPr>
                <w:sz w:val="16"/>
                <w:szCs w:val="16"/>
              </w:rPr>
            </w:pPr>
            <w:r w:rsidRPr="00A035D1">
              <w:rPr>
                <w:sz w:val="16"/>
                <w:szCs w:val="16"/>
              </w:rPr>
              <w:t xml:space="preserve">Slowly converging incomes between industrialized and developing countries </w:t>
            </w:r>
          </w:p>
          <w:p w:rsidR="00A035D1" w:rsidRPr="00A035D1" w:rsidRDefault="00A035D1" w:rsidP="00A035D1">
            <w:pPr>
              <w:pStyle w:val="NormalWeb"/>
              <w:numPr>
                <w:ilvl w:val="0"/>
                <w:numId w:val="7"/>
              </w:numPr>
              <w:ind w:left="167" w:hanging="167"/>
              <w:rPr>
                <w:sz w:val="16"/>
                <w:szCs w:val="16"/>
              </w:rPr>
            </w:pPr>
            <w:r w:rsidRPr="00A035D1">
              <w:rPr>
                <w:sz w:val="16"/>
                <w:szCs w:val="16"/>
              </w:rPr>
              <w:t xml:space="preserve">Delayed MDG achievement </w:t>
            </w:r>
          </w:p>
          <w:p w:rsidR="00A035D1" w:rsidRDefault="00A035D1" w:rsidP="00A035D1">
            <w:pPr>
              <w:pStyle w:val="NormalWeb"/>
              <w:numPr>
                <w:ilvl w:val="0"/>
                <w:numId w:val="7"/>
              </w:numPr>
              <w:ind w:left="167" w:hanging="167"/>
              <w:rPr>
                <w:sz w:val="16"/>
                <w:szCs w:val="16"/>
              </w:rPr>
            </w:pPr>
            <w:r w:rsidRPr="00A035D1">
              <w:rPr>
                <w:sz w:val="16"/>
                <w:szCs w:val="16"/>
              </w:rPr>
              <w:t xml:space="preserve">Reductions in resource and energy intensity at historic rates </w:t>
            </w:r>
          </w:p>
          <w:p w:rsidR="00802DE1" w:rsidRDefault="00A035D1" w:rsidP="00A035D1">
            <w:pPr>
              <w:pStyle w:val="NormalWeb"/>
              <w:numPr>
                <w:ilvl w:val="0"/>
                <w:numId w:val="7"/>
              </w:numPr>
              <w:ind w:left="167" w:hanging="167"/>
              <w:rPr>
                <w:sz w:val="16"/>
                <w:szCs w:val="16"/>
              </w:rPr>
            </w:pPr>
            <w:r>
              <w:rPr>
                <w:sz w:val="16"/>
                <w:szCs w:val="16"/>
              </w:rPr>
              <w:t>E</w:t>
            </w:r>
            <w:r w:rsidRPr="00A035D1">
              <w:rPr>
                <w:sz w:val="16"/>
                <w:szCs w:val="16"/>
              </w:rPr>
              <w:t>nvironmental degradation</w:t>
            </w:r>
          </w:p>
          <w:p w:rsidR="003453B9" w:rsidRDefault="003453B9" w:rsidP="003453B9">
            <w:pPr>
              <w:pStyle w:val="NormalWeb"/>
              <w:spacing w:before="0" w:beforeAutospacing="0" w:after="0" w:afterAutospacing="0"/>
              <w:rPr>
                <w:sz w:val="16"/>
                <w:szCs w:val="16"/>
              </w:rPr>
            </w:pPr>
            <w:r>
              <w:rPr>
                <w:sz w:val="16"/>
                <w:szCs w:val="16"/>
              </w:rPr>
              <w:t xml:space="preserve">Technical change on extraction cost (% per year): Coal </w:t>
            </w:r>
            <w:r>
              <w:rPr>
                <w:sz w:val="16"/>
                <w:szCs w:val="16"/>
              </w:rPr>
              <w:t xml:space="preserve">- </w:t>
            </w:r>
            <w:r>
              <w:rPr>
                <w:sz w:val="16"/>
                <w:szCs w:val="16"/>
              </w:rPr>
              <w:t xml:space="preserve">0.5%, Gas - 0.5%, Conv. oil - 0.5%, Unconv. Oil </w:t>
            </w:r>
            <w:r>
              <w:rPr>
                <w:sz w:val="16"/>
                <w:szCs w:val="16"/>
              </w:rPr>
              <w:t>–</w:t>
            </w:r>
            <w:r>
              <w:rPr>
                <w:sz w:val="16"/>
                <w:szCs w:val="16"/>
              </w:rPr>
              <w:t xml:space="preserve"> 0</w:t>
            </w:r>
            <w:r>
              <w:rPr>
                <w:sz w:val="16"/>
                <w:szCs w:val="16"/>
              </w:rPr>
              <w:t>.5</w:t>
            </w:r>
            <w:r>
              <w:rPr>
                <w:sz w:val="16"/>
                <w:szCs w:val="16"/>
              </w:rPr>
              <w:t>%</w:t>
            </w:r>
            <w:r w:rsidR="00415039">
              <w:rPr>
                <w:sz w:val="16"/>
                <w:szCs w:val="16"/>
              </w:rPr>
              <w:t>.</w:t>
            </w:r>
          </w:p>
          <w:p w:rsidR="00415039" w:rsidRDefault="00415039" w:rsidP="003453B9">
            <w:pPr>
              <w:pStyle w:val="NormalWeb"/>
              <w:spacing w:before="0" w:beforeAutospacing="0" w:after="0" w:afterAutospacing="0"/>
              <w:rPr>
                <w:sz w:val="16"/>
                <w:szCs w:val="16"/>
              </w:rPr>
            </w:pPr>
          </w:p>
          <w:p w:rsidR="00415039" w:rsidRDefault="00415039" w:rsidP="00415039">
            <w:pPr>
              <w:pStyle w:val="NormalWeb"/>
              <w:spacing w:before="0" w:beforeAutospacing="0" w:after="0" w:afterAutospacing="0"/>
              <w:rPr>
                <w:sz w:val="16"/>
                <w:szCs w:val="16"/>
              </w:rPr>
            </w:pPr>
            <w:r>
              <w:rPr>
                <w:sz w:val="16"/>
                <w:szCs w:val="16"/>
              </w:rPr>
              <w:t>Cost</w:t>
            </w:r>
            <w:r w:rsidRPr="000C0F24">
              <w:rPr>
                <w:sz w:val="16"/>
                <w:szCs w:val="16"/>
              </w:rPr>
              <w:t xml:space="preserve"> </w:t>
            </w:r>
            <w:r>
              <w:rPr>
                <w:sz w:val="16"/>
                <w:szCs w:val="16"/>
              </w:rPr>
              <w:t>Adder in 2100 ($/GJ): Coal - $</w:t>
            </w:r>
            <w:r>
              <w:rPr>
                <w:sz w:val="16"/>
                <w:szCs w:val="16"/>
              </w:rPr>
              <w:t>0</w:t>
            </w:r>
            <w:r>
              <w:rPr>
                <w:sz w:val="16"/>
                <w:szCs w:val="16"/>
              </w:rPr>
              <w:t>.</w:t>
            </w:r>
            <w:r>
              <w:rPr>
                <w:sz w:val="16"/>
                <w:szCs w:val="16"/>
              </w:rPr>
              <w:t>2</w:t>
            </w:r>
            <w:r>
              <w:rPr>
                <w:sz w:val="16"/>
                <w:szCs w:val="16"/>
              </w:rPr>
              <w:t xml:space="preserve">7, Gas - $0.14, Conv. oil - $0.20, Unconv. Oil - $0.21. </w:t>
            </w:r>
          </w:p>
          <w:p w:rsidR="00415039" w:rsidRDefault="00415039" w:rsidP="003453B9">
            <w:pPr>
              <w:pStyle w:val="NormalWeb"/>
              <w:spacing w:before="0" w:beforeAutospacing="0" w:after="0" w:afterAutospacing="0"/>
              <w:rPr>
                <w:sz w:val="16"/>
                <w:szCs w:val="16"/>
              </w:rPr>
            </w:pPr>
          </w:p>
          <w:p w:rsidR="003453B9" w:rsidRPr="00802DE1" w:rsidRDefault="003453B9" w:rsidP="003453B9">
            <w:pPr>
              <w:pStyle w:val="NormalWeb"/>
              <w:rPr>
                <w:sz w:val="16"/>
                <w:szCs w:val="16"/>
              </w:rPr>
            </w:pP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802DE1" w:rsidRPr="00802DE1" w:rsidRDefault="00A035D1" w:rsidP="00802DE1">
            <w:pPr>
              <w:pStyle w:val="NormalWeb"/>
              <w:jc w:val="center"/>
              <w:rPr>
                <w:sz w:val="16"/>
                <w:szCs w:val="16"/>
              </w:rPr>
            </w:pPr>
            <w:r>
              <w:rPr>
                <w:sz w:val="16"/>
                <w:szCs w:val="16"/>
              </w:rPr>
              <w:fldChar w:fldCharType="begin"/>
            </w:r>
            <w:r>
              <w:rPr>
                <w:sz w:val="16"/>
                <w:szCs w:val="16"/>
              </w:rPr>
              <w:instrText xml:space="preserve"> ADDIN ZOTERO_ITEM CSL_CITATION {"citationID":"zrEqfXw0","properties":{"formattedCitation":"\\super 3\\nosupersub{}","plainCitation":"3","noteIndex":0},"citationItems":[{"id":429,"uris":["http://zotero.org/groups/2384940/items/GARRD8E2"],"uri":["http://zotero.org/groups/2384940/items/GARRD8E2"],"itemData":{"id":429,"type":"speech","title":"The GCAM Shared Socioeconomic Pathways (SSPs)"}}],"schema":"https://github.com/citation-style-language/schema/raw/master/csl-citation.json"} </w:instrText>
            </w:r>
            <w:r>
              <w:rPr>
                <w:sz w:val="16"/>
                <w:szCs w:val="16"/>
              </w:rPr>
              <w:fldChar w:fldCharType="separate"/>
            </w:r>
            <w:r w:rsidRPr="00A035D1">
              <w:rPr>
                <w:sz w:val="16"/>
                <w:vertAlign w:val="superscript"/>
              </w:rPr>
              <w:t>3</w:t>
            </w:r>
            <w:r>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SSP3</w:t>
            </w: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A035D1" w:rsidRDefault="00A035D1" w:rsidP="00A035D1">
            <w:pPr>
              <w:pStyle w:val="NormalWeb"/>
              <w:ind w:left="167"/>
              <w:rPr>
                <w:sz w:val="16"/>
                <w:szCs w:val="16"/>
              </w:rPr>
            </w:pPr>
            <w:r>
              <w:rPr>
                <w:sz w:val="16"/>
                <w:szCs w:val="16"/>
              </w:rPr>
              <w:t>Fragmentation</w:t>
            </w:r>
          </w:p>
          <w:p w:rsidR="00A035D1" w:rsidRPr="008C3EE2" w:rsidRDefault="00A035D1" w:rsidP="00A035D1">
            <w:pPr>
              <w:pStyle w:val="NormalWeb"/>
              <w:numPr>
                <w:ilvl w:val="0"/>
                <w:numId w:val="7"/>
              </w:numPr>
              <w:ind w:left="167" w:hanging="167"/>
              <w:rPr>
                <w:sz w:val="16"/>
                <w:szCs w:val="16"/>
              </w:rPr>
            </w:pPr>
            <w:r w:rsidRPr="008C3EE2">
              <w:rPr>
                <w:sz w:val="16"/>
                <w:szCs w:val="16"/>
              </w:rPr>
              <w:t>Rapid popula</w:t>
            </w:r>
            <w:r>
              <w:rPr>
                <w:sz w:val="16"/>
                <w:szCs w:val="16"/>
              </w:rPr>
              <w:t>ti</w:t>
            </w:r>
            <w:r w:rsidRPr="008C3EE2">
              <w:rPr>
                <w:sz w:val="16"/>
                <w:szCs w:val="16"/>
              </w:rPr>
              <w:t>on growth</w:t>
            </w:r>
          </w:p>
          <w:p w:rsidR="00A035D1" w:rsidRPr="008C3EE2" w:rsidRDefault="00A035D1" w:rsidP="00A035D1">
            <w:pPr>
              <w:pStyle w:val="NormalWeb"/>
              <w:numPr>
                <w:ilvl w:val="0"/>
                <w:numId w:val="7"/>
              </w:numPr>
              <w:ind w:left="167" w:hanging="167"/>
              <w:rPr>
                <w:sz w:val="16"/>
                <w:szCs w:val="16"/>
              </w:rPr>
            </w:pPr>
            <w:r w:rsidRPr="008C3EE2">
              <w:rPr>
                <w:sz w:val="16"/>
                <w:szCs w:val="16"/>
              </w:rPr>
              <w:t xml:space="preserve">Slow economic growth </w:t>
            </w:r>
          </w:p>
          <w:p w:rsidR="00A035D1" w:rsidRPr="008C3EE2" w:rsidRDefault="00A035D1" w:rsidP="00A035D1">
            <w:pPr>
              <w:pStyle w:val="NormalWeb"/>
              <w:numPr>
                <w:ilvl w:val="0"/>
                <w:numId w:val="7"/>
              </w:numPr>
              <w:ind w:left="167" w:hanging="167"/>
              <w:rPr>
                <w:sz w:val="16"/>
                <w:szCs w:val="16"/>
              </w:rPr>
            </w:pPr>
            <w:r w:rsidRPr="008C3EE2">
              <w:rPr>
                <w:sz w:val="16"/>
                <w:szCs w:val="16"/>
              </w:rPr>
              <w:t xml:space="preserve">Failing to achieve MDG </w:t>
            </w:r>
          </w:p>
          <w:p w:rsidR="00A035D1" w:rsidRPr="008C3EE2" w:rsidRDefault="00A035D1" w:rsidP="00A035D1">
            <w:pPr>
              <w:pStyle w:val="NormalWeb"/>
              <w:numPr>
                <w:ilvl w:val="0"/>
                <w:numId w:val="7"/>
              </w:numPr>
              <w:ind w:left="167" w:hanging="167"/>
              <w:rPr>
                <w:sz w:val="16"/>
                <w:szCs w:val="16"/>
              </w:rPr>
            </w:pPr>
            <w:r w:rsidRPr="008C3EE2">
              <w:rPr>
                <w:sz w:val="16"/>
                <w:szCs w:val="16"/>
              </w:rPr>
              <w:t xml:space="preserve">High resource intensity and fossil fuel dependency </w:t>
            </w:r>
          </w:p>
          <w:p w:rsidR="00A035D1" w:rsidRPr="008C3EE2" w:rsidRDefault="00A035D1" w:rsidP="00A035D1">
            <w:pPr>
              <w:pStyle w:val="NormalWeb"/>
              <w:numPr>
                <w:ilvl w:val="0"/>
                <w:numId w:val="7"/>
              </w:numPr>
              <w:ind w:left="167" w:hanging="167"/>
              <w:rPr>
                <w:sz w:val="16"/>
                <w:szCs w:val="16"/>
              </w:rPr>
            </w:pPr>
            <w:r w:rsidRPr="008C3EE2">
              <w:rPr>
                <w:sz w:val="16"/>
                <w:szCs w:val="16"/>
              </w:rPr>
              <w:t>Low investments in technology development and educa</w:t>
            </w:r>
            <w:r>
              <w:rPr>
                <w:sz w:val="16"/>
                <w:szCs w:val="16"/>
              </w:rPr>
              <w:t>ti</w:t>
            </w:r>
            <w:r w:rsidRPr="008C3EE2">
              <w:rPr>
                <w:sz w:val="16"/>
                <w:szCs w:val="16"/>
              </w:rPr>
              <w:t xml:space="preserve">on </w:t>
            </w:r>
          </w:p>
          <w:p w:rsidR="00A035D1" w:rsidRDefault="00A035D1" w:rsidP="00A035D1">
            <w:pPr>
              <w:pStyle w:val="NormalWeb"/>
              <w:numPr>
                <w:ilvl w:val="0"/>
                <w:numId w:val="7"/>
              </w:numPr>
              <w:ind w:left="167" w:hanging="167"/>
              <w:rPr>
                <w:sz w:val="16"/>
                <w:szCs w:val="16"/>
              </w:rPr>
            </w:pPr>
            <w:r w:rsidRPr="008C3EE2">
              <w:rPr>
                <w:sz w:val="16"/>
                <w:szCs w:val="16"/>
              </w:rPr>
              <w:t>Unplanned se</w:t>
            </w:r>
            <w:r>
              <w:rPr>
                <w:sz w:val="16"/>
                <w:szCs w:val="16"/>
              </w:rPr>
              <w:t>tt</w:t>
            </w:r>
            <w:r w:rsidRPr="008C3EE2">
              <w:rPr>
                <w:sz w:val="16"/>
                <w:szCs w:val="16"/>
              </w:rPr>
              <w:t>lements</w:t>
            </w:r>
          </w:p>
          <w:p w:rsidR="00802DE1" w:rsidRDefault="00A035D1" w:rsidP="00A035D1">
            <w:pPr>
              <w:pStyle w:val="NormalWeb"/>
              <w:numPr>
                <w:ilvl w:val="0"/>
                <w:numId w:val="7"/>
              </w:numPr>
              <w:ind w:left="167" w:hanging="167"/>
              <w:rPr>
                <w:sz w:val="16"/>
                <w:szCs w:val="16"/>
              </w:rPr>
            </w:pPr>
            <w:r w:rsidRPr="00A035D1">
              <w:rPr>
                <w:sz w:val="16"/>
                <w:szCs w:val="16"/>
              </w:rPr>
              <w:t>Weak int’l governance and local institutions</w:t>
            </w:r>
          </w:p>
          <w:p w:rsidR="003453B9" w:rsidRDefault="003453B9" w:rsidP="003453B9">
            <w:pPr>
              <w:pStyle w:val="NormalWeb"/>
              <w:spacing w:before="0" w:beforeAutospacing="0" w:after="0" w:afterAutospacing="0"/>
              <w:rPr>
                <w:sz w:val="16"/>
                <w:szCs w:val="16"/>
              </w:rPr>
            </w:pPr>
            <w:r>
              <w:rPr>
                <w:sz w:val="16"/>
                <w:szCs w:val="16"/>
              </w:rPr>
              <w:lastRenderedPageBreak/>
              <w:t xml:space="preserve">Technical change on extraction cost (% per year): Coal </w:t>
            </w:r>
            <w:r>
              <w:rPr>
                <w:sz w:val="16"/>
                <w:szCs w:val="16"/>
              </w:rPr>
              <w:t>– 1.0</w:t>
            </w:r>
            <w:r>
              <w:rPr>
                <w:sz w:val="16"/>
                <w:szCs w:val="16"/>
              </w:rPr>
              <w:t xml:space="preserve">%, Gas - 0.5%, Conv. oil - 0.5%, Unconv. Oil </w:t>
            </w:r>
            <w:r>
              <w:rPr>
                <w:sz w:val="16"/>
                <w:szCs w:val="16"/>
              </w:rPr>
              <w:t>–</w:t>
            </w:r>
            <w:r>
              <w:rPr>
                <w:sz w:val="16"/>
                <w:szCs w:val="16"/>
              </w:rPr>
              <w:t xml:space="preserve"> 0</w:t>
            </w:r>
            <w:r>
              <w:rPr>
                <w:sz w:val="16"/>
                <w:szCs w:val="16"/>
              </w:rPr>
              <w:t>.5</w:t>
            </w:r>
            <w:r>
              <w:rPr>
                <w:sz w:val="16"/>
                <w:szCs w:val="16"/>
              </w:rPr>
              <w:t>%</w:t>
            </w:r>
            <w:r w:rsidR="00415039">
              <w:rPr>
                <w:sz w:val="16"/>
                <w:szCs w:val="16"/>
              </w:rPr>
              <w:t>.</w:t>
            </w:r>
          </w:p>
          <w:p w:rsidR="00415039" w:rsidRDefault="00415039" w:rsidP="003453B9">
            <w:pPr>
              <w:pStyle w:val="NormalWeb"/>
              <w:spacing w:before="0" w:beforeAutospacing="0" w:after="0" w:afterAutospacing="0"/>
              <w:rPr>
                <w:sz w:val="16"/>
                <w:szCs w:val="16"/>
              </w:rPr>
            </w:pPr>
          </w:p>
          <w:p w:rsidR="00415039" w:rsidRDefault="00415039" w:rsidP="00415039">
            <w:pPr>
              <w:pStyle w:val="NormalWeb"/>
              <w:spacing w:before="0" w:beforeAutospacing="0" w:after="0" w:afterAutospacing="0"/>
              <w:rPr>
                <w:sz w:val="16"/>
                <w:szCs w:val="16"/>
              </w:rPr>
            </w:pPr>
            <w:r>
              <w:rPr>
                <w:sz w:val="16"/>
                <w:szCs w:val="16"/>
              </w:rPr>
              <w:t>Cost</w:t>
            </w:r>
            <w:r w:rsidRPr="000C0F24">
              <w:rPr>
                <w:sz w:val="16"/>
                <w:szCs w:val="16"/>
              </w:rPr>
              <w:t xml:space="preserve"> </w:t>
            </w:r>
            <w:r>
              <w:rPr>
                <w:sz w:val="16"/>
                <w:szCs w:val="16"/>
              </w:rPr>
              <w:t>Adder in 2100 ($/GJ): Coal - $</w:t>
            </w:r>
            <w:r>
              <w:rPr>
                <w:sz w:val="16"/>
                <w:szCs w:val="16"/>
              </w:rPr>
              <w:t>0.0</w:t>
            </w:r>
            <w:r>
              <w:rPr>
                <w:sz w:val="16"/>
                <w:szCs w:val="16"/>
              </w:rPr>
              <w:t xml:space="preserve">, Gas - $0.14, Conv. oil - $0.20, Unconv. Oil - $0.21. </w:t>
            </w:r>
          </w:p>
          <w:p w:rsidR="00415039" w:rsidRDefault="00415039" w:rsidP="003453B9">
            <w:pPr>
              <w:pStyle w:val="NormalWeb"/>
              <w:spacing w:before="0" w:beforeAutospacing="0" w:after="0" w:afterAutospacing="0"/>
              <w:rPr>
                <w:sz w:val="16"/>
                <w:szCs w:val="16"/>
              </w:rPr>
            </w:pPr>
          </w:p>
          <w:p w:rsidR="003453B9" w:rsidRPr="00802DE1" w:rsidRDefault="003453B9" w:rsidP="003453B9">
            <w:pPr>
              <w:pStyle w:val="NormalWeb"/>
              <w:rPr>
                <w:sz w:val="16"/>
                <w:szCs w:val="16"/>
              </w:rPr>
            </w:pP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A035D1" w:rsidP="00802DE1">
            <w:pPr>
              <w:pStyle w:val="NormalWeb"/>
              <w:jc w:val="center"/>
              <w:rPr>
                <w:sz w:val="16"/>
                <w:szCs w:val="16"/>
              </w:rPr>
            </w:pPr>
            <w:r>
              <w:rPr>
                <w:sz w:val="16"/>
                <w:szCs w:val="16"/>
              </w:rPr>
              <w:fldChar w:fldCharType="begin"/>
            </w:r>
            <w:r>
              <w:rPr>
                <w:sz w:val="16"/>
                <w:szCs w:val="16"/>
              </w:rPr>
              <w:instrText xml:space="preserve"> ADDIN ZOTERO_ITEM CSL_CITATION {"citationID":"zrEqfXw0","properties":{"formattedCitation":"\\super 3\\nosupersub{}","plainCitation":"3","noteIndex":0},"citationItems":[{"id":429,"uris":["http://zotero.org/groups/2384940/items/GARRD8E2"],"uri":["http://zotero.org/groups/2384940/items/GARRD8E2"],"itemData":{"id":429,"type":"speech","title":"The GCAM Shared Socioeconomic Pathways (SSPs)"}}],"schema":"https://github.com/citation-style-language/schema/raw/master/csl-citation.json"} </w:instrText>
            </w:r>
            <w:r>
              <w:rPr>
                <w:sz w:val="16"/>
                <w:szCs w:val="16"/>
              </w:rPr>
              <w:fldChar w:fldCharType="separate"/>
            </w:r>
            <w:r w:rsidRPr="00A035D1">
              <w:rPr>
                <w:sz w:val="16"/>
                <w:vertAlign w:val="superscript"/>
              </w:rPr>
              <w:t>3</w:t>
            </w:r>
            <w:r>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SSP4</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A035D1" w:rsidRDefault="00A035D1" w:rsidP="00A035D1">
            <w:pPr>
              <w:pStyle w:val="NormalWeb"/>
              <w:spacing w:before="0" w:beforeAutospacing="0" w:after="0" w:afterAutospacing="0"/>
              <w:rPr>
                <w:sz w:val="16"/>
                <w:szCs w:val="16"/>
              </w:rPr>
            </w:pPr>
            <w:r>
              <w:rPr>
                <w:sz w:val="16"/>
                <w:szCs w:val="16"/>
              </w:rPr>
              <w:t>Inequality</w:t>
            </w:r>
          </w:p>
          <w:p w:rsidR="00A035D1" w:rsidRPr="008C3EE2" w:rsidRDefault="00A035D1" w:rsidP="00A035D1">
            <w:pPr>
              <w:pStyle w:val="NormalWeb"/>
              <w:numPr>
                <w:ilvl w:val="0"/>
                <w:numId w:val="7"/>
              </w:numPr>
              <w:ind w:left="167" w:hanging="167"/>
              <w:rPr>
                <w:sz w:val="16"/>
                <w:szCs w:val="16"/>
              </w:rPr>
            </w:pPr>
            <w:r w:rsidRPr="008C3EE2">
              <w:rPr>
                <w:sz w:val="16"/>
                <w:szCs w:val="16"/>
              </w:rPr>
              <w:t>Increasing inequality within and across countries</w:t>
            </w:r>
          </w:p>
          <w:p w:rsidR="00A035D1" w:rsidRPr="008C3EE2" w:rsidRDefault="00A035D1" w:rsidP="00A035D1">
            <w:pPr>
              <w:pStyle w:val="NormalWeb"/>
              <w:numPr>
                <w:ilvl w:val="0"/>
                <w:numId w:val="7"/>
              </w:numPr>
              <w:ind w:left="167" w:hanging="167"/>
              <w:rPr>
                <w:sz w:val="16"/>
                <w:szCs w:val="16"/>
              </w:rPr>
            </w:pPr>
            <w:r w:rsidRPr="008C3EE2">
              <w:rPr>
                <w:sz w:val="16"/>
                <w:szCs w:val="16"/>
              </w:rPr>
              <w:t>Effec</w:t>
            </w:r>
            <w:r>
              <w:rPr>
                <w:sz w:val="16"/>
                <w:szCs w:val="16"/>
              </w:rPr>
              <w:t>ti</w:t>
            </w:r>
            <w:r w:rsidRPr="008C3EE2">
              <w:rPr>
                <w:sz w:val="16"/>
                <w:szCs w:val="16"/>
              </w:rPr>
              <w:t>ve governance controlled by a small number of rich global elites</w:t>
            </w:r>
          </w:p>
          <w:p w:rsidR="00A035D1" w:rsidRPr="008C3EE2" w:rsidRDefault="00A035D1" w:rsidP="00A035D1">
            <w:pPr>
              <w:pStyle w:val="NormalWeb"/>
              <w:numPr>
                <w:ilvl w:val="0"/>
                <w:numId w:val="7"/>
              </w:numPr>
              <w:ind w:left="167" w:hanging="167"/>
              <w:rPr>
                <w:sz w:val="16"/>
                <w:szCs w:val="16"/>
              </w:rPr>
            </w:pPr>
            <w:r w:rsidRPr="008C3EE2">
              <w:rPr>
                <w:sz w:val="16"/>
                <w:szCs w:val="16"/>
              </w:rPr>
              <w:t>Most of popula</w:t>
            </w:r>
            <w:r>
              <w:rPr>
                <w:sz w:val="16"/>
                <w:szCs w:val="16"/>
              </w:rPr>
              <w:t>ti</w:t>
            </w:r>
            <w:r w:rsidRPr="008C3EE2">
              <w:rPr>
                <w:sz w:val="16"/>
                <w:szCs w:val="16"/>
              </w:rPr>
              <w:t>ons with limited access to higher educa</w:t>
            </w:r>
            <w:r>
              <w:rPr>
                <w:sz w:val="16"/>
                <w:szCs w:val="16"/>
              </w:rPr>
              <w:t>ti</w:t>
            </w:r>
            <w:r w:rsidRPr="008C3EE2">
              <w:rPr>
                <w:sz w:val="16"/>
                <w:szCs w:val="16"/>
              </w:rPr>
              <w:t>on and basic services</w:t>
            </w:r>
          </w:p>
          <w:p w:rsidR="00A035D1" w:rsidRDefault="00A035D1" w:rsidP="00A035D1">
            <w:pPr>
              <w:pStyle w:val="NormalWeb"/>
              <w:numPr>
                <w:ilvl w:val="0"/>
                <w:numId w:val="7"/>
              </w:numPr>
              <w:ind w:left="167" w:hanging="167"/>
              <w:rPr>
                <w:sz w:val="16"/>
                <w:szCs w:val="16"/>
              </w:rPr>
            </w:pPr>
            <w:r w:rsidRPr="008C3EE2">
              <w:rPr>
                <w:sz w:val="16"/>
                <w:szCs w:val="16"/>
              </w:rPr>
              <w:t>Energy tech R&amp;D made by global energy corpora</w:t>
            </w:r>
            <w:r>
              <w:rPr>
                <w:sz w:val="16"/>
                <w:szCs w:val="16"/>
              </w:rPr>
              <w:t>ti</w:t>
            </w:r>
            <w:r w:rsidRPr="008C3EE2">
              <w:rPr>
                <w:sz w:val="16"/>
                <w:szCs w:val="16"/>
              </w:rPr>
              <w:t>ons</w:t>
            </w:r>
          </w:p>
          <w:p w:rsidR="00802DE1" w:rsidRDefault="00A035D1" w:rsidP="00A035D1">
            <w:pPr>
              <w:pStyle w:val="NormalWeb"/>
              <w:numPr>
                <w:ilvl w:val="0"/>
                <w:numId w:val="7"/>
              </w:numPr>
              <w:ind w:left="167" w:hanging="167"/>
              <w:rPr>
                <w:sz w:val="16"/>
                <w:szCs w:val="16"/>
              </w:rPr>
            </w:pPr>
            <w:r w:rsidRPr="008C3EE2">
              <w:rPr>
                <w:sz w:val="16"/>
                <w:szCs w:val="16"/>
              </w:rPr>
              <w:t>Low social coh</w:t>
            </w:r>
            <w:r>
              <w:rPr>
                <w:sz w:val="16"/>
                <w:szCs w:val="16"/>
              </w:rPr>
              <w:t>esion</w:t>
            </w:r>
          </w:p>
          <w:p w:rsidR="003453B9" w:rsidRDefault="003453B9" w:rsidP="003453B9">
            <w:pPr>
              <w:pStyle w:val="NormalWeb"/>
              <w:spacing w:before="0" w:beforeAutospacing="0" w:after="0" w:afterAutospacing="0"/>
              <w:rPr>
                <w:sz w:val="16"/>
                <w:szCs w:val="16"/>
              </w:rPr>
            </w:pPr>
            <w:r>
              <w:rPr>
                <w:sz w:val="16"/>
                <w:szCs w:val="16"/>
              </w:rPr>
              <w:t xml:space="preserve">Technical change on extraction cost (% per year): Coal – </w:t>
            </w:r>
            <w:r>
              <w:rPr>
                <w:sz w:val="16"/>
                <w:szCs w:val="16"/>
              </w:rPr>
              <w:t>0</w:t>
            </w:r>
            <w:r>
              <w:rPr>
                <w:sz w:val="16"/>
                <w:szCs w:val="16"/>
              </w:rPr>
              <w:t>.</w:t>
            </w:r>
            <w:r>
              <w:rPr>
                <w:sz w:val="16"/>
                <w:szCs w:val="16"/>
              </w:rPr>
              <w:t>5</w:t>
            </w:r>
            <w:r>
              <w:rPr>
                <w:sz w:val="16"/>
                <w:szCs w:val="16"/>
              </w:rPr>
              <w:t xml:space="preserve">%, Gas - </w:t>
            </w:r>
            <w:r>
              <w:rPr>
                <w:sz w:val="16"/>
                <w:szCs w:val="16"/>
              </w:rPr>
              <w:t>1</w:t>
            </w:r>
            <w:r>
              <w:rPr>
                <w:sz w:val="16"/>
                <w:szCs w:val="16"/>
              </w:rPr>
              <w:t xml:space="preserve">%, Conv. oil - </w:t>
            </w:r>
            <w:r>
              <w:rPr>
                <w:sz w:val="16"/>
                <w:szCs w:val="16"/>
              </w:rPr>
              <w:t>1</w:t>
            </w:r>
            <w:r>
              <w:rPr>
                <w:sz w:val="16"/>
                <w:szCs w:val="16"/>
              </w:rPr>
              <w:t xml:space="preserve">%, Unconv. Oil – </w:t>
            </w:r>
            <w:r>
              <w:rPr>
                <w:sz w:val="16"/>
                <w:szCs w:val="16"/>
              </w:rPr>
              <w:t>2</w:t>
            </w:r>
            <w:r>
              <w:rPr>
                <w:sz w:val="16"/>
                <w:szCs w:val="16"/>
              </w:rPr>
              <w:t>%</w:t>
            </w:r>
            <w:r w:rsidR="00415039">
              <w:rPr>
                <w:sz w:val="16"/>
                <w:szCs w:val="16"/>
              </w:rPr>
              <w:t>.</w:t>
            </w:r>
          </w:p>
          <w:p w:rsidR="00415039" w:rsidRDefault="00415039" w:rsidP="003453B9">
            <w:pPr>
              <w:pStyle w:val="NormalWeb"/>
              <w:spacing w:before="0" w:beforeAutospacing="0" w:after="0" w:afterAutospacing="0"/>
              <w:rPr>
                <w:sz w:val="16"/>
                <w:szCs w:val="16"/>
              </w:rPr>
            </w:pPr>
          </w:p>
          <w:p w:rsidR="00415039" w:rsidRDefault="00415039" w:rsidP="00415039">
            <w:pPr>
              <w:pStyle w:val="NormalWeb"/>
              <w:spacing w:before="0" w:beforeAutospacing="0" w:after="0" w:afterAutospacing="0"/>
              <w:rPr>
                <w:sz w:val="16"/>
                <w:szCs w:val="16"/>
              </w:rPr>
            </w:pPr>
            <w:r>
              <w:rPr>
                <w:sz w:val="16"/>
                <w:szCs w:val="16"/>
              </w:rPr>
              <w:t>Cost</w:t>
            </w:r>
            <w:r w:rsidRPr="000C0F24">
              <w:rPr>
                <w:sz w:val="16"/>
                <w:szCs w:val="16"/>
              </w:rPr>
              <w:t xml:space="preserve"> </w:t>
            </w:r>
            <w:r>
              <w:rPr>
                <w:sz w:val="16"/>
                <w:szCs w:val="16"/>
              </w:rPr>
              <w:t>Adder in 2100 ($/GJ): Coal - $</w:t>
            </w:r>
            <w:r>
              <w:rPr>
                <w:sz w:val="16"/>
                <w:szCs w:val="16"/>
              </w:rPr>
              <w:t>0</w:t>
            </w:r>
            <w:r>
              <w:rPr>
                <w:sz w:val="16"/>
                <w:szCs w:val="16"/>
              </w:rPr>
              <w:t>.</w:t>
            </w:r>
            <w:r>
              <w:rPr>
                <w:sz w:val="16"/>
                <w:szCs w:val="16"/>
              </w:rPr>
              <w:t>2</w:t>
            </w:r>
            <w:r>
              <w:rPr>
                <w:sz w:val="16"/>
                <w:szCs w:val="16"/>
              </w:rPr>
              <w:t>7, Gas - $0.</w:t>
            </w:r>
            <w:r>
              <w:rPr>
                <w:sz w:val="16"/>
                <w:szCs w:val="16"/>
              </w:rPr>
              <w:t>71</w:t>
            </w:r>
            <w:r>
              <w:rPr>
                <w:sz w:val="16"/>
                <w:szCs w:val="16"/>
              </w:rPr>
              <w:t>, Conv. oil - $0.</w:t>
            </w:r>
            <w:r>
              <w:rPr>
                <w:sz w:val="16"/>
                <w:szCs w:val="16"/>
              </w:rPr>
              <w:t>98</w:t>
            </w:r>
            <w:r>
              <w:rPr>
                <w:sz w:val="16"/>
                <w:szCs w:val="16"/>
              </w:rPr>
              <w:t>, Unconv. Oil - $</w:t>
            </w:r>
            <w:r>
              <w:rPr>
                <w:sz w:val="16"/>
                <w:szCs w:val="16"/>
              </w:rPr>
              <w:t>1.06</w:t>
            </w:r>
            <w:r>
              <w:rPr>
                <w:sz w:val="16"/>
                <w:szCs w:val="16"/>
              </w:rPr>
              <w:t xml:space="preserve">. </w:t>
            </w:r>
          </w:p>
          <w:p w:rsidR="00415039" w:rsidRDefault="00415039" w:rsidP="003453B9">
            <w:pPr>
              <w:pStyle w:val="NormalWeb"/>
              <w:spacing w:before="0" w:beforeAutospacing="0" w:after="0" w:afterAutospacing="0"/>
              <w:rPr>
                <w:sz w:val="16"/>
                <w:szCs w:val="16"/>
              </w:rPr>
            </w:pPr>
          </w:p>
          <w:p w:rsidR="003453B9" w:rsidRPr="00802DE1" w:rsidRDefault="003453B9" w:rsidP="003453B9">
            <w:pPr>
              <w:pStyle w:val="NormalWeb"/>
              <w:rPr>
                <w:sz w:val="16"/>
                <w:szCs w:val="16"/>
              </w:rPr>
            </w:pP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802DE1" w:rsidRPr="00802DE1" w:rsidRDefault="00A035D1" w:rsidP="00802DE1">
            <w:pPr>
              <w:pStyle w:val="NormalWeb"/>
              <w:jc w:val="center"/>
              <w:rPr>
                <w:sz w:val="16"/>
                <w:szCs w:val="16"/>
              </w:rPr>
            </w:pPr>
            <w:r>
              <w:rPr>
                <w:sz w:val="16"/>
                <w:szCs w:val="16"/>
              </w:rPr>
              <w:fldChar w:fldCharType="begin"/>
            </w:r>
            <w:r>
              <w:rPr>
                <w:sz w:val="16"/>
                <w:szCs w:val="16"/>
              </w:rPr>
              <w:instrText xml:space="preserve"> ADDIN ZOTERO_ITEM CSL_CITATION {"citationID":"zrEqfXw0","properties":{"formattedCitation":"\\super 3\\nosupersub{}","plainCitation":"3","noteIndex":0},"citationItems":[{"id":429,"uris":["http://zotero.org/groups/2384940/items/GARRD8E2"],"uri":["http://zotero.org/groups/2384940/items/GARRD8E2"],"itemData":{"id":429,"type":"speech","title":"The GCAM Shared Socioeconomic Pathways (SSPs)"}}],"schema":"https://github.com/citation-style-language/schema/raw/master/csl-citation.json"} </w:instrText>
            </w:r>
            <w:r>
              <w:rPr>
                <w:sz w:val="16"/>
                <w:szCs w:val="16"/>
              </w:rPr>
              <w:fldChar w:fldCharType="separate"/>
            </w:r>
            <w:r w:rsidRPr="00A035D1">
              <w:rPr>
                <w:sz w:val="16"/>
                <w:vertAlign w:val="superscript"/>
              </w:rPr>
              <w:t>3</w:t>
            </w:r>
            <w:r>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SSP5</w:t>
            </w: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A035D1" w:rsidRDefault="00A035D1" w:rsidP="00A035D1">
            <w:pPr>
              <w:pStyle w:val="NormalWeb"/>
              <w:spacing w:before="0" w:beforeAutospacing="0" w:after="0" w:afterAutospacing="0"/>
              <w:rPr>
                <w:sz w:val="16"/>
                <w:szCs w:val="16"/>
              </w:rPr>
            </w:pPr>
            <w:r>
              <w:rPr>
                <w:sz w:val="16"/>
                <w:szCs w:val="16"/>
              </w:rPr>
              <w:t>Conventional Development</w:t>
            </w:r>
          </w:p>
          <w:p w:rsidR="00A035D1" w:rsidRDefault="00A035D1" w:rsidP="00A035D1">
            <w:pPr>
              <w:pStyle w:val="NormalWeb"/>
              <w:numPr>
                <w:ilvl w:val="0"/>
                <w:numId w:val="7"/>
              </w:numPr>
              <w:ind w:left="167" w:hanging="167"/>
              <w:rPr>
                <w:sz w:val="16"/>
                <w:szCs w:val="16"/>
              </w:rPr>
            </w:pPr>
            <w:r w:rsidRPr="0079718A">
              <w:rPr>
                <w:sz w:val="16"/>
                <w:szCs w:val="16"/>
              </w:rPr>
              <w:t>Rapid economic development</w:t>
            </w:r>
          </w:p>
          <w:p w:rsidR="00A035D1" w:rsidRDefault="00A035D1" w:rsidP="00A035D1">
            <w:pPr>
              <w:pStyle w:val="NormalWeb"/>
              <w:numPr>
                <w:ilvl w:val="0"/>
                <w:numId w:val="7"/>
              </w:numPr>
              <w:ind w:left="167" w:hanging="167"/>
              <w:rPr>
                <w:sz w:val="16"/>
                <w:szCs w:val="16"/>
              </w:rPr>
            </w:pPr>
            <w:r w:rsidRPr="00A86F83">
              <w:rPr>
                <w:sz w:val="16"/>
                <w:szCs w:val="16"/>
              </w:rPr>
              <w:t>Stabilizing population</w:t>
            </w:r>
          </w:p>
          <w:p w:rsidR="00A035D1" w:rsidRDefault="00A035D1" w:rsidP="00A035D1">
            <w:pPr>
              <w:pStyle w:val="NormalWeb"/>
              <w:numPr>
                <w:ilvl w:val="0"/>
                <w:numId w:val="7"/>
              </w:numPr>
              <w:ind w:left="167" w:hanging="167"/>
              <w:rPr>
                <w:sz w:val="16"/>
                <w:szCs w:val="16"/>
              </w:rPr>
            </w:pPr>
            <w:r w:rsidRPr="00A86F83">
              <w:rPr>
                <w:sz w:val="16"/>
                <w:szCs w:val="16"/>
              </w:rPr>
              <w:t>Consumeris</w:t>
            </w:r>
            <w:r>
              <w:rPr>
                <w:sz w:val="16"/>
                <w:szCs w:val="16"/>
              </w:rPr>
              <w:t>m</w:t>
            </w:r>
          </w:p>
          <w:p w:rsidR="00A035D1" w:rsidRDefault="00A035D1" w:rsidP="00A035D1">
            <w:pPr>
              <w:pStyle w:val="NormalWeb"/>
              <w:numPr>
                <w:ilvl w:val="0"/>
                <w:numId w:val="7"/>
              </w:numPr>
              <w:ind w:left="167" w:hanging="167"/>
              <w:rPr>
                <w:sz w:val="16"/>
                <w:szCs w:val="16"/>
              </w:rPr>
            </w:pPr>
            <w:r w:rsidRPr="00A86F83">
              <w:rPr>
                <w:sz w:val="16"/>
                <w:szCs w:val="16"/>
              </w:rPr>
              <w:t>High fossil fuel dependency</w:t>
            </w:r>
          </w:p>
          <w:p w:rsidR="00A035D1" w:rsidRDefault="00A035D1" w:rsidP="00A035D1">
            <w:pPr>
              <w:pStyle w:val="NormalWeb"/>
              <w:numPr>
                <w:ilvl w:val="0"/>
                <w:numId w:val="7"/>
              </w:numPr>
              <w:ind w:left="167" w:hanging="167"/>
              <w:rPr>
                <w:sz w:val="16"/>
                <w:szCs w:val="16"/>
              </w:rPr>
            </w:pPr>
            <w:r w:rsidRPr="00A86F83">
              <w:rPr>
                <w:sz w:val="16"/>
                <w:szCs w:val="16"/>
              </w:rPr>
              <w:t>Eradica</w:t>
            </w:r>
            <w:r>
              <w:rPr>
                <w:sz w:val="16"/>
                <w:szCs w:val="16"/>
              </w:rPr>
              <w:t>ti</w:t>
            </w:r>
            <w:r w:rsidRPr="00A86F83">
              <w:rPr>
                <w:sz w:val="16"/>
                <w:szCs w:val="16"/>
              </w:rPr>
              <w:t>on of extreme poverty and universal access to educa</w:t>
            </w:r>
            <w:r>
              <w:rPr>
                <w:sz w:val="16"/>
                <w:szCs w:val="16"/>
              </w:rPr>
              <w:t>ti</w:t>
            </w:r>
            <w:r w:rsidRPr="00A86F83">
              <w:rPr>
                <w:sz w:val="16"/>
                <w:szCs w:val="16"/>
              </w:rPr>
              <w:t>on and basic services</w:t>
            </w:r>
          </w:p>
          <w:p w:rsidR="00802DE1" w:rsidRDefault="00A035D1" w:rsidP="00A035D1">
            <w:pPr>
              <w:pStyle w:val="NormalWeb"/>
              <w:numPr>
                <w:ilvl w:val="0"/>
                <w:numId w:val="7"/>
              </w:numPr>
              <w:ind w:left="167" w:hanging="167"/>
              <w:rPr>
                <w:sz w:val="16"/>
                <w:szCs w:val="16"/>
              </w:rPr>
            </w:pPr>
            <w:r w:rsidRPr="00A035D1">
              <w:rPr>
                <w:sz w:val="16"/>
                <w:szCs w:val="16"/>
              </w:rPr>
              <w:t>Highly engineered infrastructure and ecosystems</w:t>
            </w:r>
          </w:p>
          <w:p w:rsidR="003453B9" w:rsidRDefault="003453B9" w:rsidP="003453B9">
            <w:pPr>
              <w:pStyle w:val="NormalWeb"/>
              <w:spacing w:before="0" w:beforeAutospacing="0" w:after="0" w:afterAutospacing="0"/>
              <w:rPr>
                <w:sz w:val="16"/>
                <w:szCs w:val="16"/>
              </w:rPr>
            </w:pPr>
            <w:r>
              <w:rPr>
                <w:sz w:val="16"/>
                <w:szCs w:val="16"/>
              </w:rPr>
              <w:t xml:space="preserve">Technical change on extraction cost (% per year): Coal – </w:t>
            </w:r>
            <w:r w:rsidR="00415039">
              <w:rPr>
                <w:sz w:val="16"/>
                <w:szCs w:val="16"/>
              </w:rPr>
              <w:t>2</w:t>
            </w:r>
            <w:r>
              <w:rPr>
                <w:sz w:val="16"/>
                <w:szCs w:val="16"/>
              </w:rPr>
              <w:t xml:space="preserve">%, Gas - </w:t>
            </w:r>
            <w:r w:rsidR="00415039">
              <w:rPr>
                <w:sz w:val="16"/>
                <w:szCs w:val="16"/>
              </w:rPr>
              <w:t>2</w:t>
            </w:r>
            <w:r>
              <w:rPr>
                <w:sz w:val="16"/>
                <w:szCs w:val="16"/>
              </w:rPr>
              <w:t xml:space="preserve">%, Conv. oil - </w:t>
            </w:r>
            <w:r w:rsidR="00415039">
              <w:rPr>
                <w:sz w:val="16"/>
                <w:szCs w:val="16"/>
              </w:rPr>
              <w:t>2</w:t>
            </w:r>
            <w:r>
              <w:rPr>
                <w:sz w:val="16"/>
                <w:szCs w:val="16"/>
              </w:rPr>
              <w:t xml:space="preserve">%, Unconv. Oil – </w:t>
            </w:r>
            <w:r w:rsidR="00415039">
              <w:rPr>
                <w:sz w:val="16"/>
                <w:szCs w:val="16"/>
              </w:rPr>
              <w:t>n/a.</w:t>
            </w:r>
          </w:p>
          <w:p w:rsidR="00415039" w:rsidRDefault="00415039" w:rsidP="003453B9">
            <w:pPr>
              <w:pStyle w:val="NormalWeb"/>
              <w:spacing w:before="0" w:beforeAutospacing="0" w:after="0" w:afterAutospacing="0"/>
              <w:rPr>
                <w:sz w:val="16"/>
                <w:szCs w:val="16"/>
              </w:rPr>
            </w:pPr>
          </w:p>
          <w:p w:rsidR="00415039" w:rsidRDefault="00415039" w:rsidP="00415039">
            <w:pPr>
              <w:pStyle w:val="NormalWeb"/>
              <w:spacing w:before="0" w:beforeAutospacing="0" w:after="0" w:afterAutospacing="0"/>
              <w:rPr>
                <w:sz w:val="16"/>
                <w:szCs w:val="16"/>
              </w:rPr>
            </w:pPr>
            <w:r>
              <w:rPr>
                <w:sz w:val="16"/>
                <w:szCs w:val="16"/>
              </w:rPr>
              <w:t>Cost</w:t>
            </w:r>
            <w:r w:rsidRPr="000C0F24">
              <w:rPr>
                <w:sz w:val="16"/>
                <w:szCs w:val="16"/>
              </w:rPr>
              <w:t xml:space="preserve"> </w:t>
            </w:r>
            <w:r>
              <w:rPr>
                <w:sz w:val="16"/>
                <w:szCs w:val="16"/>
              </w:rPr>
              <w:t>Adder in 2100 ($/GJ): Coal - $</w:t>
            </w:r>
            <w:r>
              <w:rPr>
                <w:sz w:val="16"/>
                <w:szCs w:val="16"/>
              </w:rPr>
              <w:t>0</w:t>
            </w:r>
            <w:r>
              <w:rPr>
                <w:sz w:val="16"/>
                <w:szCs w:val="16"/>
              </w:rPr>
              <w:t>, Gas - $0, Conv. oil - $</w:t>
            </w:r>
            <w:r>
              <w:rPr>
                <w:sz w:val="16"/>
                <w:szCs w:val="16"/>
              </w:rPr>
              <w:t>0</w:t>
            </w:r>
            <w:bookmarkStart w:id="0" w:name="_GoBack"/>
            <w:bookmarkEnd w:id="0"/>
            <w:r>
              <w:rPr>
                <w:sz w:val="16"/>
                <w:szCs w:val="16"/>
              </w:rPr>
              <w:t xml:space="preserve">, Unconv. Oil - $0. </w:t>
            </w:r>
          </w:p>
          <w:p w:rsidR="00415039" w:rsidRDefault="00415039" w:rsidP="003453B9">
            <w:pPr>
              <w:pStyle w:val="NormalWeb"/>
              <w:spacing w:before="0" w:beforeAutospacing="0" w:after="0" w:afterAutospacing="0"/>
              <w:rPr>
                <w:sz w:val="16"/>
                <w:szCs w:val="16"/>
              </w:rPr>
            </w:pPr>
          </w:p>
          <w:p w:rsidR="003453B9" w:rsidRPr="00802DE1" w:rsidRDefault="003453B9" w:rsidP="003453B9">
            <w:pPr>
              <w:pStyle w:val="NormalWeb"/>
              <w:rPr>
                <w:sz w:val="16"/>
                <w:szCs w:val="16"/>
              </w:rPr>
            </w:pP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A035D1" w:rsidP="00802DE1">
            <w:pPr>
              <w:pStyle w:val="NormalWeb"/>
              <w:jc w:val="center"/>
              <w:rPr>
                <w:sz w:val="16"/>
                <w:szCs w:val="16"/>
              </w:rPr>
            </w:pPr>
            <w:r>
              <w:rPr>
                <w:sz w:val="16"/>
                <w:szCs w:val="16"/>
              </w:rPr>
              <w:fldChar w:fldCharType="begin"/>
            </w:r>
            <w:r>
              <w:rPr>
                <w:sz w:val="16"/>
                <w:szCs w:val="16"/>
              </w:rPr>
              <w:instrText xml:space="preserve"> ADDIN ZOTERO_ITEM CSL_CITATION {"citationID":"zrEqfXw0","properties":{"formattedCitation":"\\super 3\\nosupersub{}","plainCitation":"3","noteIndex":0},"citationItems":[{"id":429,"uris":["http://zotero.org/groups/2384940/items/GARRD8E2"],"uri":["http://zotero.org/groups/2384940/items/GARRD8E2"],"itemData":{"id":429,"type":"speech","title":"The GCAM Shared Socioeconomic Pathways (SSPs)"}}],"schema":"https://github.com/citation-style-language/schema/raw/master/csl-citation.json"} </w:instrText>
            </w:r>
            <w:r>
              <w:rPr>
                <w:sz w:val="16"/>
                <w:szCs w:val="16"/>
              </w:rPr>
              <w:fldChar w:fldCharType="separate"/>
            </w:r>
            <w:r w:rsidRPr="00A035D1">
              <w:rPr>
                <w:sz w:val="16"/>
                <w:vertAlign w:val="superscript"/>
              </w:rPr>
              <w:t>3</w:t>
            </w:r>
            <w:r>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Base EMF 32 scenario</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CO2 emissions from fossil fuels without climate policy</w:t>
            </w: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no</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2010-2050</w:t>
            </w: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no</w:t>
            </w: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no</w:t>
            </w: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802DE1" w:rsidRPr="00802DE1" w:rsidRDefault="001C67A6" w:rsidP="00802DE1">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{"citationID":"5Rvo8j8S","properties":{"formattedCitation":"\\super 4\\nosupersub{}","plainCitation":"4","noteIndex":0},"citationItems":[{"id":394,"uris":["http://zotero.org/groups/2384940/items/EJGD3Q5C"],"uri":["http://zotero.org/groups/2384940/items/EJGD3Q5C"],"itemData":{"id":394,"type":"article-journal","title":"U.S.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A035D1">
              <w:rPr>
                <w:sz w:val="16"/>
                <w:szCs w:val="16"/>
              </w:rPr>
              <w:fldChar w:fldCharType="separate"/>
            </w:r>
            <w:r w:rsidR="00A035D1" w:rsidRPr="00A035D1">
              <w:rPr>
                <w:sz w:val="16"/>
                <w:vertAlign w:val="superscript"/>
              </w:rPr>
              <w:t>4</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25$ with 1%</w:t>
            </w: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To compare with base EMF 32 scenario. C</w:t>
            </w:r>
            <w:r w:rsidRPr="002E2DB5">
              <w:rPr>
                <w:sz w:val="16"/>
                <w:szCs w:val="16"/>
              </w:rPr>
              <w:t>over three types of carbon tax revenue recycling: lump sum to consumers, reduction in labor tax rates, and reduction in capital tax rate</w:t>
            </w: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25$</w:t>
            </w:r>
            <w:r w:rsidR="005D6380">
              <w:rPr>
                <w:sz w:val="16"/>
                <w:szCs w:val="16"/>
              </w:rPr>
              <w:t>/tCO2</w:t>
            </w: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2020- end of the simulation</w:t>
            </w: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1C67A6" w:rsidP="00802DE1">
            <w:pPr>
              <w:pStyle w:val="NormalWeb"/>
              <w:rPr>
                <w:sz w:val="16"/>
                <w:szCs w:val="16"/>
              </w:rPr>
            </w:pPr>
            <w:r>
              <w:rPr>
                <w:sz w:val="16"/>
                <w:szCs w:val="16"/>
              </w:rPr>
              <w:t>1%/ year</w:t>
            </w: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n/a</w:t>
            </w: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1C67A6" w:rsidP="00802DE1">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{"citationID":"fY0j2j8N","properties":{"formattedCitation":"\\super 4\\nosupersub{}","plainCitation":"4","noteIndex":0},"citationItems":[{"id":394,"uris":["http://zotero.org/groups/2384940/items/EJGD3Q5C"],"uri":["http://zotero.org/groups/2384940/items/EJGD3Q5C"],"itemData":{"id":394,"type":"article-journal","title":"U.S.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A035D1">
              <w:rPr>
                <w:sz w:val="16"/>
                <w:szCs w:val="16"/>
              </w:rPr>
              <w:fldChar w:fldCharType="separate"/>
            </w:r>
            <w:r w:rsidR="00A035D1" w:rsidRPr="00A035D1">
              <w:rPr>
                <w:sz w:val="16"/>
                <w:vertAlign w:val="superscript"/>
              </w:rPr>
              <w:t>4</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sidRPr="00802DE1">
              <w:rPr>
                <w:sz w:val="16"/>
                <w:szCs w:val="16"/>
              </w:rPr>
              <w:t>25$ with 5%</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2E2DB5" w:rsidP="001C67A6">
            <w:pPr>
              <w:pStyle w:val="NormalWeb"/>
              <w:rPr>
                <w:sz w:val="16"/>
                <w:szCs w:val="16"/>
              </w:rPr>
            </w:pPr>
            <w:r>
              <w:rPr>
                <w:sz w:val="16"/>
                <w:szCs w:val="16"/>
              </w:rPr>
              <w:t>To compare with base EMF 32 scenari</w:t>
            </w:r>
            <w:r w:rsidR="00A035D1">
              <w:rPr>
                <w:sz w:val="16"/>
                <w:szCs w:val="16"/>
              </w:rPr>
              <w:t xml:space="preserve">o. </w:t>
            </w:r>
            <w:r w:rsidR="00A035D1">
              <w:rPr>
                <w:sz w:val="16"/>
                <w:szCs w:val="16"/>
              </w:rPr>
              <w:t>C</w:t>
            </w:r>
            <w:r w:rsidR="00A035D1" w:rsidRPr="002E2DB5">
              <w:rPr>
                <w:sz w:val="16"/>
                <w:szCs w:val="16"/>
              </w:rPr>
              <w:t>over three types of carbon tax revenue recycling: lump sum to consumers, reduction in labor tax rates, and reduction in capital tax rate</w:t>
            </w: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25$</w:t>
            </w:r>
            <w:r w:rsidR="005D6380">
              <w:rPr>
                <w:sz w:val="16"/>
                <w:szCs w:val="16"/>
              </w:rPr>
              <w:t>/</w:t>
            </w:r>
            <w:r w:rsidR="005D6380">
              <w:rPr>
                <w:sz w:val="16"/>
                <w:szCs w:val="16"/>
              </w:rPr>
              <w:t>tCO2</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2020- end of the simulation</w:t>
            </w: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5</w:t>
            </w:r>
            <w:r>
              <w:rPr>
                <w:sz w:val="16"/>
                <w:szCs w:val="16"/>
              </w:rPr>
              <w:t>%/ year</w:t>
            </w: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2E2DB5" w:rsidP="001C67A6">
            <w:pPr>
              <w:pStyle w:val="NormalWeb"/>
              <w:rPr>
                <w:sz w:val="16"/>
                <w:szCs w:val="16"/>
              </w:rPr>
            </w:pPr>
            <w:r>
              <w:rPr>
                <w:sz w:val="16"/>
                <w:szCs w:val="16"/>
              </w:rPr>
              <w:t>n/a</w:t>
            </w: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1C67A6" w:rsidRPr="00802DE1" w:rsidRDefault="001C67A6" w:rsidP="001C67A6">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{"citationID":"b4oXnced","properties":{"formattedCitation":"\\super 4\\nosupersub{}","plainCitation":"4","noteIndex":0},"citationItems":[{"id":394,"uris":["http://zotero.org/groups/2384940/items/EJGD3Q5C"],"uri":["http://zotero.org/groups/2384940/items/EJGD3Q5C"],"itemData":{"id":394,"type":"article-journal","title":"U.S.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A035D1">
              <w:rPr>
                <w:sz w:val="16"/>
                <w:szCs w:val="16"/>
              </w:rPr>
              <w:fldChar w:fldCharType="separate"/>
            </w:r>
            <w:r w:rsidR="00A035D1" w:rsidRPr="00A035D1">
              <w:rPr>
                <w:sz w:val="16"/>
                <w:vertAlign w:val="superscript"/>
              </w:rPr>
              <w:t>4</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r w:rsidRPr="00802DE1">
              <w:rPr>
                <w:sz w:val="16"/>
                <w:szCs w:val="16"/>
              </w:rPr>
              <w:t>50$ with 1%</w:t>
            </w: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2E2DB5" w:rsidP="001C67A6">
            <w:pPr>
              <w:pStyle w:val="NormalWeb"/>
              <w:rPr>
                <w:sz w:val="16"/>
                <w:szCs w:val="16"/>
              </w:rPr>
            </w:pPr>
            <w:r>
              <w:rPr>
                <w:sz w:val="16"/>
                <w:szCs w:val="16"/>
              </w:rPr>
              <w:t>To compare with base EMF 32 scenario</w:t>
            </w:r>
            <w:r w:rsidR="00A035D1">
              <w:rPr>
                <w:sz w:val="16"/>
                <w:szCs w:val="16"/>
              </w:rPr>
              <w:t xml:space="preserve">. </w:t>
            </w:r>
            <w:r w:rsidR="00A035D1">
              <w:rPr>
                <w:sz w:val="16"/>
                <w:szCs w:val="16"/>
              </w:rPr>
              <w:t>C</w:t>
            </w:r>
            <w:r w:rsidR="00A035D1" w:rsidRPr="002E2DB5">
              <w:rPr>
                <w:sz w:val="16"/>
                <w:szCs w:val="16"/>
              </w:rPr>
              <w:t>over three types of carbon tax revenue recycling: lump sum to consumers, reduction in labor tax rates, and reduction in capital tax rate</w:t>
            </w: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50</w:t>
            </w:r>
            <w:r>
              <w:rPr>
                <w:sz w:val="16"/>
                <w:szCs w:val="16"/>
              </w:rPr>
              <w:t>$</w:t>
            </w:r>
            <w:r w:rsidR="005D6380">
              <w:rPr>
                <w:sz w:val="16"/>
                <w:szCs w:val="16"/>
              </w:rPr>
              <w:t>/</w:t>
            </w:r>
            <w:r w:rsidR="005D6380">
              <w:rPr>
                <w:sz w:val="16"/>
                <w:szCs w:val="16"/>
              </w:rPr>
              <w:t>tCO2</w:t>
            </w: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2020- end of the simulation</w:t>
            </w: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1%/ year</w:t>
            </w: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2E2DB5" w:rsidP="001C67A6">
            <w:pPr>
              <w:pStyle w:val="NormalWeb"/>
              <w:rPr>
                <w:sz w:val="16"/>
                <w:szCs w:val="16"/>
              </w:rPr>
            </w:pPr>
            <w:r>
              <w:rPr>
                <w:sz w:val="16"/>
                <w:szCs w:val="16"/>
              </w:rPr>
              <w:t>n/a</w:t>
            </w: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1C67A6" w:rsidRPr="00802DE1" w:rsidRDefault="001C67A6" w:rsidP="001C67A6">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1C67A6" w:rsidRPr="00802DE1" w:rsidRDefault="001C67A6" w:rsidP="001C67A6">
            <w:pPr>
              <w:pStyle w:val="NormalWeb"/>
              <w:jc w:val="center"/>
              <w:rPr>
                <w:sz w:val="16"/>
                <w:szCs w:val="16"/>
              </w:rPr>
            </w:pP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sidRPr="00802DE1">
              <w:rPr>
                <w:sz w:val="16"/>
                <w:szCs w:val="16"/>
              </w:rPr>
              <w:t>50$ with 5%</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A035D1" w:rsidRPr="00802DE1" w:rsidRDefault="002E2DB5" w:rsidP="001C67A6">
            <w:pPr>
              <w:pStyle w:val="NormalWeb"/>
              <w:rPr>
                <w:sz w:val="16"/>
                <w:szCs w:val="16"/>
              </w:rPr>
            </w:pPr>
            <w:r>
              <w:rPr>
                <w:sz w:val="16"/>
                <w:szCs w:val="16"/>
              </w:rPr>
              <w:t>To compare with base EMF 32 scenario</w:t>
            </w:r>
            <w:r w:rsidR="00A035D1">
              <w:rPr>
                <w:sz w:val="16"/>
                <w:szCs w:val="16"/>
              </w:rPr>
              <w:t xml:space="preserve">. </w:t>
            </w:r>
            <w:r w:rsidR="00A035D1">
              <w:rPr>
                <w:sz w:val="16"/>
                <w:szCs w:val="16"/>
              </w:rPr>
              <w:t>C</w:t>
            </w:r>
            <w:r w:rsidR="00A035D1" w:rsidRPr="002E2DB5">
              <w:rPr>
                <w:sz w:val="16"/>
                <w:szCs w:val="16"/>
              </w:rPr>
              <w:t>over three types of carbon tax revenue recycling: lump sum to consumers, reduction in labor tax rates, and reduction in capital tax rate</w:t>
            </w:r>
            <w:r w:rsidR="00A035D1">
              <w:rPr>
                <w:sz w:val="16"/>
                <w:szCs w:val="16"/>
              </w:rPr>
              <w:t>. Scenario provides the maximum (up</w:t>
            </w:r>
            <w:r w:rsidR="00A035D1" w:rsidRPr="00A035D1">
              <w:rPr>
                <w:sz w:val="16"/>
                <w:szCs w:val="16"/>
              </w:rPr>
              <w:t xml:space="preserve"> to 48%</w:t>
            </w:r>
            <w:r w:rsidR="00A035D1">
              <w:rPr>
                <w:sz w:val="16"/>
                <w:szCs w:val="16"/>
              </w:rPr>
              <w:t>)</w:t>
            </w:r>
            <w:r w:rsidR="00A035D1" w:rsidRPr="00A035D1">
              <w:rPr>
                <w:sz w:val="16"/>
                <w:szCs w:val="16"/>
              </w:rPr>
              <w:t xml:space="preserve"> </w:t>
            </w:r>
            <w:r w:rsidR="00A035D1">
              <w:rPr>
                <w:sz w:val="16"/>
                <w:szCs w:val="16"/>
              </w:rPr>
              <w:t xml:space="preserve">emissions reductions </w:t>
            </w:r>
            <w:r w:rsidR="00A035D1" w:rsidRPr="00A035D1">
              <w:rPr>
                <w:sz w:val="16"/>
                <w:szCs w:val="16"/>
              </w:rPr>
              <w:t xml:space="preserve">below 2005 </w:t>
            </w:r>
            <w:r w:rsidR="00A035D1">
              <w:rPr>
                <w:sz w:val="16"/>
                <w:szCs w:val="16"/>
              </w:rPr>
              <w:t>level compare to other exogenous EMF 32 scenarios.</w:t>
            </w: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5</w:t>
            </w:r>
            <w:r>
              <w:rPr>
                <w:sz w:val="16"/>
                <w:szCs w:val="16"/>
              </w:rPr>
              <w:t>0</w:t>
            </w:r>
            <w:r>
              <w:rPr>
                <w:sz w:val="16"/>
                <w:szCs w:val="16"/>
              </w:rPr>
              <w:t>$</w:t>
            </w:r>
            <w:r w:rsidR="005D6380">
              <w:rPr>
                <w:sz w:val="16"/>
                <w:szCs w:val="16"/>
              </w:rPr>
              <w:t xml:space="preserve">/ </w:t>
            </w:r>
            <w:r w:rsidR="005D6380">
              <w:rPr>
                <w:sz w:val="16"/>
                <w:szCs w:val="16"/>
              </w:rPr>
              <w:t>tCO2</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2020- end of the simulation</w:t>
            </w: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r>
              <w:rPr>
                <w:sz w:val="16"/>
                <w:szCs w:val="16"/>
              </w:rPr>
              <w:t>5</w:t>
            </w:r>
            <w:r>
              <w:rPr>
                <w:sz w:val="16"/>
                <w:szCs w:val="16"/>
              </w:rPr>
              <w:t>%/ year</w:t>
            </w: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2E2DB5" w:rsidP="001C67A6">
            <w:pPr>
              <w:pStyle w:val="NormalWeb"/>
              <w:rPr>
                <w:sz w:val="16"/>
                <w:szCs w:val="16"/>
              </w:rPr>
            </w:pPr>
            <w:r>
              <w:rPr>
                <w:sz w:val="16"/>
                <w:szCs w:val="16"/>
              </w:rPr>
              <w:t>n/a</w:t>
            </w: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1C67A6" w:rsidRPr="00802DE1" w:rsidRDefault="001C67A6" w:rsidP="001C67A6">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1C67A6" w:rsidRPr="00802DE1" w:rsidRDefault="001C67A6" w:rsidP="001C67A6">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{"citationID":"VHtCiZ73","properties":{"formattedCitation":"\\super 4\\nosupersub{}","plainCitation":"4","noteIndex":0},"citationItems":[{"id":394,"uris":["http://zotero.org/groups/2384940/items/EJGD3Q5C"],"uri":["http://zotero.org/groups/2384940/items/EJGD3Q5C"],"itemData":{"id":394,"type":"article-journal","title":"U.S.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A035D1">
              <w:rPr>
                <w:sz w:val="16"/>
                <w:szCs w:val="16"/>
              </w:rPr>
              <w:fldChar w:fldCharType="separate"/>
            </w:r>
            <w:r w:rsidR="00A035D1" w:rsidRPr="00A035D1">
              <w:rPr>
                <w:sz w:val="16"/>
                <w:vertAlign w:val="superscript"/>
              </w:rPr>
              <w:t>4</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76% reduction (no BECCS)</w:t>
            </w: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2E2DB5" w:rsidRPr="00802DE1" w:rsidRDefault="002E2DB5" w:rsidP="00802DE1">
            <w:pPr>
              <w:pStyle w:val="NormalWeb"/>
              <w:rPr>
                <w:sz w:val="16"/>
                <w:szCs w:val="16"/>
              </w:rPr>
            </w:pPr>
            <w:r>
              <w:rPr>
                <w:sz w:val="16"/>
                <w:szCs w:val="16"/>
              </w:rPr>
              <w:t>To compare with base EMF 32 scenario</w:t>
            </w:r>
            <w:r>
              <w:rPr>
                <w:sz w:val="16"/>
                <w:szCs w:val="16"/>
              </w:rPr>
              <w:t xml:space="preserve">. </w:t>
            </w:r>
            <w:r w:rsidR="005D6380">
              <w:rPr>
                <w:sz w:val="16"/>
                <w:szCs w:val="16"/>
              </w:rPr>
              <w:t>76% reduction of CO2 emissions from 2005 level</w:t>
            </w:r>
            <w:r>
              <w:rPr>
                <w:sz w:val="16"/>
                <w:szCs w:val="16"/>
              </w:rPr>
              <w:t>. Deep de-carbonization scenario</w:t>
            </w: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5D6380" w:rsidP="00802DE1">
            <w:pPr>
              <w:pStyle w:val="NormalWeb"/>
              <w:rPr>
                <w:sz w:val="16"/>
                <w:szCs w:val="16"/>
              </w:rPr>
            </w:pPr>
            <w:r>
              <w:rPr>
                <w:sz w:val="16"/>
                <w:szCs w:val="16"/>
              </w:rPr>
              <w:t>20</w:t>
            </w:r>
            <w:r w:rsidR="002E2DB5">
              <w:rPr>
                <w:sz w:val="16"/>
                <w:szCs w:val="16"/>
              </w:rPr>
              <w:t>20</w:t>
            </w:r>
            <w:r>
              <w:rPr>
                <w:sz w:val="16"/>
                <w:szCs w:val="16"/>
              </w:rPr>
              <w:t>-2050</w:t>
            </w: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5D6380" w:rsidP="00802DE1">
            <w:pPr>
              <w:pStyle w:val="NormalWeb"/>
              <w:rPr>
                <w:sz w:val="16"/>
                <w:szCs w:val="16"/>
              </w:rPr>
            </w:pPr>
            <w:r w:rsidRPr="005D6380">
              <w:rPr>
                <w:sz w:val="16"/>
                <w:szCs w:val="16"/>
              </w:rPr>
              <w:t>CCS is available for fossil fuels but not for bio-electricity</w:t>
            </w: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1C67A6" w:rsidP="00802DE1">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{"citationID":"xOlSi6dg","properties":{"formattedCitation":"\\super 4\\nosupersub{}","plainCitation":"4","noteIndex":0},"citationItems":[{"id":394,"uris":["http://zotero.org/groups/2384940/items/EJGD3Q5C"],"uri":["http://zotero.org/groups/2384940/items/EJGD3Q5C"],"itemData":{"id":394,"type":"article-journal","title":"U.S.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A035D1">
              <w:rPr>
                <w:sz w:val="16"/>
                <w:szCs w:val="16"/>
              </w:rPr>
              <w:fldChar w:fldCharType="separate"/>
            </w:r>
            <w:r w:rsidR="00A035D1" w:rsidRPr="00A035D1">
              <w:rPr>
                <w:sz w:val="16"/>
                <w:vertAlign w:val="superscript"/>
              </w:rPr>
              <w:t>4</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76% reduction with BECCS</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To compare with base EMF 32 scenario</w:t>
            </w:r>
            <w:r>
              <w:rPr>
                <w:sz w:val="16"/>
                <w:szCs w:val="16"/>
              </w:rPr>
              <w:t xml:space="preserve"> .</w:t>
            </w:r>
            <w:r w:rsidR="005D6380">
              <w:rPr>
                <w:sz w:val="16"/>
                <w:szCs w:val="16"/>
              </w:rPr>
              <w:t>76% reduction of CO2 emissions from 2005 level</w:t>
            </w:r>
            <w:r>
              <w:rPr>
                <w:sz w:val="16"/>
                <w:szCs w:val="16"/>
              </w:rPr>
              <w:t xml:space="preserve">. </w:t>
            </w:r>
            <w:r>
              <w:rPr>
                <w:sz w:val="16"/>
                <w:szCs w:val="16"/>
              </w:rPr>
              <w:t>Deep de-carbonization scenario</w:t>
            </w: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5D6380" w:rsidP="00802DE1">
            <w:pPr>
              <w:pStyle w:val="NormalWeb"/>
              <w:rPr>
                <w:sz w:val="16"/>
                <w:szCs w:val="16"/>
              </w:rPr>
            </w:pPr>
            <w:r>
              <w:rPr>
                <w:sz w:val="16"/>
                <w:szCs w:val="16"/>
              </w:rPr>
              <w:t>20</w:t>
            </w:r>
            <w:r w:rsidR="002E2DB5">
              <w:rPr>
                <w:sz w:val="16"/>
                <w:szCs w:val="16"/>
              </w:rPr>
              <w:t>20</w:t>
            </w:r>
            <w:r>
              <w:rPr>
                <w:sz w:val="16"/>
                <w:szCs w:val="16"/>
              </w:rPr>
              <w:t>-2050</w:t>
            </w: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5D6380" w:rsidP="00802DE1">
            <w:pPr>
              <w:pStyle w:val="NormalWeb"/>
              <w:rPr>
                <w:sz w:val="16"/>
                <w:szCs w:val="16"/>
              </w:rPr>
            </w:pPr>
            <w:r w:rsidRPr="005D6380">
              <w:rPr>
                <w:sz w:val="16"/>
                <w:szCs w:val="16"/>
              </w:rPr>
              <w:t>CCS is available for all electricity generation technologies, including bio-electricity</w:t>
            </w: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802DE1" w:rsidRPr="00802DE1" w:rsidRDefault="001C67A6" w:rsidP="00802DE1">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{"citationID":"wddusRav","properties":{"formattedCitation":"\\super 4\\nosupersub{}","plainCitation":"4","noteIndex":0},"citationItems":[{"id":394,"uris":["http://zotero.org/groups/2384940/items/EJGD3Q5C"],"uri":["http://zotero.org/groups/2384940/items/EJGD3Q5C"],"itemData":{"id":394,"type":"article-journal","title":"U.S. CARBON TAX SCENARIOS and BIOENERGY","container-title":"Climate Change Economics","volume":"9","issue":"1","source":"Scopus","archive":"Scopus","abstract":"This paper documents application of the Future Agricultural Resources Model (FARM) to stylized carbon tax scenarios specified by the Stanford Energy Modeling Forum (EMF). Model results show that the method of tax revenue recycling makes a difference. Either labor-tax, or capital-tax, recycling can reduce the welfare cost of a carbon tax policy relative to lump sum recycling. Of the two tax recycling options, reducing capital taxes provides the greater reduction in welfare costs. However, carbon tax revenues decline with stringent carbon dioxide (CO2) emission targets and the availability of a negative-emissions technology such as bio-electricity with CO2 capture and storage (BECCS). As BECCS expands, net carbon tax revenues peak and decline due to an offsetting subsidy for carbon sequestration, limiting the potential for labor- or capital-tax recycling to reduce welfare costs of a climate policy. © 2018 The Author(s).","DOI":"10.1142/S2010007818400109","author":[{"family":"Sands","given":"R.D."}],"issued":{"date-parts":[["2018"]]}}}],"schema":"https://github.com/citation-style-language/schema/raw/master/csl-citation.json"} </w:instrText>
            </w:r>
            <w:r w:rsidRPr="00A035D1">
              <w:rPr>
                <w:sz w:val="16"/>
                <w:szCs w:val="16"/>
              </w:rPr>
              <w:fldChar w:fldCharType="separate"/>
            </w:r>
            <w:r w:rsidR="00A035D1" w:rsidRPr="00A035D1">
              <w:rPr>
                <w:sz w:val="16"/>
                <w:vertAlign w:val="superscript"/>
              </w:rPr>
              <w:t>4</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EMF 34</w:t>
            </w:r>
            <w:r>
              <w:rPr>
                <w:sz w:val="16"/>
                <w:szCs w:val="16"/>
              </w:rPr>
              <w:t>,</w:t>
            </w:r>
            <w:r w:rsidRPr="00802DE1">
              <w:rPr>
                <w:sz w:val="16"/>
                <w:szCs w:val="16"/>
              </w:rPr>
              <w:t xml:space="preserve"> Carbon Policy</w:t>
            </w: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Case focuses on the impact of carbon policy as a carbon tax</w:t>
            </w: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n/a</w:t>
            </w: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35$/ tonne</w:t>
            </w: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2022 – end of the simulation</w:t>
            </w: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5% / year</w:t>
            </w: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r w:rsidRPr="00802DE1">
              <w:rPr>
                <w:sz w:val="16"/>
                <w:szCs w:val="16"/>
              </w:rPr>
              <w:t>n/a</w:t>
            </w: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802DE1" w:rsidP="00802DE1">
            <w:pPr>
              <w:pStyle w:val="NormalWeb"/>
              <w:jc w:val="center"/>
              <w:rPr>
                <w:sz w:val="16"/>
                <w:szCs w:val="16"/>
              </w:rPr>
            </w:pPr>
            <w:r w:rsidRPr="00A035D1">
              <w:rPr>
                <w:sz w:val="16"/>
                <w:szCs w:val="16"/>
              </w:rPr>
              <w:fldChar w:fldCharType="begin"/>
            </w:r>
            <w:r w:rsidR="00A035D1">
              <w:rPr>
                <w:sz w:val="16"/>
                <w:szCs w:val="16"/>
              </w:rPr>
              <w:instrText xml:space="preserve"> ADDIN ZOTERO_ITEM CSL_CITATION {"citationID":"mOU9NS1A","properties":{"formattedCitation":"\\super 5\\nosupersub{}","plainCitation":"5","noteIndex":0},"citationItems":[{"id":440,"uris":["http://zotero.org/groups/2384940/items/W753Z928"],"uri":["http://zotero.org/groups/2384940/items/W753Z928"],"itemData":{"id":440,"type":"article","title":"EMF 34 Core Scenarios"}}],"schema":"https://github.com/citation-style-language/schema/raw/master/csl-citation.json"} </w:instrText>
            </w:r>
            <w:r w:rsidRPr="00A035D1">
              <w:rPr>
                <w:sz w:val="16"/>
                <w:szCs w:val="16"/>
              </w:rPr>
              <w:fldChar w:fldCharType="separate"/>
            </w:r>
            <w:r w:rsidR="00A035D1" w:rsidRPr="00A035D1">
              <w:rPr>
                <w:sz w:val="16"/>
                <w:vertAlign w:val="superscript"/>
              </w:rPr>
              <w:t>5</w:t>
            </w:r>
            <w:r w:rsidRPr="00A035D1">
              <w:rPr>
                <w:sz w:val="16"/>
                <w:szCs w:val="16"/>
              </w:rPr>
              <w:fldChar w:fldCharType="end"/>
            </w: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lastRenderedPageBreak/>
              <w:t>450 Scenario</w:t>
            </w:r>
          </w:p>
        </w:tc>
        <w:tc>
          <w:tcPr>
            <w:tcW w:w="3515"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Carbon tax for power and industry sector in the US and Canada</w:t>
            </w:r>
          </w:p>
        </w:tc>
        <w:tc>
          <w:tcPr>
            <w:tcW w:w="902"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n/a</w:t>
            </w:r>
          </w:p>
        </w:tc>
        <w:tc>
          <w:tcPr>
            <w:tcW w:w="1609"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Default="002E2DB5" w:rsidP="002E2DB5">
            <w:pPr>
              <w:pStyle w:val="NormalWeb"/>
              <w:spacing w:before="0" w:beforeAutospacing="0" w:after="0" w:afterAutospacing="0"/>
              <w:rPr>
                <w:sz w:val="16"/>
                <w:szCs w:val="16"/>
              </w:rPr>
            </w:pPr>
            <w:r w:rsidRPr="002E2DB5">
              <w:rPr>
                <w:sz w:val="16"/>
                <w:szCs w:val="16"/>
              </w:rPr>
              <w:t>2020</w:t>
            </w:r>
            <w:r>
              <w:rPr>
                <w:sz w:val="16"/>
                <w:szCs w:val="16"/>
              </w:rPr>
              <w:t xml:space="preserve"> – </w:t>
            </w:r>
            <w:r w:rsidRPr="002E2DB5">
              <w:rPr>
                <w:sz w:val="16"/>
                <w:szCs w:val="16"/>
              </w:rPr>
              <w:t>20$/tCO2</w:t>
            </w:r>
            <w:r>
              <w:rPr>
                <w:sz w:val="16"/>
                <w:szCs w:val="16"/>
              </w:rPr>
              <w:t>;</w:t>
            </w:r>
          </w:p>
          <w:p w:rsidR="002E2DB5" w:rsidRDefault="002E2DB5" w:rsidP="002E2DB5">
            <w:pPr>
              <w:pStyle w:val="NormalWeb"/>
              <w:spacing w:before="0" w:beforeAutospacing="0" w:after="0" w:afterAutospacing="0"/>
              <w:rPr>
                <w:sz w:val="16"/>
                <w:szCs w:val="16"/>
              </w:rPr>
            </w:pPr>
            <w:r>
              <w:rPr>
                <w:sz w:val="16"/>
                <w:szCs w:val="16"/>
              </w:rPr>
              <w:t>2030 – 100$/tCO2;</w:t>
            </w:r>
          </w:p>
          <w:p w:rsidR="002E2DB5" w:rsidRPr="00802DE1" w:rsidRDefault="002E2DB5" w:rsidP="002E2DB5">
            <w:pPr>
              <w:pStyle w:val="NormalWeb"/>
              <w:spacing w:before="0" w:beforeAutospacing="0" w:after="0" w:afterAutospacing="0"/>
              <w:rPr>
                <w:sz w:val="16"/>
                <w:szCs w:val="16"/>
              </w:rPr>
            </w:pPr>
            <w:r>
              <w:rPr>
                <w:sz w:val="16"/>
                <w:szCs w:val="16"/>
              </w:rPr>
              <w:t>2040 – 140$/tCO2 for $2014</w:t>
            </w:r>
          </w:p>
        </w:tc>
        <w:tc>
          <w:tcPr>
            <w:tcW w:w="105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2020-2040</w:t>
            </w:r>
          </w:p>
        </w:tc>
        <w:tc>
          <w:tcPr>
            <w:tcW w:w="1003"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n/a</w:t>
            </w:r>
          </w:p>
        </w:tc>
        <w:tc>
          <w:tcPr>
            <w:tcW w:w="201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2E2DB5" w:rsidP="00802DE1">
            <w:pPr>
              <w:pStyle w:val="NormalWeb"/>
              <w:rPr>
                <w:sz w:val="16"/>
                <w:szCs w:val="16"/>
              </w:rPr>
            </w:pPr>
            <w:r>
              <w:rPr>
                <w:sz w:val="16"/>
                <w:szCs w:val="16"/>
              </w:rPr>
              <w:t>n/a</w:t>
            </w:r>
          </w:p>
        </w:tc>
        <w:tc>
          <w:tcPr>
            <w:tcW w:w="866"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E7ECF4"/>
            <w:tcMar>
              <w:top w:w="72" w:type="dxa"/>
              <w:left w:w="144" w:type="dxa"/>
              <w:bottom w:w="72" w:type="dxa"/>
              <w:right w:w="144" w:type="dxa"/>
            </w:tcMar>
            <w:vAlign w:val="center"/>
            <w:hideMark/>
          </w:tcPr>
          <w:p w:rsidR="00802DE1" w:rsidRPr="00802DE1" w:rsidRDefault="00802DE1" w:rsidP="00802DE1">
            <w:pPr>
              <w:pStyle w:val="NormalWeb"/>
              <w:jc w:val="center"/>
              <w:rPr>
                <w:sz w:val="16"/>
                <w:szCs w:val="16"/>
              </w:rPr>
            </w:pPr>
          </w:p>
        </w:tc>
      </w:tr>
      <w:tr w:rsidR="002E2DB5" w:rsidRPr="00802DE1" w:rsidTr="002E2DB5">
        <w:trPr>
          <w:trHeight w:val="584"/>
        </w:trPr>
        <w:tc>
          <w:tcPr>
            <w:tcW w:w="894"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3515"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902"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609"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5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3"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201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866"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1008"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hideMark/>
          </w:tcPr>
          <w:p w:rsidR="00802DE1" w:rsidRPr="00802DE1" w:rsidRDefault="00802DE1" w:rsidP="00802DE1">
            <w:pPr>
              <w:pStyle w:val="NormalWeb"/>
              <w:rPr>
                <w:sz w:val="16"/>
                <w:szCs w:val="16"/>
              </w:rPr>
            </w:pPr>
          </w:p>
        </w:tc>
        <w:tc>
          <w:tcPr>
            <w:tcW w:w="530" w:type="dxa"/>
            <w:tcBorders>
              <w:top w:val="single" w:sz="8" w:space="0" w:color="FFFFFF"/>
              <w:left w:val="single" w:sz="8" w:space="0" w:color="FFFFFF"/>
              <w:bottom w:val="single" w:sz="8" w:space="0" w:color="FFFFFF"/>
              <w:right w:val="single" w:sz="8" w:space="0" w:color="FFFFFF"/>
            </w:tcBorders>
            <w:shd w:val="clear" w:color="auto" w:fill="CBD7E9"/>
            <w:tcMar>
              <w:top w:w="72" w:type="dxa"/>
              <w:left w:w="144" w:type="dxa"/>
              <w:bottom w:w="72" w:type="dxa"/>
              <w:right w:w="144" w:type="dxa"/>
            </w:tcMar>
            <w:vAlign w:val="center"/>
            <w:hideMark/>
          </w:tcPr>
          <w:p w:rsidR="00802DE1" w:rsidRPr="00802DE1" w:rsidRDefault="00802DE1" w:rsidP="00802DE1">
            <w:pPr>
              <w:pStyle w:val="NormalWeb"/>
              <w:jc w:val="center"/>
              <w:rPr>
                <w:sz w:val="16"/>
                <w:szCs w:val="16"/>
              </w:rPr>
            </w:pPr>
          </w:p>
        </w:tc>
      </w:tr>
    </w:tbl>
    <w:p w:rsidR="00802DE1" w:rsidRPr="00A254F6" w:rsidRDefault="00802DE1" w:rsidP="00A254F6">
      <w:pPr>
        <w:pStyle w:val="NormalWeb"/>
      </w:pPr>
    </w:p>
    <w:p w:rsidR="00802DE1" w:rsidRDefault="00802DE1">
      <w:pPr>
        <w:rPr>
          <w:rFonts w:ascii="Times New Roman" w:eastAsia="Times New Roman" w:hAnsi="Times New Roman" w:cs="Times New Roman"/>
        </w:rPr>
      </w:pPr>
      <w:r>
        <w:br w:type="page"/>
      </w:r>
    </w:p>
    <w:p w:rsidR="00AE449C" w:rsidRDefault="00AE449C" w:rsidP="00AD4E55">
      <w:pPr>
        <w:pStyle w:val="NormalWeb"/>
        <w:sectPr w:rsidR="00AE449C" w:rsidSect="0079718A">
          <w:pgSz w:w="15840" w:h="12240" w:orient="landscape"/>
          <w:pgMar w:top="1440" w:right="1440" w:bottom="1440" w:left="1440" w:header="720" w:footer="720" w:gutter="0"/>
          <w:cols w:space="720"/>
          <w:docGrid w:linePitch="360"/>
        </w:sectPr>
      </w:pPr>
    </w:p>
    <w:p w:rsidR="00FA0BBD" w:rsidRDefault="00FA0BBD" w:rsidP="00AD4E55">
      <w:pPr>
        <w:pStyle w:val="NormalWeb"/>
      </w:pPr>
    </w:p>
    <w:p w:rsidR="00A254F6" w:rsidRDefault="00A254F6" w:rsidP="00A254F6">
      <w:pPr>
        <w:spacing w:after="100" w:afterAutospacing="1"/>
        <w:outlineLvl w:val="3"/>
        <w:rPr>
          <w:rFonts w:ascii="Times New Roman" w:eastAsia="Times New Roman" w:hAnsi="Times New Roman" w:cs="Times New Roman"/>
          <w:b/>
          <w:bCs/>
        </w:rPr>
      </w:pPr>
      <w:r w:rsidRPr="00A254F6">
        <w:rPr>
          <w:rFonts w:ascii="Times New Roman" w:eastAsia="Times New Roman" w:hAnsi="Times New Roman" w:cs="Times New Roman"/>
          <w:b/>
          <w:bCs/>
        </w:rPr>
        <w:t>45Q Carbon Capture Tax Credit</w:t>
      </w:r>
      <w:r w:rsidR="00AE449C">
        <w:rPr>
          <w:rFonts w:ascii="Times New Roman" w:eastAsia="Times New Roman" w:hAnsi="Times New Roman" w:cs="Times New Roman"/>
          <w:b/>
          <w:bCs/>
        </w:rPr>
        <w:t xml:space="preserve"> (</w:t>
      </w:r>
      <w:hyperlink r:id="rId13" w:history="1">
        <w:r w:rsidR="00AE449C" w:rsidRPr="000D3E03">
          <w:rPr>
            <w:rStyle w:val="Hyperlink"/>
            <w:rFonts w:ascii="Times New Roman" w:eastAsia="Times New Roman" w:hAnsi="Times New Roman" w:cs="Times New Roman"/>
            <w:b/>
            <w:bCs/>
          </w:rPr>
          <w:t>https://uscode.house.gov/view.</w:t>
        </w:r>
        <w:r w:rsidR="00AE449C" w:rsidRPr="000D3E03">
          <w:rPr>
            <w:rStyle w:val="Hyperlink"/>
            <w:rFonts w:ascii="Times New Roman" w:eastAsia="Times New Roman" w:hAnsi="Times New Roman" w:cs="Times New Roman"/>
            <w:b/>
            <w:bCs/>
          </w:rPr>
          <w:t>x</w:t>
        </w:r>
        <w:r w:rsidR="00AE449C" w:rsidRPr="000D3E03">
          <w:rPr>
            <w:rStyle w:val="Hyperlink"/>
            <w:rFonts w:ascii="Times New Roman" w:eastAsia="Times New Roman" w:hAnsi="Times New Roman" w:cs="Times New Roman"/>
            <w:b/>
            <w:bCs/>
          </w:rPr>
          <w:t>html?req=(title:26%20section:45Q%20edition:prelim)</w:t>
        </w:r>
      </w:hyperlink>
      <w:r w:rsidR="00AE449C">
        <w:rPr>
          <w:rFonts w:ascii="Times New Roman" w:eastAsia="Times New Roman" w:hAnsi="Times New Roman" w:cs="Times New Roman"/>
          <w:b/>
          <w:bCs/>
        </w:rPr>
        <w:t>)</w:t>
      </w:r>
    </w:p>
    <w:p w:rsidR="00AE449C" w:rsidRDefault="00D31057" w:rsidP="00D31057">
      <w:pPr>
        <w:pStyle w:val="NormalWeb"/>
        <w:rPr>
          <w:b/>
          <w:bCs/>
        </w:rPr>
      </w:pPr>
      <w:r>
        <w:rPr>
          <w:b/>
          <w:bCs/>
        </w:rPr>
        <w:t>(</w:t>
      </w:r>
      <w:hyperlink r:id="rId14" w:history="1">
        <w:r w:rsidRPr="000D3E03">
          <w:rPr>
            <w:rStyle w:val="Hyperlink"/>
          </w:rPr>
          <w:t>https://www.betterenergy.org/blog/primer-section-45q-tax-credit-for-carbon-capture-projects/</w:t>
        </w:r>
      </w:hyperlink>
      <w:r>
        <w:rPr>
          <w:b/>
          <w:bCs/>
        </w:rPr>
        <w:t>)</w:t>
      </w:r>
    </w:p>
    <w:p w:rsidR="00D31057" w:rsidRPr="00A254F6" w:rsidRDefault="00D31057" w:rsidP="00D31057">
      <w:pPr>
        <w:pStyle w:val="NormalWeb"/>
      </w:pPr>
    </w:p>
    <w:p w:rsidR="00A254F6" w:rsidRDefault="00A254F6" w:rsidP="00A254F6">
      <w:pPr>
        <w:pStyle w:val="NormalWeb"/>
      </w:pPr>
      <w:r w:rsidRPr="003823BF">
        <w:rPr>
          <w:highlight w:val="yellow"/>
        </w:rPr>
        <w:t>§45Q. Credit for carbon oxide sequestration</w:t>
      </w:r>
      <w:r w:rsidR="003823BF">
        <w:t xml:space="preserve"> – if we modify BSM only bcz for now we don’t have BECCS option</w:t>
      </w:r>
    </w:p>
    <w:p w:rsidR="00A254F6" w:rsidRDefault="00A254F6" w:rsidP="00A254F6">
      <w:pPr>
        <w:pStyle w:val="NormalWeb"/>
      </w:pPr>
      <w:r>
        <w:t>(a) General rule</w:t>
      </w:r>
    </w:p>
    <w:p w:rsidR="00A254F6" w:rsidRDefault="00A254F6" w:rsidP="00A254F6">
      <w:pPr>
        <w:pStyle w:val="NormalWeb"/>
      </w:pPr>
      <w:r>
        <w:t>For purposes of section 38, the carbon oxide sequestration credit for any taxable year is an amount equal to the sum of-</w:t>
      </w:r>
    </w:p>
    <w:p w:rsidR="00A254F6" w:rsidRDefault="00A254F6" w:rsidP="00A254F6">
      <w:pPr>
        <w:pStyle w:val="NormalWeb"/>
      </w:pPr>
      <w:r>
        <w:t>(1) $20 per metric ton of qualified carbon oxide which is-</w:t>
      </w:r>
    </w:p>
    <w:p w:rsidR="00A254F6" w:rsidRDefault="00A254F6" w:rsidP="00A254F6">
      <w:pPr>
        <w:pStyle w:val="NormalWeb"/>
      </w:pPr>
      <w:r>
        <w:t>(A) captured by the taxpayer using carbon capture equipment which is originally placed in service at a qualified facility before the date of the enactment of the Bipartisan Budget Act of 2018, and</w:t>
      </w:r>
    </w:p>
    <w:p w:rsidR="00A254F6" w:rsidRDefault="00A254F6" w:rsidP="00A254F6">
      <w:pPr>
        <w:pStyle w:val="NormalWeb"/>
      </w:pPr>
      <w:r>
        <w:t>(B) disposed of by the taxpayer in secure geological storage and not used by the taxpayer as described in paragraph (2)(B),</w:t>
      </w:r>
    </w:p>
    <w:p w:rsidR="00A254F6" w:rsidRDefault="00A254F6" w:rsidP="00A254F6">
      <w:pPr>
        <w:pStyle w:val="NormalWeb"/>
      </w:pPr>
    </w:p>
    <w:p w:rsidR="00A254F6" w:rsidRDefault="00A254F6" w:rsidP="00A254F6">
      <w:pPr>
        <w:pStyle w:val="NormalWeb"/>
      </w:pPr>
      <w:r>
        <w:t>(2) $10 per metric ton of qualified carbon oxide which is-</w:t>
      </w:r>
    </w:p>
    <w:p w:rsidR="00A254F6" w:rsidRDefault="00A254F6" w:rsidP="00A254F6">
      <w:pPr>
        <w:pStyle w:val="NormalWeb"/>
      </w:pPr>
      <w:r>
        <w:t>(A) captured by the taxpayer using carbon capture equipment which is originally placed in service at a qualified facility before the date of the enactment of the Bipartisan Budget Act of 2018, and</w:t>
      </w:r>
    </w:p>
    <w:p w:rsidR="00A254F6" w:rsidRDefault="00A254F6" w:rsidP="00A254F6">
      <w:pPr>
        <w:pStyle w:val="NormalWeb"/>
      </w:pPr>
      <w:r>
        <w:t>(B)(i) used by the taxpayer as a tertiary injectant in a qualified enhanced oil or natural gas recovery project and disposed of by the taxpayer in secure geological storage, or</w:t>
      </w:r>
    </w:p>
    <w:p w:rsidR="00A254F6" w:rsidRDefault="00A254F6" w:rsidP="00A254F6">
      <w:pPr>
        <w:pStyle w:val="NormalWeb"/>
      </w:pPr>
      <w:r>
        <w:t>(ii) utilized by the taxpayer in a manner described in subsection (f)(5),</w:t>
      </w:r>
    </w:p>
    <w:p w:rsidR="00A254F6" w:rsidRDefault="00A254F6" w:rsidP="00A254F6">
      <w:pPr>
        <w:pStyle w:val="NormalWeb"/>
      </w:pPr>
    </w:p>
    <w:p w:rsidR="00A254F6" w:rsidRDefault="00A254F6" w:rsidP="00A254F6">
      <w:pPr>
        <w:pStyle w:val="NormalWeb"/>
      </w:pPr>
      <w:r>
        <w:t>(3) the applicable dollar amount (as determined under subsection (b)(1)) per metric ton of qualified carbon oxide which is-</w:t>
      </w:r>
    </w:p>
    <w:p w:rsidR="00A254F6" w:rsidRDefault="00A254F6" w:rsidP="00A254F6">
      <w:pPr>
        <w:pStyle w:val="NormalWeb"/>
      </w:pPr>
      <w:r>
        <w:t xml:space="preserve">(A) captured by the taxpayer using carbon capture equipment which is originally placed in service at a qualified facility on or after the date of the enactment of the Bipartisan Budget Act of </w:t>
      </w:r>
      <w:r>
        <w:lastRenderedPageBreak/>
        <w:t>2018, during the 12-year period beginning on the date the equipment was originally placed in service, and</w:t>
      </w:r>
    </w:p>
    <w:p w:rsidR="00A254F6" w:rsidRDefault="00A254F6" w:rsidP="00A254F6">
      <w:pPr>
        <w:pStyle w:val="NormalWeb"/>
      </w:pPr>
      <w:r>
        <w:t>(B) disposed of by the taxpayer in secure geological storage and not used by the taxpayer as described in paragraph (4)(B), and</w:t>
      </w:r>
    </w:p>
    <w:p w:rsidR="00A254F6" w:rsidRDefault="00A254F6" w:rsidP="00A254F6">
      <w:pPr>
        <w:pStyle w:val="NormalWeb"/>
      </w:pPr>
    </w:p>
    <w:p w:rsidR="00A254F6" w:rsidRDefault="00A254F6" w:rsidP="00A254F6">
      <w:pPr>
        <w:pStyle w:val="NormalWeb"/>
      </w:pPr>
      <w:r>
        <w:t>(4) the applicable dollar amount (as determined under subsection (b)(1)) per metric ton of qualified carbon oxide which is-</w:t>
      </w:r>
    </w:p>
    <w:p w:rsidR="00A254F6" w:rsidRDefault="00A254F6" w:rsidP="00A254F6">
      <w:pPr>
        <w:pStyle w:val="NormalWeb"/>
      </w:pPr>
      <w:r>
        <w:t>(A) captured by the taxpayer using carbon capture equipment which is originally placed in service at a qualified facility on or after the date of the enactment of the Bipartisan Budget Act of 2018, during the 12-year period beginning on the date the equipment was originally placed in service, and</w:t>
      </w:r>
    </w:p>
    <w:p w:rsidR="00A254F6" w:rsidRDefault="00A254F6" w:rsidP="00A254F6">
      <w:pPr>
        <w:pStyle w:val="NormalWeb"/>
      </w:pPr>
      <w:r>
        <w:t>(B)(i) used by the taxpayer as a tertiary injectant in a qualified enhanced oil or natural gas recovery project and disposed of by the taxpayer in secure geological storage, or</w:t>
      </w:r>
    </w:p>
    <w:p w:rsidR="00A254F6" w:rsidRDefault="00A254F6" w:rsidP="00A254F6">
      <w:pPr>
        <w:pStyle w:val="NormalWeb"/>
      </w:pPr>
      <w:r>
        <w:t>(ii) utilized by the taxpayer in a manner described in subsection (f)(5).</w:t>
      </w:r>
    </w:p>
    <w:p w:rsidR="00A254F6" w:rsidRDefault="00A254F6" w:rsidP="00A254F6">
      <w:pPr>
        <w:pStyle w:val="NormalWeb"/>
      </w:pPr>
      <w:r>
        <w:t>(b) Applicable dollar amount; additional equipment; election</w:t>
      </w:r>
    </w:p>
    <w:p w:rsidR="00A254F6" w:rsidRDefault="00A254F6" w:rsidP="00A254F6">
      <w:pPr>
        <w:pStyle w:val="NormalWeb"/>
      </w:pPr>
      <w:r>
        <w:t>(1) Applicable dollar amount</w:t>
      </w:r>
    </w:p>
    <w:p w:rsidR="00A254F6" w:rsidRDefault="00A254F6" w:rsidP="00A254F6">
      <w:pPr>
        <w:pStyle w:val="NormalWeb"/>
      </w:pPr>
      <w:r>
        <w:t>(A) In general</w:t>
      </w:r>
    </w:p>
    <w:p w:rsidR="00A254F6" w:rsidRDefault="00A254F6" w:rsidP="00A254F6">
      <w:pPr>
        <w:pStyle w:val="NormalWeb"/>
      </w:pPr>
      <w:r>
        <w:t>The applicable dollar amount shall be an amount equal to-</w:t>
      </w:r>
    </w:p>
    <w:p w:rsidR="00A254F6" w:rsidRDefault="00A254F6" w:rsidP="00A254F6">
      <w:pPr>
        <w:pStyle w:val="NormalWeb"/>
      </w:pPr>
      <w:r>
        <w:t>(i) for any taxable year beginning in a calendar year after 2016 and before 2027-</w:t>
      </w:r>
    </w:p>
    <w:p w:rsidR="00A254F6" w:rsidRDefault="00A254F6" w:rsidP="00A254F6">
      <w:pPr>
        <w:pStyle w:val="NormalWeb"/>
      </w:pPr>
      <w:r>
        <w:t>(I) for purposes of paragraph (3) of subsection (a), the dollar amount established by linear interpolation between $22.66 and $50 for each calendar year during such period, and</w:t>
      </w:r>
    </w:p>
    <w:p w:rsidR="00A254F6" w:rsidRDefault="00A254F6" w:rsidP="00A254F6">
      <w:pPr>
        <w:pStyle w:val="NormalWeb"/>
      </w:pPr>
      <w:r>
        <w:t>(II) for purposes of paragraph (4) of such subsection, the dollar amount established by linear interpolation between $12.83 and $35 for each calendar year during such period, and</w:t>
      </w:r>
    </w:p>
    <w:p w:rsidR="00A254F6" w:rsidRDefault="00A254F6" w:rsidP="00A254F6">
      <w:pPr>
        <w:pStyle w:val="NormalWeb"/>
      </w:pPr>
    </w:p>
    <w:p w:rsidR="00A254F6" w:rsidRDefault="00A254F6" w:rsidP="00A254F6">
      <w:pPr>
        <w:pStyle w:val="NormalWeb"/>
      </w:pPr>
      <w:r>
        <w:t>(ii) for any taxable year beginning in a calendar year after 2026-</w:t>
      </w:r>
    </w:p>
    <w:p w:rsidR="00A254F6" w:rsidRDefault="00A254F6" w:rsidP="00A254F6">
      <w:pPr>
        <w:pStyle w:val="NormalWeb"/>
      </w:pPr>
      <w:r>
        <w:t>(I) for purposes of paragraph (3) of subsection (a), an amount equal to the product of $50 and the inflation adjustment factor for such calendar year determined under section 43(b)(3)(B) for such calendar year, determined by substituting "2025" for "1990", and</w:t>
      </w:r>
    </w:p>
    <w:p w:rsidR="00A254F6" w:rsidRDefault="00A254F6" w:rsidP="00A254F6">
      <w:pPr>
        <w:pStyle w:val="NormalWeb"/>
      </w:pPr>
      <w:r>
        <w:lastRenderedPageBreak/>
        <w:t>(II) for purposes of paragraph (4) of such subsection, an amount equal to the product of $35 and the inflation adjustment factor for such calendar year determined under section 43(b)(3)(B) for such calendar year, determined by substituting "2025" for "1990".</w:t>
      </w:r>
    </w:p>
    <w:p w:rsidR="00A254F6" w:rsidRDefault="00A254F6" w:rsidP="00A254F6">
      <w:pPr>
        <w:pStyle w:val="NormalWeb"/>
      </w:pPr>
      <w:r>
        <w:t>(B) Rounding</w:t>
      </w:r>
    </w:p>
    <w:p w:rsidR="00A254F6" w:rsidRDefault="00A254F6" w:rsidP="00A254F6">
      <w:pPr>
        <w:pStyle w:val="NormalWeb"/>
      </w:pPr>
      <w:r>
        <w:t>The applicable dollar amount determined under subparagraph (A) shall be rounded to the nearest cent.</w:t>
      </w:r>
    </w:p>
    <w:p w:rsidR="00A254F6" w:rsidRDefault="00A254F6" w:rsidP="00A254F6">
      <w:pPr>
        <w:pStyle w:val="NormalWeb"/>
      </w:pPr>
      <w:r>
        <w:t>(2) Installation of additional carbon capture equipment on existing qualified facility</w:t>
      </w:r>
    </w:p>
    <w:p w:rsidR="00A254F6" w:rsidRDefault="00A254F6" w:rsidP="00A254F6">
      <w:pPr>
        <w:pStyle w:val="NormalWeb"/>
      </w:pPr>
      <w:r>
        <w:t>In the case of a qualified facility placed in service before the date of the enactment of the Bipartisan Budget Act of 2018, for which additional carbon capture equipment is placed in service on or after the date of the enactment of such Act, the amount of qualified carbon oxide which is captured by the taxpayer shall be equal to-</w:t>
      </w:r>
    </w:p>
    <w:p w:rsidR="00A254F6" w:rsidRDefault="00A254F6" w:rsidP="00A254F6">
      <w:pPr>
        <w:pStyle w:val="NormalWeb"/>
      </w:pPr>
      <w:r>
        <w:t>(A) for purposes of paragraphs (1)(A) and (2)(A) of subsection (a), the lesser of-</w:t>
      </w:r>
    </w:p>
    <w:p w:rsidR="00A254F6" w:rsidRDefault="00A254F6" w:rsidP="00A254F6">
      <w:pPr>
        <w:pStyle w:val="NormalWeb"/>
      </w:pPr>
      <w:r>
        <w:t>(i) the total amount of qualified carbon oxide captured at such facility for the taxable year, or</w:t>
      </w:r>
    </w:p>
    <w:p w:rsidR="00A254F6" w:rsidRDefault="00A254F6" w:rsidP="00A254F6">
      <w:pPr>
        <w:pStyle w:val="NormalWeb"/>
      </w:pPr>
      <w:r>
        <w:t>(ii) the total amount of the carbon dioxide capture capacity of the carbon capture equipment in service at such facility on the day before the date of the enactment of the Bipartisan Budget Act of 2018, and</w:t>
      </w:r>
    </w:p>
    <w:p w:rsidR="00A254F6" w:rsidRDefault="00A254F6" w:rsidP="00A254F6">
      <w:pPr>
        <w:pStyle w:val="NormalWeb"/>
      </w:pPr>
    </w:p>
    <w:p w:rsidR="00A254F6" w:rsidRDefault="00A254F6" w:rsidP="00A254F6">
      <w:pPr>
        <w:pStyle w:val="NormalWeb"/>
      </w:pPr>
      <w:r>
        <w:t>(B) for purposes of paragraphs (3)(A) and (4)(A) of such subsection, an amount (not less than zero) equal to the excess of-</w:t>
      </w:r>
    </w:p>
    <w:p w:rsidR="00A254F6" w:rsidRDefault="00A254F6" w:rsidP="00A254F6">
      <w:pPr>
        <w:pStyle w:val="NormalWeb"/>
      </w:pPr>
      <w:r>
        <w:t>(i) the amount described in clause (i) of subparagraph (A), over</w:t>
      </w:r>
    </w:p>
    <w:p w:rsidR="00A254F6" w:rsidRDefault="00A254F6" w:rsidP="00A254F6">
      <w:pPr>
        <w:pStyle w:val="NormalWeb"/>
      </w:pPr>
      <w:r>
        <w:t>(ii) the amount described in clause (ii) of such subparagraph.</w:t>
      </w:r>
    </w:p>
    <w:p w:rsidR="00A254F6" w:rsidRDefault="00A254F6" w:rsidP="00A254F6">
      <w:pPr>
        <w:pStyle w:val="NormalWeb"/>
      </w:pPr>
      <w:r>
        <w:t>(3) Election</w:t>
      </w:r>
    </w:p>
    <w:p w:rsidR="00A254F6" w:rsidRDefault="00A254F6" w:rsidP="00A254F6">
      <w:pPr>
        <w:pStyle w:val="NormalWeb"/>
      </w:pPr>
      <w:r>
        <w:t>For purposes of determining the carbon oxide sequestration credit under this section, a taxpayer may elect to have the dollar amounts applicable under paragraph (1) or (2) of subsection (a) apply in lieu of the dollar amounts applicable under paragraph (3) or (4) of such subsection for each metric ton of qualified carbon oxide which is captured by the taxpayer using carbon capture equipment which is originally placed in service at a qualified facility on or after the date of the enactment of the Bipartisan Budget Act of 2018.</w:t>
      </w:r>
    </w:p>
    <w:p w:rsidR="00A254F6" w:rsidRDefault="00A254F6" w:rsidP="00A254F6">
      <w:pPr>
        <w:pStyle w:val="NormalWeb"/>
      </w:pPr>
      <w:r>
        <w:t>(c) Qualified carbon oxide</w:t>
      </w:r>
    </w:p>
    <w:p w:rsidR="00A254F6" w:rsidRDefault="00A254F6" w:rsidP="00A254F6">
      <w:pPr>
        <w:pStyle w:val="NormalWeb"/>
      </w:pPr>
      <w:r>
        <w:t>For purposes of this section-</w:t>
      </w:r>
    </w:p>
    <w:p w:rsidR="00A254F6" w:rsidRDefault="00A254F6" w:rsidP="00A254F6">
      <w:pPr>
        <w:pStyle w:val="NormalWeb"/>
      </w:pPr>
      <w:r>
        <w:lastRenderedPageBreak/>
        <w:t>(1) In general</w:t>
      </w:r>
    </w:p>
    <w:p w:rsidR="00A254F6" w:rsidRDefault="00A254F6" w:rsidP="00A254F6">
      <w:pPr>
        <w:pStyle w:val="NormalWeb"/>
      </w:pPr>
      <w:r>
        <w:t>The term "qualified carbon oxide" means-</w:t>
      </w:r>
    </w:p>
    <w:p w:rsidR="00A254F6" w:rsidRDefault="00A254F6" w:rsidP="00A254F6">
      <w:pPr>
        <w:pStyle w:val="NormalWeb"/>
      </w:pPr>
      <w:r>
        <w:t>(A) any carbon dioxide which-</w:t>
      </w:r>
    </w:p>
    <w:p w:rsidR="00A254F6" w:rsidRDefault="00A254F6" w:rsidP="00A254F6">
      <w:pPr>
        <w:pStyle w:val="NormalWeb"/>
      </w:pPr>
      <w:r>
        <w:t>(i) is captured from an industrial source by carbon capture equipment which is originally placed in service before the date of the enactment of the Bipartisan Budget Act of 2018,</w:t>
      </w:r>
    </w:p>
    <w:p w:rsidR="00A254F6" w:rsidRDefault="00A254F6" w:rsidP="00A254F6">
      <w:pPr>
        <w:pStyle w:val="NormalWeb"/>
      </w:pPr>
      <w:r>
        <w:t>(ii) would otherwise be released into the atmosphere as industrial emission of greenhouse gas or lead to such release, and</w:t>
      </w:r>
    </w:p>
    <w:p w:rsidR="00A254F6" w:rsidRDefault="00A254F6" w:rsidP="00A254F6">
      <w:pPr>
        <w:pStyle w:val="NormalWeb"/>
      </w:pPr>
      <w:r>
        <w:t>(iii) is measured at the source of capture and verified at the point of disposal, injection, or utilization,</w:t>
      </w:r>
    </w:p>
    <w:p w:rsidR="00A254F6" w:rsidRDefault="00A254F6" w:rsidP="00A254F6">
      <w:pPr>
        <w:pStyle w:val="NormalWeb"/>
      </w:pPr>
    </w:p>
    <w:p w:rsidR="00A254F6" w:rsidRDefault="00A254F6" w:rsidP="00A254F6">
      <w:pPr>
        <w:pStyle w:val="NormalWeb"/>
      </w:pPr>
      <w:r>
        <w:t>(B) any carbon dioxide or other carbon oxide which-</w:t>
      </w:r>
    </w:p>
    <w:p w:rsidR="00A254F6" w:rsidRDefault="00A254F6" w:rsidP="00A254F6">
      <w:pPr>
        <w:pStyle w:val="NormalWeb"/>
      </w:pPr>
      <w:r>
        <w:t>(i) is captured from an industrial source by carbon capture equipment which is originally placed in service on or after the date of the enactment of the Bipartisan Budget Act of 2018,</w:t>
      </w:r>
    </w:p>
    <w:p w:rsidR="00A254F6" w:rsidRDefault="00A254F6" w:rsidP="00A254F6">
      <w:pPr>
        <w:pStyle w:val="NormalWeb"/>
      </w:pPr>
      <w:r>
        <w:t>(ii) would otherwise be released into the atmosphere as industrial emission of greenhouse gas or lead to such release, and</w:t>
      </w:r>
    </w:p>
    <w:p w:rsidR="00A254F6" w:rsidRDefault="00A254F6" w:rsidP="00A254F6">
      <w:pPr>
        <w:pStyle w:val="NormalWeb"/>
      </w:pPr>
      <w:r>
        <w:t>(iii) is measured at the source of capture and verified at the point of disposal, injection, or utilization, or</w:t>
      </w:r>
    </w:p>
    <w:p w:rsidR="00A254F6" w:rsidRDefault="00A254F6" w:rsidP="00A254F6">
      <w:pPr>
        <w:pStyle w:val="NormalWeb"/>
      </w:pPr>
    </w:p>
    <w:p w:rsidR="00A254F6" w:rsidRDefault="00A254F6" w:rsidP="00A254F6">
      <w:pPr>
        <w:pStyle w:val="NormalWeb"/>
      </w:pPr>
      <w:r>
        <w:t>(C) in the case of a direct air capture facility, any carbon dioxide which-</w:t>
      </w:r>
    </w:p>
    <w:p w:rsidR="00A254F6" w:rsidRDefault="00A254F6" w:rsidP="00A254F6">
      <w:pPr>
        <w:pStyle w:val="NormalWeb"/>
      </w:pPr>
      <w:r>
        <w:t>(i) is captured directly from the ambient air, and</w:t>
      </w:r>
    </w:p>
    <w:p w:rsidR="00A254F6" w:rsidRDefault="00A254F6" w:rsidP="00A254F6">
      <w:pPr>
        <w:pStyle w:val="NormalWeb"/>
      </w:pPr>
      <w:r>
        <w:t>(ii) is measured at the source of capture and verified at the point of disposal, injection, or utilization.</w:t>
      </w:r>
    </w:p>
    <w:p w:rsidR="00A254F6" w:rsidRDefault="00A254F6" w:rsidP="00A254F6">
      <w:pPr>
        <w:pStyle w:val="NormalWeb"/>
      </w:pPr>
      <w:r>
        <w:t>(2) Recycled carbon oxide</w:t>
      </w:r>
    </w:p>
    <w:p w:rsidR="00A254F6" w:rsidRDefault="00A254F6" w:rsidP="00A254F6">
      <w:pPr>
        <w:pStyle w:val="NormalWeb"/>
      </w:pPr>
      <w:r>
        <w:t>The term "qualified carbon oxide" includes the initial deposit of captured carbon oxide used as a tertiary injectant. Such term does not include carbon oxide that is recaptured, recycled, and re-injected as part of the enhanced oil and natural gas recovery process.</w:t>
      </w:r>
    </w:p>
    <w:p w:rsidR="00A254F6" w:rsidRDefault="00A254F6" w:rsidP="00A254F6">
      <w:pPr>
        <w:pStyle w:val="NormalWeb"/>
      </w:pPr>
      <w:r>
        <w:t>(d) Qualified facility</w:t>
      </w:r>
    </w:p>
    <w:p w:rsidR="00A254F6" w:rsidRDefault="00A254F6" w:rsidP="00A254F6">
      <w:pPr>
        <w:pStyle w:val="NormalWeb"/>
      </w:pPr>
      <w:r>
        <w:lastRenderedPageBreak/>
        <w:t>For purposes of this section, the term "qualified facility" means any industrial facility or direct air capture facility-</w:t>
      </w:r>
    </w:p>
    <w:p w:rsidR="00A254F6" w:rsidRDefault="00A254F6" w:rsidP="00A254F6">
      <w:pPr>
        <w:pStyle w:val="NormalWeb"/>
      </w:pPr>
      <w:r>
        <w:t>(1) the construction of which begins before January 1, 2024, and-</w:t>
      </w:r>
    </w:p>
    <w:p w:rsidR="00A254F6" w:rsidRDefault="00A254F6" w:rsidP="00A254F6">
      <w:pPr>
        <w:pStyle w:val="NormalWeb"/>
      </w:pPr>
      <w:r>
        <w:t>(A) construction of carbon capture equipment begins before such date, or</w:t>
      </w:r>
    </w:p>
    <w:p w:rsidR="00A254F6" w:rsidRDefault="00A254F6" w:rsidP="00A254F6">
      <w:pPr>
        <w:pStyle w:val="NormalWeb"/>
      </w:pPr>
      <w:r>
        <w:t>(B) the original planning and design for such facility includes installation of carbon capture equipment, and</w:t>
      </w:r>
    </w:p>
    <w:p w:rsidR="00A254F6" w:rsidRDefault="00A254F6" w:rsidP="00A254F6">
      <w:pPr>
        <w:pStyle w:val="NormalWeb"/>
      </w:pPr>
    </w:p>
    <w:p w:rsidR="00A254F6" w:rsidRDefault="00A254F6" w:rsidP="00A254F6">
      <w:pPr>
        <w:pStyle w:val="NormalWeb"/>
      </w:pPr>
      <w:r>
        <w:t>(2) which captures-</w:t>
      </w:r>
    </w:p>
    <w:p w:rsidR="00A254F6" w:rsidRDefault="00A254F6" w:rsidP="00A254F6">
      <w:pPr>
        <w:pStyle w:val="NormalWeb"/>
      </w:pPr>
      <w:r>
        <w:t>(A) in the case of a facility which emits not more than 500,000 metric tons of carbon oxide into the atmosphere during the taxable year, not less than 25,000 metric tons of qualified carbon oxide during the taxable year which is utilized in a manner described in subsection (f)(5),</w:t>
      </w:r>
    </w:p>
    <w:p w:rsidR="00A254F6" w:rsidRDefault="00A254F6" w:rsidP="00A254F6">
      <w:pPr>
        <w:pStyle w:val="NormalWeb"/>
      </w:pPr>
      <w:r>
        <w:t>(B) in the case of an electricity generating facility which is not described in subparagraph (A), not less than 500,000 metric tons of qualified carbon oxide during the taxable year, or</w:t>
      </w:r>
    </w:p>
    <w:p w:rsidR="00A254F6" w:rsidRDefault="00A254F6" w:rsidP="00A254F6">
      <w:pPr>
        <w:pStyle w:val="NormalWeb"/>
      </w:pPr>
      <w:r>
        <w:t>(C) in the case of a direct air capture facility or any facility not described in subparagraph (A) or (B), not less than 100,000 metric tons of qualified carbon oxide during the taxable year.</w:t>
      </w:r>
    </w:p>
    <w:p w:rsidR="00A254F6" w:rsidRDefault="00A254F6" w:rsidP="00A254F6">
      <w:pPr>
        <w:pStyle w:val="NormalWeb"/>
      </w:pPr>
      <w:r>
        <w:t>(e) Definitions</w:t>
      </w:r>
    </w:p>
    <w:p w:rsidR="00A254F6" w:rsidRDefault="00A254F6" w:rsidP="00A254F6">
      <w:pPr>
        <w:pStyle w:val="NormalWeb"/>
      </w:pPr>
      <w:r>
        <w:t>For purposes of this section-</w:t>
      </w:r>
    </w:p>
    <w:p w:rsidR="00A254F6" w:rsidRDefault="00A254F6" w:rsidP="00A254F6">
      <w:pPr>
        <w:pStyle w:val="NormalWeb"/>
      </w:pPr>
      <w:r>
        <w:t>(1) Direct air capture facility</w:t>
      </w:r>
    </w:p>
    <w:p w:rsidR="00A254F6" w:rsidRDefault="00A254F6" w:rsidP="00A254F6">
      <w:pPr>
        <w:pStyle w:val="NormalWeb"/>
      </w:pPr>
      <w:r>
        <w:t>(A) In general</w:t>
      </w:r>
    </w:p>
    <w:p w:rsidR="00A254F6" w:rsidRDefault="00A254F6" w:rsidP="00A254F6">
      <w:pPr>
        <w:pStyle w:val="NormalWeb"/>
      </w:pPr>
      <w:r>
        <w:t>Subject to subparagraph (B), the term "direct air capture facility" means any facility which uses carbon capture equipment to capture carbon dioxide directly from the ambient air.</w:t>
      </w:r>
    </w:p>
    <w:p w:rsidR="00A254F6" w:rsidRDefault="00A254F6" w:rsidP="00A254F6">
      <w:pPr>
        <w:pStyle w:val="NormalWeb"/>
      </w:pPr>
      <w:r>
        <w:t>(B) Exception</w:t>
      </w:r>
    </w:p>
    <w:p w:rsidR="00A254F6" w:rsidRDefault="00A254F6" w:rsidP="00A254F6">
      <w:pPr>
        <w:pStyle w:val="NormalWeb"/>
      </w:pPr>
      <w:r>
        <w:t>The term "direct air capture facility" shall not include any facility which captures carbon dioxide-</w:t>
      </w:r>
    </w:p>
    <w:p w:rsidR="00A254F6" w:rsidRDefault="00A254F6" w:rsidP="00A254F6">
      <w:pPr>
        <w:pStyle w:val="NormalWeb"/>
      </w:pPr>
      <w:r>
        <w:t>(i) which is deliberately released from naturally occurring subsurface springs, or</w:t>
      </w:r>
    </w:p>
    <w:p w:rsidR="00A254F6" w:rsidRDefault="00A254F6" w:rsidP="00A254F6">
      <w:pPr>
        <w:pStyle w:val="NormalWeb"/>
      </w:pPr>
      <w:r>
        <w:t>(ii) using natural photosynthesis.</w:t>
      </w:r>
    </w:p>
    <w:p w:rsidR="00A254F6" w:rsidRDefault="00A254F6" w:rsidP="00A254F6">
      <w:pPr>
        <w:pStyle w:val="NormalWeb"/>
      </w:pPr>
      <w:r>
        <w:t>(2) Qualified enhanced oil or natural gas recovery project</w:t>
      </w:r>
    </w:p>
    <w:p w:rsidR="00A254F6" w:rsidRDefault="00A254F6" w:rsidP="00A254F6">
      <w:pPr>
        <w:pStyle w:val="NormalWeb"/>
      </w:pPr>
      <w:r>
        <w:lastRenderedPageBreak/>
        <w:t>The term "qualified enhanced oil or natural gas recovery project" has the meaning given the term "qualified enhanced oil recovery project" by section 43(c)(2), by substituting "crude oil or natural gas" for "crude oil" in subparagraph (A)(i) thereof.</w:t>
      </w:r>
    </w:p>
    <w:p w:rsidR="00A254F6" w:rsidRDefault="00A254F6" w:rsidP="00A254F6">
      <w:pPr>
        <w:pStyle w:val="NormalWeb"/>
      </w:pPr>
      <w:r>
        <w:t>(3) Tertiary injectant</w:t>
      </w:r>
    </w:p>
    <w:p w:rsidR="00A254F6" w:rsidRDefault="00A254F6" w:rsidP="00A254F6">
      <w:pPr>
        <w:pStyle w:val="NormalWeb"/>
      </w:pPr>
      <w:r>
        <w:t>The term "tertiary injectant" has the same meaning as when used within section 193(b)(1).</w:t>
      </w:r>
    </w:p>
    <w:p w:rsidR="00A254F6" w:rsidRDefault="00A254F6" w:rsidP="00A254F6">
      <w:pPr>
        <w:pStyle w:val="NormalWeb"/>
      </w:pPr>
      <w:r>
        <w:t>(f) Special rules</w:t>
      </w:r>
    </w:p>
    <w:p w:rsidR="00A254F6" w:rsidRDefault="00A254F6" w:rsidP="00A254F6">
      <w:pPr>
        <w:pStyle w:val="NormalWeb"/>
      </w:pPr>
      <w:r>
        <w:t>(1) Only qualified carbon oxide captured and disposed of or used within the united states taken into account</w:t>
      </w:r>
    </w:p>
    <w:p w:rsidR="00A254F6" w:rsidRDefault="00A254F6" w:rsidP="00A254F6">
      <w:pPr>
        <w:pStyle w:val="NormalWeb"/>
      </w:pPr>
      <w:r>
        <w:t>The credit under this section shall apply only with respect to qualified carbon oxide the capture and disposal, use, or utilization of which is within-</w:t>
      </w:r>
    </w:p>
    <w:p w:rsidR="00A254F6" w:rsidRDefault="00A254F6" w:rsidP="00A254F6">
      <w:pPr>
        <w:pStyle w:val="NormalWeb"/>
      </w:pPr>
      <w:r>
        <w:t>(A) the United States (within the meaning of section 638(1)), or</w:t>
      </w:r>
    </w:p>
    <w:p w:rsidR="00A254F6" w:rsidRDefault="00A254F6" w:rsidP="00A254F6">
      <w:pPr>
        <w:pStyle w:val="NormalWeb"/>
      </w:pPr>
      <w:r>
        <w:t>(B) a possession of the United States (within the meaning of section 638(2)).</w:t>
      </w:r>
    </w:p>
    <w:p w:rsidR="00A254F6" w:rsidRDefault="00A254F6" w:rsidP="00A254F6">
      <w:pPr>
        <w:pStyle w:val="NormalWeb"/>
      </w:pPr>
      <w:r>
        <w:t>(2) Secure geological storage</w:t>
      </w:r>
    </w:p>
    <w:p w:rsidR="00A254F6" w:rsidRDefault="00A254F6" w:rsidP="00A254F6">
      <w:pPr>
        <w:pStyle w:val="NormalWeb"/>
      </w:pPr>
      <w:r>
        <w:t>The Secretary, in consultation with the Administrator of the Environmental Protection Agency, the Secretary of Energy, and the Secretary of the Interior, shall establish regulations for determining adequate security measures for the geological storage of qualified carbon oxide under subsection (a) such that the qualified carbon oxide does not escape into the atmosphere. Such term shall include storage at deep saline formations, oil and gas reservoirs, and unminable coal seams under such conditions as the Secretary may determine under such regulations.</w:t>
      </w:r>
    </w:p>
    <w:p w:rsidR="00A254F6" w:rsidRDefault="00A254F6" w:rsidP="00A254F6">
      <w:pPr>
        <w:pStyle w:val="NormalWeb"/>
      </w:pPr>
      <w:r>
        <w:t>(3) Credit attributable to taxpayer</w:t>
      </w:r>
    </w:p>
    <w:p w:rsidR="00A254F6" w:rsidRDefault="00A254F6" w:rsidP="00A254F6">
      <w:pPr>
        <w:pStyle w:val="NormalWeb"/>
      </w:pPr>
      <w:r>
        <w:t>(A) In general</w:t>
      </w:r>
    </w:p>
    <w:p w:rsidR="00A254F6" w:rsidRDefault="00A254F6" w:rsidP="00A254F6">
      <w:pPr>
        <w:pStyle w:val="NormalWeb"/>
      </w:pPr>
      <w:r>
        <w:t>Except as provided in subparagraph (B) or in any regulations prescribed by the Secretary, any credit under this section shall be attributable to-</w:t>
      </w:r>
    </w:p>
    <w:p w:rsidR="00A254F6" w:rsidRDefault="00A254F6" w:rsidP="00A254F6">
      <w:pPr>
        <w:pStyle w:val="NormalWeb"/>
      </w:pPr>
      <w:r>
        <w:t>(i) in the case of qualified carbon oxide captured using carbon capture equipment which is originally placed in service at a qualified facility before the date of the enactment of the Bipartisan Budget Act of 2018, the person that captures and physically or contractually ensures the disposal, utilization, or use as a tertiary injectant of such qualified carbon oxide, and</w:t>
      </w:r>
    </w:p>
    <w:p w:rsidR="00A254F6" w:rsidRDefault="00A254F6" w:rsidP="00A254F6">
      <w:pPr>
        <w:pStyle w:val="NormalWeb"/>
      </w:pPr>
      <w:r>
        <w:t>(ii) in the case of qualified carbon oxide captured using carbon capture equipment which is originally placed in service at a qualified facility on or after the date of the enactment of the Bipartisan Budget Act of 2018, the person that owns the carbon capture equipment and physically or contractually ensures the capture and disposal, utilization, or use as a tertiary injectant of such qualified carbon oxide.</w:t>
      </w:r>
    </w:p>
    <w:p w:rsidR="00A254F6" w:rsidRDefault="00A254F6" w:rsidP="00A254F6">
      <w:pPr>
        <w:pStyle w:val="NormalWeb"/>
      </w:pPr>
      <w:r>
        <w:lastRenderedPageBreak/>
        <w:t>(B) Election</w:t>
      </w:r>
    </w:p>
    <w:p w:rsidR="00A254F6" w:rsidRDefault="00A254F6" w:rsidP="00A254F6">
      <w:pPr>
        <w:pStyle w:val="NormalWeb"/>
      </w:pPr>
      <w:r>
        <w:t>If the person described in subparagraph (A) makes an election under this subparagraph in such time and manner as the Secretary may prescribe by regulations, the credit under this section-</w:t>
      </w:r>
    </w:p>
    <w:p w:rsidR="00A254F6" w:rsidRDefault="00A254F6" w:rsidP="00A254F6">
      <w:pPr>
        <w:pStyle w:val="NormalWeb"/>
      </w:pPr>
      <w:r>
        <w:t>(i) shall be allowable to the person that disposes of the qualified carbon oxide, utilizes the qualified carbon oxide, or uses the qualified carbon oxide as a tertiary injectant, and</w:t>
      </w:r>
    </w:p>
    <w:p w:rsidR="00A254F6" w:rsidRDefault="00A254F6" w:rsidP="00A254F6">
      <w:pPr>
        <w:pStyle w:val="NormalWeb"/>
      </w:pPr>
      <w:r>
        <w:t>(ii) shall not be allowable to the person described in subparagraph (A).</w:t>
      </w:r>
    </w:p>
    <w:p w:rsidR="00A254F6" w:rsidRDefault="00A254F6" w:rsidP="00A254F6">
      <w:pPr>
        <w:pStyle w:val="NormalWeb"/>
      </w:pPr>
      <w:r>
        <w:t>(4) Recapture</w:t>
      </w:r>
    </w:p>
    <w:p w:rsidR="00A254F6" w:rsidRDefault="00A254F6" w:rsidP="00A254F6">
      <w:pPr>
        <w:pStyle w:val="NormalWeb"/>
      </w:pPr>
      <w:r>
        <w:t>The Secretary shall, by regulations, provide for recapturing the benefit of any credit allowable under subsection (a) with respect to any qualified carbon oxide which ceases to be captured, disposed of, or used as a tertiary injectant in a manner consistent with the requirements of this section.</w:t>
      </w:r>
    </w:p>
    <w:p w:rsidR="00A254F6" w:rsidRDefault="00A254F6" w:rsidP="00A254F6">
      <w:pPr>
        <w:pStyle w:val="NormalWeb"/>
      </w:pPr>
      <w:r>
        <w:t>(5) Utilization of qualified carbon oxide</w:t>
      </w:r>
    </w:p>
    <w:p w:rsidR="00A254F6" w:rsidRDefault="00A254F6" w:rsidP="00A254F6">
      <w:pPr>
        <w:pStyle w:val="NormalWeb"/>
      </w:pPr>
      <w:r>
        <w:t>(A) In general</w:t>
      </w:r>
    </w:p>
    <w:p w:rsidR="00A254F6" w:rsidRDefault="00A254F6" w:rsidP="00A254F6">
      <w:pPr>
        <w:pStyle w:val="NormalWeb"/>
      </w:pPr>
      <w:r>
        <w:t>For purposes of this section, utilization of qualified carbon oxide means-</w:t>
      </w:r>
    </w:p>
    <w:p w:rsidR="00A254F6" w:rsidRDefault="00A254F6" w:rsidP="00A254F6">
      <w:pPr>
        <w:pStyle w:val="NormalWeb"/>
      </w:pPr>
      <w:r>
        <w:t>(i) the fixation of such qualified carbon oxide through photosynthesis or chemosynthesis, such as through the growing of algae or bacteria,</w:t>
      </w:r>
    </w:p>
    <w:p w:rsidR="00A254F6" w:rsidRDefault="00A254F6" w:rsidP="00A254F6">
      <w:pPr>
        <w:pStyle w:val="NormalWeb"/>
      </w:pPr>
      <w:r>
        <w:t>(ii) the chemical conversion of such qualified carbon oxide to a material or chemical compound in which such qualified carbon oxide is securely stored, or</w:t>
      </w:r>
    </w:p>
    <w:p w:rsidR="00A254F6" w:rsidRDefault="00A254F6" w:rsidP="00A254F6">
      <w:pPr>
        <w:pStyle w:val="NormalWeb"/>
      </w:pPr>
      <w:r>
        <w:t>(iii) the use of such qualified carbon oxide for any other purpose for which a commercial market exists (with the exception of use as a tertiary injectant in a qualified enhanced oil or natural gas recovery project), as determined by the Secretary.</w:t>
      </w:r>
    </w:p>
    <w:p w:rsidR="00A254F6" w:rsidRDefault="00A254F6" w:rsidP="00A254F6">
      <w:pPr>
        <w:pStyle w:val="NormalWeb"/>
      </w:pPr>
      <w:r>
        <w:t>(B) Measurement</w:t>
      </w:r>
    </w:p>
    <w:p w:rsidR="00A254F6" w:rsidRDefault="00A254F6" w:rsidP="00A254F6">
      <w:pPr>
        <w:pStyle w:val="NormalWeb"/>
      </w:pPr>
      <w:r>
        <w:t>(i) In general</w:t>
      </w:r>
    </w:p>
    <w:p w:rsidR="00A254F6" w:rsidRDefault="00A254F6" w:rsidP="00A254F6">
      <w:pPr>
        <w:pStyle w:val="NormalWeb"/>
      </w:pPr>
      <w:r>
        <w:t>For purposes of determining the amount of qualified carbon oxide utilized by the taxpayer under paragraph (2)(B)(ii) or (4)(B)(ii) of subsection (a), such amount shall be equal to the metric tons of qualified carbon oxide which the taxpayer demonstrates, based upon an analysis of lifecycle greenhouse gas emissions and subject to such requirements as the Secretary, in consultation with the Secretary of Energy and the Administrator of the Environmental Protection Agency, determines appropriate, were-</w:t>
      </w:r>
    </w:p>
    <w:p w:rsidR="00A254F6" w:rsidRDefault="00A254F6" w:rsidP="00A254F6">
      <w:pPr>
        <w:pStyle w:val="NormalWeb"/>
      </w:pPr>
      <w:r>
        <w:t>(I) captured and permanently isolated from the atmosphere, or</w:t>
      </w:r>
    </w:p>
    <w:p w:rsidR="00A254F6" w:rsidRDefault="00A254F6" w:rsidP="00A254F6">
      <w:pPr>
        <w:pStyle w:val="NormalWeb"/>
      </w:pPr>
      <w:r>
        <w:lastRenderedPageBreak/>
        <w:t>(II) displaced from being emitted into the atmosphere,</w:t>
      </w:r>
    </w:p>
    <w:p w:rsidR="00A254F6" w:rsidRDefault="00A254F6" w:rsidP="00A254F6">
      <w:pPr>
        <w:pStyle w:val="NormalWeb"/>
      </w:pPr>
    </w:p>
    <w:p w:rsidR="00A254F6" w:rsidRDefault="00A254F6" w:rsidP="00A254F6">
      <w:pPr>
        <w:pStyle w:val="NormalWeb"/>
      </w:pPr>
      <w:r>
        <w:t xml:space="preserve"> through use of a process described in subparagraph (A).</w:t>
      </w:r>
    </w:p>
    <w:p w:rsidR="00A254F6" w:rsidRDefault="00A254F6" w:rsidP="00A254F6">
      <w:pPr>
        <w:pStyle w:val="NormalWeb"/>
      </w:pPr>
      <w:r>
        <w:t>(ii) Lifecycle greenhouse gas emissions</w:t>
      </w:r>
    </w:p>
    <w:p w:rsidR="00A254F6" w:rsidRDefault="00A254F6" w:rsidP="00A254F6">
      <w:pPr>
        <w:pStyle w:val="NormalWeb"/>
      </w:pPr>
      <w:r>
        <w:t>For purposes of clause (i), the term "lifecycle greenhouse gas emissions" has the same meaning given such term under subparagraph (H) of section 211(o)(1) of the Clean Air Act (42 U.S.C. 7545(o)(1)), as in effect on the date of the enactment of the Bipartisan Budget Act of 2018, except that "product" shall be substituted for "fuel" each place it appears in such subparagraph.</w:t>
      </w:r>
    </w:p>
    <w:p w:rsidR="00A254F6" w:rsidRDefault="00A254F6" w:rsidP="00A254F6">
      <w:pPr>
        <w:pStyle w:val="NormalWeb"/>
      </w:pPr>
      <w:r>
        <w:t>(6) Election for applicable facilities</w:t>
      </w:r>
    </w:p>
    <w:p w:rsidR="00A254F6" w:rsidRDefault="00A254F6" w:rsidP="00A254F6">
      <w:pPr>
        <w:pStyle w:val="NormalWeb"/>
      </w:pPr>
      <w:r>
        <w:t>(A) In general</w:t>
      </w:r>
    </w:p>
    <w:p w:rsidR="00A254F6" w:rsidRDefault="00A254F6" w:rsidP="00A254F6">
      <w:pPr>
        <w:pStyle w:val="NormalWeb"/>
      </w:pPr>
      <w:r>
        <w:t>For purposes of this section, in the case of an applicable facility, for any taxable year in which such facility captures not less than 500,000 metric tons of qualified carbon oxide during the taxable year, the person described in paragraph (3)(A)(ii) may elect to have such facility, and any carbon capture equipment placed in service at such facility, deemed as having been placed in service on the date of the enactment of the Bipartisan Budget Act of 2018.</w:t>
      </w:r>
    </w:p>
    <w:p w:rsidR="00A254F6" w:rsidRDefault="00A254F6" w:rsidP="00A254F6">
      <w:pPr>
        <w:pStyle w:val="NormalWeb"/>
      </w:pPr>
      <w:r>
        <w:t>(B) Applicable facility</w:t>
      </w:r>
    </w:p>
    <w:p w:rsidR="00A254F6" w:rsidRDefault="00A254F6" w:rsidP="00A254F6">
      <w:pPr>
        <w:pStyle w:val="NormalWeb"/>
      </w:pPr>
      <w:r>
        <w:t>For purposes of this paragraph, the term "applicable facility" means a qualified facility-</w:t>
      </w:r>
    </w:p>
    <w:p w:rsidR="00A254F6" w:rsidRDefault="00A254F6" w:rsidP="00A254F6">
      <w:pPr>
        <w:pStyle w:val="NormalWeb"/>
      </w:pPr>
      <w:r>
        <w:t>(i) which was placed in service before the date of the enactment of the Bipartisan Budget Act of 2018, and</w:t>
      </w:r>
    </w:p>
    <w:p w:rsidR="00A254F6" w:rsidRDefault="00A254F6" w:rsidP="00A254F6">
      <w:pPr>
        <w:pStyle w:val="NormalWeb"/>
      </w:pPr>
      <w:r>
        <w:t>(ii) for which no taxpayer claimed a credit under this section in regards to such facility for any taxable year ending before the date of the enactment of such Act.</w:t>
      </w:r>
    </w:p>
    <w:p w:rsidR="00A254F6" w:rsidRDefault="00A254F6" w:rsidP="00A254F6">
      <w:pPr>
        <w:pStyle w:val="NormalWeb"/>
      </w:pPr>
      <w:r>
        <w:t>(7) Inflation adjustment</w:t>
      </w:r>
    </w:p>
    <w:p w:rsidR="00A254F6" w:rsidRDefault="00A254F6" w:rsidP="00A254F6">
      <w:pPr>
        <w:pStyle w:val="NormalWeb"/>
      </w:pPr>
      <w:r>
        <w:t>In the case of any taxable year beginning in a calendar year after 2009, there shall be substituted for each dollar amount contained in paragraphs (1) and (2) of subsection (a) an amount equal to the product of-</w:t>
      </w:r>
    </w:p>
    <w:p w:rsidR="00A254F6" w:rsidRDefault="00A254F6" w:rsidP="00A254F6">
      <w:pPr>
        <w:pStyle w:val="NormalWeb"/>
      </w:pPr>
      <w:r>
        <w:t>(A) such dollar amount, multiplied by</w:t>
      </w:r>
    </w:p>
    <w:p w:rsidR="00A254F6" w:rsidRDefault="00A254F6" w:rsidP="00A254F6">
      <w:pPr>
        <w:pStyle w:val="NormalWeb"/>
      </w:pPr>
      <w:r>
        <w:t>(B) the inflation adjustment factor for such calendar year determined under section 43(b)(3)(B) for such calendar year, determined by substituting "2008" for "1990".</w:t>
      </w:r>
    </w:p>
    <w:p w:rsidR="00A254F6" w:rsidRDefault="00A254F6" w:rsidP="00A254F6">
      <w:pPr>
        <w:pStyle w:val="NormalWeb"/>
      </w:pPr>
      <w:r>
        <w:t>(g) Application of section for certain carbon capture equipment</w:t>
      </w:r>
    </w:p>
    <w:p w:rsidR="00A254F6" w:rsidRDefault="00A254F6" w:rsidP="00A254F6">
      <w:pPr>
        <w:pStyle w:val="NormalWeb"/>
      </w:pPr>
      <w:r>
        <w:lastRenderedPageBreak/>
        <w:t>In the case of any carbon capture equipment placed in service before the date of the enactment of the Bipartisan Budget Act of 2018, the credit under this section shall apply with respect to qualified carbon oxide captured using such equipment before the end of the calendar year in which the Secretary, in consultation with the Administrator of the Environmental Protection Agency, certifies that, during the period beginning after October 3, 2008, a total of 75,000,000 metric tons of qualified carbon oxide have been taken into account in accordance with-</w:t>
      </w:r>
    </w:p>
    <w:p w:rsidR="00A254F6" w:rsidRDefault="00A254F6" w:rsidP="00A254F6">
      <w:pPr>
        <w:pStyle w:val="NormalWeb"/>
      </w:pPr>
      <w:r>
        <w:t>(1) subsection (a) of this section, as in effect on the day before the date of the enactment of the Bipartisan Budget Act of 2018, and</w:t>
      </w:r>
    </w:p>
    <w:p w:rsidR="00A254F6" w:rsidRDefault="00A254F6" w:rsidP="00A254F6">
      <w:pPr>
        <w:pStyle w:val="NormalWeb"/>
      </w:pPr>
      <w:r>
        <w:t>(2) paragraphs (1) and (2) of subsection (a) of this section.</w:t>
      </w:r>
    </w:p>
    <w:p w:rsidR="00A254F6" w:rsidRDefault="00A254F6" w:rsidP="00A254F6">
      <w:pPr>
        <w:pStyle w:val="NormalWeb"/>
      </w:pPr>
      <w:r>
        <w:t>(h) Regulations</w:t>
      </w:r>
    </w:p>
    <w:p w:rsidR="00A254F6" w:rsidRDefault="00A254F6" w:rsidP="00A254F6">
      <w:pPr>
        <w:pStyle w:val="NormalWeb"/>
      </w:pPr>
      <w:r>
        <w:t>The Secretary may prescribe such regulations and other guidance as may be necessary or appropriate to carry out this section, including regulations or other guidance to-</w:t>
      </w:r>
    </w:p>
    <w:p w:rsidR="00A254F6" w:rsidRDefault="00A254F6" w:rsidP="00A254F6">
      <w:pPr>
        <w:pStyle w:val="NormalWeb"/>
      </w:pPr>
      <w:r>
        <w:t>(1) ensure proper allocation under subsection (a) for qualified carbon oxide captured by a taxpayer during the taxable year ending after the date of the enactment of the Bipartisan Budget Act of 2018, and</w:t>
      </w:r>
    </w:p>
    <w:p w:rsidR="00D31057" w:rsidRDefault="00A254F6" w:rsidP="00A254F6">
      <w:pPr>
        <w:pStyle w:val="NormalWeb"/>
      </w:pPr>
      <w:r>
        <w:t>(2) determine whether a facility satisfies the requirements under subsection (d)(1) during such taxable year.</w:t>
      </w:r>
    </w:p>
    <w:p w:rsidR="00D31057" w:rsidRDefault="00D31057">
      <w:pPr>
        <w:rPr>
          <w:rFonts w:ascii="Times New Roman" w:eastAsia="Times New Roman" w:hAnsi="Times New Roman" w:cs="Times New Roman"/>
        </w:rPr>
      </w:pPr>
      <w:r>
        <w:br w:type="page"/>
      </w:r>
    </w:p>
    <w:p w:rsidR="00432141" w:rsidRDefault="00D31057" w:rsidP="00A254F6">
      <w:pPr>
        <w:pStyle w:val="NormalWeb"/>
      </w:pPr>
      <w:r w:rsidRPr="00D31057">
        <w:lastRenderedPageBreak/>
        <w:t>https://www.betterenergy.org/blog/primer-section-45q-tax-credit-for-carbon-capture-projects/</w:t>
      </w:r>
    </w:p>
    <w:p w:rsidR="00802DE1" w:rsidRDefault="00802DE1"/>
    <w:p w:rsidR="00432141" w:rsidRDefault="00432141">
      <w:pPr>
        <w:rPr>
          <w:rFonts w:ascii="Times New Roman" w:eastAsia="Times New Roman" w:hAnsi="Times New Roman" w:cs="Times New Roman"/>
        </w:rPr>
      </w:pPr>
      <w:r>
        <w:br w:type="page"/>
      </w:r>
    </w:p>
    <w:p w:rsidR="00432141" w:rsidRDefault="00432141" w:rsidP="00432141">
      <w:pPr>
        <w:pStyle w:val="NormalWeb"/>
      </w:pPr>
      <w:r>
        <w:lastRenderedPageBreak/>
        <w:t xml:space="preserve">EMF 32 - </w:t>
      </w:r>
      <w:r>
        <w:rPr>
          <w:rFonts w:ascii="AdvTTeeee58d9.B" w:hAnsi="AdvTTeeee58d9.B"/>
          <w:sz w:val="22"/>
          <w:szCs w:val="22"/>
        </w:rPr>
        <w:t xml:space="preserve">U.S. CARBON TAX SCENARIOS AND BIOENERGY </w:t>
      </w:r>
    </w:p>
    <w:p w:rsidR="00A254F6" w:rsidRDefault="00432141" w:rsidP="00A254F6">
      <w:pPr>
        <w:pStyle w:val="NormalWeb"/>
      </w:pPr>
      <w:r>
        <w:rPr>
          <w:noProof/>
        </w:rPr>
        <w:drawing>
          <wp:inline distT="0" distB="0" distL="0" distR="0">
            <wp:extent cx="5943600" cy="3471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6 at 9.43.4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432141" w:rsidRDefault="00432141" w:rsidP="00432141">
      <w:pPr>
        <w:pStyle w:val="NormalWeb"/>
      </w:pPr>
      <w:r>
        <w:rPr>
          <w:rFonts w:ascii="AdvTT5ada87cc" w:hAnsi="AdvTT5ada87cc"/>
          <w:sz w:val="22"/>
          <w:szCs w:val="22"/>
        </w:rPr>
        <w:t>The first scenario is a reference scenario of U.S. carbon dioxide (CO</w:t>
      </w:r>
      <w:r>
        <w:rPr>
          <w:rFonts w:ascii="AdvTT5ada87cc" w:hAnsi="AdvTT5ada87cc"/>
          <w:position w:val="-4"/>
          <w:sz w:val="16"/>
          <w:szCs w:val="16"/>
        </w:rPr>
        <w:t>2</w:t>
      </w:r>
      <w:r>
        <w:rPr>
          <w:rFonts w:ascii="AdvTT5ada87cc" w:hAnsi="AdvTT5ada87cc"/>
          <w:sz w:val="22"/>
          <w:szCs w:val="22"/>
        </w:rPr>
        <w:t>) emissions from fossil fuel combustion from 2010 through 2050. All other scenarios will be compared to the reference in terms of emissions reductions and policy cost. The next four scenarios use an exogenous carbon price, starting in 2020, to cover variation in the initial carbon price and rate of increase over time. The starting price is either $25 or $50 per metric ton of CO</w:t>
      </w:r>
      <w:r>
        <w:rPr>
          <w:rFonts w:ascii="AdvTT5ada87cc" w:hAnsi="AdvTT5ada87cc"/>
          <w:position w:val="-4"/>
          <w:sz w:val="16"/>
          <w:szCs w:val="16"/>
        </w:rPr>
        <w:t>2</w:t>
      </w:r>
      <w:r>
        <w:rPr>
          <w:rFonts w:ascii="AdvTT5ada87cc" w:hAnsi="AdvTT5ada87cc"/>
          <w:sz w:val="22"/>
          <w:szCs w:val="22"/>
        </w:rPr>
        <w:t xml:space="preserve">, with annual increases of 1% or 5%. Each of these four scenarios has variations to cover three types of carbon tax revenue recycling: lump sum to consumers, reduction in labor tax rates, and reduction in capital tax rates. The primary model output used to compare tax recycling options is consumer welfare, measured as equivalent variation. </w:t>
      </w:r>
    </w:p>
    <w:p w:rsidR="00541C72" w:rsidRDefault="00541C72" w:rsidP="00541C72">
      <w:pPr>
        <w:pStyle w:val="NormalWeb"/>
      </w:pPr>
      <w:r>
        <w:rPr>
          <w:rFonts w:ascii="AdvTT5ada87cc" w:hAnsi="AdvTT5ada87cc"/>
          <w:sz w:val="22"/>
          <w:szCs w:val="22"/>
        </w:rPr>
        <w:t>Instead of an exogenous carbon price path, the next scenario specifies an exogenous time path of CO</w:t>
      </w:r>
      <w:r>
        <w:rPr>
          <w:rFonts w:ascii="AdvTT5ada87cc" w:hAnsi="AdvTT5ada87cc"/>
          <w:position w:val="-4"/>
          <w:sz w:val="16"/>
          <w:szCs w:val="16"/>
        </w:rPr>
        <w:t xml:space="preserve">2 </w:t>
      </w:r>
      <w:r>
        <w:rPr>
          <w:rFonts w:ascii="AdvTT5ada87cc" w:hAnsi="AdvTT5ada87cc"/>
          <w:sz w:val="22"/>
          <w:szCs w:val="22"/>
        </w:rPr>
        <w:t>emissions, and the carbon price becomes endogenous. This is a deep de-carbonization scenario with emissions declining steadily after 2020 to reach a level 76% below 2005 emissions by 2050. In this scenario, we allow electricity generation from fossil fuels to use carbon dioxide capture and storage (CCS) if the carbon price is high enough to cover the cost of CCS. The option to use CCS limits the carbon tax and cost needed to meet an ambitious CO</w:t>
      </w:r>
      <w:r>
        <w:rPr>
          <w:rFonts w:ascii="AdvTT5ada87cc" w:hAnsi="AdvTT5ada87cc"/>
          <w:position w:val="-4"/>
          <w:sz w:val="16"/>
          <w:szCs w:val="16"/>
        </w:rPr>
        <w:t xml:space="preserve">2 </w:t>
      </w:r>
      <w:r>
        <w:rPr>
          <w:rFonts w:ascii="AdvTT5ada87cc" w:hAnsi="AdvTT5ada87cc"/>
          <w:sz w:val="22"/>
          <w:szCs w:val="22"/>
        </w:rPr>
        <w:t xml:space="preserve">emissions target. </w:t>
      </w:r>
    </w:p>
    <w:p w:rsidR="00541C72" w:rsidRDefault="00541C72" w:rsidP="00541C72">
      <w:pPr>
        <w:pStyle w:val="NormalWeb"/>
      </w:pPr>
      <w:r>
        <w:rPr>
          <w:rFonts w:ascii="AdvTT5ada87cc" w:hAnsi="AdvTT5ada87cc"/>
          <w:sz w:val="22"/>
          <w:szCs w:val="22"/>
        </w:rPr>
        <w:t>The final scenario, the modeler</w:t>
      </w:r>
      <w:r>
        <w:rPr>
          <w:rFonts w:ascii="AdvTT5ada87cc+20" w:hAnsi="AdvTT5ada87cc+20"/>
          <w:sz w:val="22"/>
          <w:szCs w:val="22"/>
        </w:rPr>
        <w:t>’</w:t>
      </w:r>
      <w:r>
        <w:rPr>
          <w:rFonts w:ascii="AdvTT5ada87cc" w:hAnsi="AdvTT5ada87cc"/>
          <w:sz w:val="22"/>
          <w:szCs w:val="22"/>
        </w:rPr>
        <w:t xml:space="preserve">s choice scenario, also has a 76% emissions reduction target, but allows CCS to be used with bio-electricity (BECCS) as well as with electricity generation using fossil fuels. </w:t>
      </w:r>
    </w:p>
    <w:p w:rsidR="00541C72" w:rsidRDefault="00541C72" w:rsidP="00541C72">
      <w:pPr>
        <w:pStyle w:val="NormalWeb"/>
      </w:pPr>
      <w:r>
        <w:rPr>
          <w:rFonts w:ascii="AdvTT5ada87cc" w:hAnsi="AdvTT5ada87cc"/>
          <w:sz w:val="22"/>
          <w:szCs w:val="22"/>
        </w:rPr>
        <w:t>The possibility of bio-electricity com- bined with CCS creates a technology with the potential for negative CO</w:t>
      </w:r>
      <w:r>
        <w:rPr>
          <w:rFonts w:ascii="AdvTT5ada87cc" w:hAnsi="AdvTT5ada87cc"/>
          <w:position w:val="-4"/>
          <w:sz w:val="16"/>
          <w:szCs w:val="16"/>
        </w:rPr>
        <w:t xml:space="preserve">2 </w:t>
      </w:r>
      <w:r>
        <w:rPr>
          <w:rFonts w:ascii="AdvTT5ada87cc" w:hAnsi="AdvTT5ada87cc"/>
          <w:sz w:val="22"/>
          <w:szCs w:val="22"/>
        </w:rPr>
        <w:t xml:space="preserve">emissions </w:t>
      </w:r>
    </w:p>
    <w:p w:rsidR="00541C72" w:rsidRDefault="00541C72" w:rsidP="00541C72">
      <w:pPr>
        <w:pStyle w:val="NormalWeb"/>
      </w:pPr>
      <w:r>
        <w:rPr>
          <w:rFonts w:ascii="AdvTT5ada87cc" w:hAnsi="AdvTT5ada87cc"/>
          <w:sz w:val="22"/>
          <w:szCs w:val="22"/>
        </w:rPr>
        <w:lastRenderedPageBreak/>
        <w:t>It turns out that the option to recycle carbon tax revenue by reducing labor taxes or capital taxes can reduce the cost of CO</w:t>
      </w:r>
      <w:r>
        <w:rPr>
          <w:rFonts w:ascii="AdvTT5ada87cc" w:hAnsi="AdvTT5ada87cc"/>
          <w:position w:val="-4"/>
          <w:sz w:val="16"/>
          <w:szCs w:val="16"/>
        </w:rPr>
        <w:t xml:space="preserve">2 </w:t>
      </w:r>
      <w:r>
        <w:rPr>
          <w:rFonts w:ascii="AdvTT5ada87cc" w:hAnsi="AdvTT5ada87cc"/>
          <w:sz w:val="22"/>
          <w:szCs w:val="22"/>
        </w:rPr>
        <w:t xml:space="preserve">mitigation in scenarios with an exogenous </w:t>
      </w:r>
    </w:p>
    <w:p w:rsidR="00541C72" w:rsidRDefault="00541C72" w:rsidP="00541C72">
      <w:pPr>
        <w:pStyle w:val="NormalWeb"/>
      </w:pPr>
      <w:r>
        <w:rPr>
          <w:rFonts w:ascii="AdvTT5ada87cc" w:hAnsi="AdvTT5ada87cc"/>
          <w:sz w:val="22"/>
          <w:szCs w:val="22"/>
        </w:rPr>
        <w:t>carbon price path. However, with BECCS, revenues from a carbon policy reach a peak and then decline as a subsidy for sequestration offsets carbon tax revenues. The deep de-carbonization scenarios reduce CO</w:t>
      </w:r>
      <w:r>
        <w:rPr>
          <w:rFonts w:ascii="AdvTT5ada87cc" w:hAnsi="AdvTT5ada87cc"/>
          <w:position w:val="-4"/>
          <w:sz w:val="16"/>
          <w:szCs w:val="16"/>
        </w:rPr>
        <w:t xml:space="preserve">2 </w:t>
      </w:r>
      <w:r>
        <w:rPr>
          <w:rFonts w:ascii="AdvTT5ada87cc" w:hAnsi="AdvTT5ada87cc"/>
          <w:sz w:val="22"/>
          <w:szCs w:val="22"/>
        </w:rPr>
        <w:t>emissions 76% by 2050, relative to 2005 CO</w:t>
      </w:r>
      <w:r>
        <w:rPr>
          <w:rFonts w:ascii="AdvTT5ada87cc" w:hAnsi="AdvTT5ada87cc"/>
          <w:position w:val="-4"/>
          <w:sz w:val="16"/>
          <w:szCs w:val="16"/>
        </w:rPr>
        <w:t xml:space="preserve">2 </w:t>
      </w:r>
      <w:r>
        <w:rPr>
          <w:rFonts w:ascii="AdvTT5ada87cc" w:hAnsi="AdvTT5ada87cc"/>
          <w:sz w:val="22"/>
          <w:szCs w:val="22"/>
        </w:rPr>
        <w:t>emissions of 5,753 Tg CO</w:t>
      </w:r>
      <w:r>
        <w:rPr>
          <w:rFonts w:ascii="AdvTT5ada87cc" w:hAnsi="AdvTT5ada87cc"/>
          <w:position w:val="-4"/>
          <w:sz w:val="16"/>
          <w:szCs w:val="16"/>
        </w:rPr>
        <w:t xml:space="preserve">2 </w:t>
      </w:r>
    </w:p>
    <w:p w:rsidR="000027BE" w:rsidRDefault="000027BE" w:rsidP="000027BE">
      <w:pPr>
        <w:pStyle w:val="NormalWeb"/>
      </w:pPr>
      <w:r>
        <w:rPr>
          <w:rFonts w:ascii="AdvTT5ada87cc" w:hAnsi="AdvTT5ada87cc"/>
          <w:sz w:val="22"/>
          <w:szCs w:val="22"/>
        </w:rPr>
        <w:t>CO</w:t>
      </w:r>
      <w:r>
        <w:rPr>
          <w:rFonts w:ascii="AdvTT5ada87cc" w:hAnsi="AdvTT5ada87cc"/>
          <w:position w:val="-4"/>
          <w:sz w:val="16"/>
          <w:szCs w:val="16"/>
        </w:rPr>
        <w:t xml:space="preserve">2 </w:t>
      </w:r>
      <w:r>
        <w:rPr>
          <w:rFonts w:ascii="AdvTT5ada87cc" w:hAnsi="AdvTT5ada87cc"/>
          <w:sz w:val="22"/>
          <w:szCs w:val="22"/>
        </w:rPr>
        <w:t>emissions pathways for the reference and climate policy scenarios are dis- played in Fig. 1.</w:t>
      </w:r>
      <w:r>
        <w:rPr>
          <w:rFonts w:ascii="AdvTT5ada87cc" w:hAnsi="AdvTT5ada87cc"/>
          <w:position w:val="10"/>
          <w:sz w:val="16"/>
          <w:szCs w:val="16"/>
        </w:rPr>
        <w:t xml:space="preserve">1 </w:t>
      </w:r>
      <w:r>
        <w:rPr>
          <w:rFonts w:ascii="AdvTT5ada87cc" w:hAnsi="AdvTT5ada87cc"/>
          <w:sz w:val="22"/>
          <w:szCs w:val="22"/>
        </w:rPr>
        <w:t xml:space="preserve">The four exogenous-carbon-tax scenarios provide a wide range of emissions reductions by 2050, up to 48% below 2005 emissions in the scenario with a $50 tax in 2020 increasing at 5% per year. </w:t>
      </w:r>
    </w:p>
    <w:p w:rsidR="000027BE" w:rsidRDefault="000027BE" w:rsidP="000027BE">
      <w:pPr>
        <w:pStyle w:val="NormalWeb"/>
      </w:pPr>
      <w:r>
        <w:rPr>
          <w:rFonts w:ascii="AdvTT5ada87cc" w:hAnsi="AdvTT5ada87cc"/>
          <w:sz w:val="22"/>
          <w:szCs w:val="22"/>
        </w:rPr>
        <w:t>CO</w:t>
      </w:r>
      <w:r>
        <w:rPr>
          <w:rFonts w:ascii="AdvTT5ada87cc" w:hAnsi="AdvTT5ada87cc"/>
          <w:position w:val="-4"/>
          <w:sz w:val="16"/>
          <w:szCs w:val="16"/>
        </w:rPr>
        <w:t xml:space="preserve">2 </w:t>
      </w:r>
      <w:r>
        <w:rPr>
          <w:rFonts w:ascii="AdvTT5ada87cc" w:hAnsi="AdvTT5ada87cc"/>
          <w:sz w:val="22"/>
          <w:szCs w:val="22"/>
        </w:rPr>
        <w:t>prices for each scenario are shown in Fig. 2. Exogenous time series in Fig. 1 become endogenous in Fig. 2, and vice versa. The 76% emissions reduction pathway in Fig. 1 is exogenous, but the corresponding CO</w:t>
      </w:r>
      <w:r>
        <w:rPr>
          <w:rFonts w:ascii="AdvTT5ada87cc" w:hAnsi="AdvTT5ada87cc"/>
          <w:position w:val="-4"/>
          <w:sz w:val="16"/>
          <w:szCs w:val="16"/>
        </w:rPr>
        <w:t xml:space="preserve">2 </w:t>
      </w:r>
      <w:r>
        <w:rPr>
          <w:rFonts w:ascii="AdvTT5ada87cc" w:hAnsi="AdvTT5ada87cc"/>
          <w:sz w:val="22"/>
          <w:szCs w:val="22"/>
        </w:rPr>
        <w:t xml:space="preserve">price paths in Fig. 2 are endoge- nous and vary by the presence or absence of BECCS. </w:t>
      </w:r>
    </w:p>
    <w:p w:rsidR="000027BE" w:rsidRDefault="000027BE" w:rsidP="000027BE">
      <w:pPr>
        <w:pStyle w:val="NormalWeb"/>
      </w:pPr>
      <w:r>
        <w:rPr>
          <w:rFonts w:ascii="AdvTT5ada87cc" w:hAnsi="AdvTT5ada87cc"/>
          <w:sz w:val="22"/>
          <w:szCs w:val="22"/>
        </w:rPr>
        <w:t xml:space="preserve">We use the Future Agricultural Resources Model (FARM),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GTAP-9 social accounting matrix (SAM) with 2011 base year.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Energy accounting throughout the U.S. economy, from primary energy to final </w:t>
      </w:r>
    </w:p>
    <w:p w:rsidR="000027BE" w:rsidRPr="000027BE" w:rsidRDefault="000027BE" w:rsidP="000027BE">
      <w:pPr>
        <w:spacing w:before="100" w:beforeAutospacing="1" w:after="100" w:afterAutospacing="1"/>
        <w:ind w:left="720"/>
        <w:rPr>
          <w:rFonts w:ascii="Times New Roman" w:eastAsia="Times New Roman" w:hAnsi="Times New Roman" w:cs="Times New Roman"/>
        </w:rPr>
      </w:pPr>
      <w:r w:rsidRPr="000027BE">
        <w:rPr>
          <w:rFonts w:ascii="AdvTT5ada87cc" w:eastAsia="Times New Roman" w:hAnsi="AdvTT5ada87cc" w:cs="Times New Roman"/>
          <w:sz w:val="22"/>
          <w:szCs w:val="22"/>
        </w:rPr>
        <w:t xml:space="preserve">energy consumption.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Labor-leisure tradeoff in utility function.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Calculation of equivalent variation for any policy scenario relative to the reference </w:t>
      </w:r>
    </w:p>
    <w:p w:rsidR="000027BE" w:rsidRPr="000027BE" w:rsidRDefault="000027BE" w:rsidP="000027BE">
      <w:pPr>
        <w:spacing w:before="100" w:beforeAutospacing="1" w:after="100" w:afterAutospacing="1"/>
        <w:ind w:left="720"/>
        <w:rPr>
          <w:rFonts w:ascii="Times New Roman" w:eastAsia="Times New Roman" w:hAnsi="Times New Roman" w:cs="Times New Roman"/>
        </w:rPr>
      </w:pPr>
      <w:r w:rsidRPr="000027BE">
        <w:rPr>
          <w:rFonts w:ascii="AdvTT5ada87cc" w:eastAsia="Times New Roman" w:hAnsi="AdvTT5ada87cc" w:cs="Times New Roman"/>
          <w:sz w:val="22"/>
          <w:szCs w:val="22"/>
        </w:rPr>
        <w:t xml:space="preserve">scenario.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Option to keep real government expenditure the same in the reference and policy scenarios.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Option to tax final energy consumption based on carbon content of fuels.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Options for recycling carbon tax revenue.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Representation of specific electricity generation technologies, including bio-electricity </w:t>
      </w:r>
    </w:p>
    <w:p w:rsidR="000027BE" w:rsidRPr="000027BE" w:rsidRDefault="000027BE" w:rsidP="000027BE">
      <w:pPr>
        <w:spacing w:before="100" w:beforeAutospacing="1" w:after="100" w:afterAutospacing="1"/>
        <w:ind w:left="720"/>
        <w:rPr>
          <w:rFonts w:ascii="Times New Roman" w:eastAsia="Times New Roman" w:hAnsi="Times New Roman" w:cs="Times New Roman"/>
        </w:rPr>
      </w:pPr>
      <w:r w:rsidRPr="000027BE">
        <w:rPr>
          <w:rFonts w:ascii="AdvTT5ada87cc" w:eastAsia="Times New Roman" w:hAnsi="AdvTT5ada87cc" w:cs="Times New Roman"/>
          <w:sz w:val="22"/>
          <w:szCs w:val="22"/>
        </w:rPr>
        <w:t xml:space="preserve">with and without CCS.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Five-year time steps from 2011 to 2051, interpolated to five-year time steps from </w:t>
      </w:r>
    </w:p>
    <w:p w:rsidR="000027BE" w:rsidRPr="000027BE" w:rsidRDefault="000027BE" w:rsidP="000027BE">
      <w:pPr>
        <w:spacing w:before="100" w:beforeAutospacing="1" w:after="100" w:afterAutospacing="1"/>
        <w:ind w:left="720"/>
        <w:rPr>
          <w:rFonts w:ascii="Times New Roman" w:eastAsia="Times New Roman" w:hAnsi="Times New Roman" w:cs="Times New Roman"/>
        </w:rPr>
      </w:pPr>
      <w:r w:rsidRPr="000027BE">
        <w:rPr>
          <w:rFonts w:ascii="AdvTT5ada87cc" w:eastAsia="Times New Roman" w:hAnsi="AdvTT5ada87cc" w:cs="Times New Roman"/>
          <w:sz w:val="22"/>
          <w:szCs w:val="22"/>
        </w:rPr>
        <w:t xml:space="preserve">2010 to 2050 for EMF reporting.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Capital accumulation at each time step.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Exogenous technical change over time. </w:t>
      </w:r>
    </w:p>
    <w:p w:rsidR="000027BE" w:rsidRPr="000027BE" w:rsidRDefault="000027BE" w:rsidP="000027BE">
      <w:pPr>
        <w:numPr>
          <w:ilvl w:val="0"/>
          <w:numId w:val="13"/>
        </w:numPr>
        <w:spacing w:before="100" w:beforeAutospacing="1" w:after="100" w:afterAutospacing="1"/>
        <w:rPr>
          <w:rFonts w:ascii="Times New Roman" w:eastAsia="Times New Roman" w:hAnsi="Times New Roman" w:cs="Times New Roman"/>
        </w:rPr>
      </w:pPr>
      <w:r w:rsidRPr="000027BE">
        <w:rPr>
          <w:rFonts w:ascii="AdvPi1" w:eastAsia="Times New Roman" w:hAnsi="AdvPi1" w:cs="Times New Roman"/>
          <w:sz w:val="16"/>
          <w:szCs w:val="16"/>
        </w:rPr>
        <w:t>.  </w:t>
      </w:r>
      <w:r w:rsidRPr="000027BE">
        <w:rPr>
          <w:rFonts w:ascii="AdvTT5ada87cc" w:eastAsia="Times New Roman" w:hAnsi="AdvTT5ada87cc" w:cs="Times New Roman"/>
          <w:sz w:val="22"/>
          <w:szCs w:val="22"/>
        </w:rPr>
        <w:t xml:space="preserve">Land competition among forests, pasture, crops, and a dedicated energy crop </w:t>
      </w:r>
    </w:p>
    <w:p w:rsidR="000027BE" w:rsidRPr="000027BE" w:rsidRDefault="000027BE" w:rsidP="000027BE">
      <w:pPr>
        <w:spacing w:before="100" w:beforeAutospacing="1" w:after="100" w:afterAutospacing="1"/>
        <w:ind w:left="720"/>
        <w:rPr>
          <w:rFonts w:ascii="Times New Roman" w:eastAsia="Times New Roman" w:hAnsi="Times New Roman" w:cs="Times New Roman"/>
        </w:rPr>
      </w:pPr>
      <w:r w:rsidRPr="000027BE">
        <w:rPr>
          <w:rFonts w:ascii="AdvTT5ada87cc" w:eastAsia="Times New Roman" w:hAnsi="AdvTT5ada87cc" w:cs="Times New Roman"/>
          <w:sz w:val="22"/>
          <w:szCs w:val="22"/>
        </w:rPr>
        <w:t xml:space="preserve">(switchgrass). </w:t>
      </w:r>
    </w:p>
    <w:p w:rsidR="000027BE" w:rsidRDefault="000027BE" w:rsidP="000027BE">
      <w:pPr>
        <w:pStyle w:val="NormalWeb"/>
      </w:pPr>
      <w:r>
        <w:rPr>
          <w:rFonts w:ascii="AdvTT5ada87cc" w:hAnsi="AdvTT5ada87cc"/>
          <w:sz w:val="22"/>
          <w:szCs w:val="22"/>
        </w:rPr>
        <w:lastRenderedPageBreak/>
        <w:t>The economics of BECCS is complex relative to other CO</w:t>
      </w:r>
      <w:r>
        <w:rPr>
          <w:rFonts w:ascii="AdvTT5ada87cc" w:hAnsi="AdvTT5ada87cc"/>
          <w:position w:val="-4"/>
          <w:sz w:val="16"/>
          <w:szCs w:val="16"/>
        </w:rPr>
        <w:t xml:space="preserve">2 </w:t>
      </w:r>
      <w:r>
        <w:rPr>
          <w:rFonts w:ascii="AdvTT5ada87cc" w:hAnsi="AdvTT5ada87cc"/>
          <w:sz w:val="22"/>
          <w:szCs w:val="22"/>
        </w:rPr>
        <w:t xml:space="preserve">mitigation technologies, with rents accruing to owners of agricultural land and owners of the carbon seques- tration resource. Further, a BECCS activity has joint products of electricity and carbon sequestration. </w:t>
      </w:r>
    </w:p>
    <w:p w:rsidR="00432141" w:rsidRDefault="000027BE" w:rsidP="00A254F6">
      <w:pPr>
        <w:pStyle w:val="NormalWeb"/>
      </w:pPr>
      <w:r w:rsidRPr="000027BE">
        <w:drawing>
          <wp:inline distT="0" distB="0" distL="0" distR="0" wp14:anchorId="7ABB4299" wp14:editId="165CDA29">
            <wp:extent cx="594360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4955"/>
                    </a:xfrm>
                    <a:prstGeom prst="rect">
                      <a:avLst/>
                    </a:prstGeom>
                  </pic:spPr>
                </pic:pic>
              </a:graphicData>
            </a:graphic>
          </wp:inline>
        </w:drawing>
      </w:r>
    </w:p>
    <w:p w:rsidR="006D0AE2" w:rsidRDefault="006D0AE2" w:rsidP="006D0AE2">
      <w:pPr>
        <w:pStyle w:val="NormalWeb"/>
      </w:pPr>
      <w:r>
        <w:rPr>
          <w:rFonts w:ascii="AdvTT5ada87cc" w:hAnsi="AdvTT5ada87cc"/>
          <w:sz w:val="22"/>
          <w:szCs w:val="22"/>
        </w:rPr>
        <w:t xml:space="preserve">Each of the four fixed-carbon-tax scenarios was run with three types of tax revenue recycling: lump sum to a representative consumer; an equivalent reduction in direct taxes on labor; and an equivalent reduction on capital taxes </w:t>
      </w:r>
    </w:p>
    <w:p w:rsidR="006D0AE2" w:rsidRDefault="006D0AE2" w:rsidP="006D0AE2">
      <w:pPr>
        <w:pStyle w:val="NormalWeb"/>
        <w:rPr>
          <w:rFonts w:ascii="AdvTT5ada87cc" w:hAnsi="AdvTT5ada87cc"/>
          <w:position w:val="10"/>
          <w:sz w:val="16"/>
          <w:szCs w:val="16"/>
        </w:rPr>
      </w:pPr>
      <w:r>
        <w:rPr>
          <w:rFonts w:ascii="AdvTT5ada87cc" w:hAnsi="AdvTT5ada87cc"/>
          <w:sz w:val="22"/>
          <w:szCs w:val="22"/>
        </w:rPr>
        <w:t>Equivalent variation is negative for all scenarios in Fig. 3, but a lower cost is achieved with labor tax recycling relative to lump sum recycling.</w:t>
      </w:r>
      <w:r>
        <w:rPr>
          <w:rFonts w:ascii="AdvTT5ada87cc" w:hAnsi="AdvTT5ada87cc"/>
          <w:position w:val="10"/>
          <w:sz w:val="16"/>
          <w:szCs w:val="16"/>
        </w:rPr>
        <w:t xml:space="preserve">4 </w:t>
      </w:r>
    </w:p>
    <w:p w:rsidR="006D0AE2" w:rsidRDefault="006D0AE2" w:rsidP="006D0AE2">
      <w:pPr>
        <w:pStyle w:val="NormalWeb"/>
        <w:rPr>
          <w:rFonts w:ascii="AdvTT5ada87cc" w:hAnsi="AdvTT5ada87cc"/>
          <w:position w:val="10"/>
          <w:sz w:val="16"/>
          <w:szCs w:val="16"/>
        </w:rPr>
      </w:pPr>
    </w:p>
    <w:p w:rsidR="006D0AE2" w:rsidRDefault="006D0AE2" w:rsidP="006D0AE2">
      <w:pPr>
        <w:pStyle w:val="NormalWeb"/>
      </w:pPr>
      <w:r>
        <w:rPr>
          <w:rFonts w:ascii="AdvTT5ada87cc" w:hAnsi="AdvTT5ada87cc"/>
          <w:sz w:val="22"/>
          <w:szCs w:val="22"/>
        </w:rPr>
        <w:t xml:space="preserve">The logic behind welfare improvements with capital-tax recycling is simple: in- vestment is a fixed fraction of total expenditure, and a reduced purchase price for capital goods allows more capital to be purchased each time step. Capital stock is fixed within each time step, and the increase in capital appears in the next time step. Therefore, the effect of a reduction in capital taxes does not appear until the second time step (2025). The capital stock continues to grow over time, relative to capital stock in the reference scenario. </w:t>
      </w:r>
    </w:p>
    <w:p w:rsidR="006D0AE2" w:rsidRDefault="006D0AE2" w:rsidP="006D0AE2">
      <w:pPr>
        <w:pStyle w:val="NormalWeb"/>
        <w:rPr>
          <w:rFonts w:ascii="AdvTT5ada87cc" w:hAnsi="AdvTT5ada87cc"/>
          <w:sz w:val="22"/>
          <w:szCs w:val="22"/>
        </w:rPr>
      </w:pPr>
      <w:r>
        <w:rPr>
          <w:rFonts w:ascii="AdvTT5ada87cc" w:hAnsi="AdvTT5ada87cc"/>
          <w:sz w:val="22"/>
          <w:szCs w:val="22"/>
        </w:rPr>
        <w:t>For most scenarios in Fig. 5, tax revenue increases with the carbon tax. The one exception is the 76% reduction scenario with BECCS. In this case, carbon tax revenues peak and then decline as carbon sequestration increases through BECCS. The reason for the decline is that a subsidy must be paid to BECCS operators for each ton of carbon sequestered, at the prevailing carbon price. If the scale of BECCS becomes large relative to other mitigation technologies, then net CO</w:t>
      </w:r>
      <w:r>
        <w:rPr>
          <w:rFonts w:ascii="AdvTT5ada87cc" w:hAnsi="AdvTT5ada87cc"/>
          <w:position w:val="-4"/>
          <w:sz w:val="16"/>
          <w:szCs w:val="16"/>
        </w:rPr>
        <w:t xml:space="preserve">2 </w:t>
      </w:r>
      <w:r>
        <w:rPr>
          <w:rFonts w:ascii="AdvTT5ada87cc" w:hAnsi="AdvTT5ada87cc"/>
          <w:sz w:val="22"/>
          <w:szCs w:val="22"/>
        </w:rPr>
        <w:t xml:space="preserve">emissions could become negative for the entire economy. In this case, the government pays a net subsidy instead of receiving tax revenue. The scale of BECCS is limited, however, by the amount of land needed to grow an energy crop (e.g., switchgrass) and competition with land used to grow crops. Carbon tax revenues, as a percent of gross domestic product (GDP), are shown in Table 3 for each scenario. Scenarios with a 1% per year increase in the carbon tax have a relatively constant ratio of </w:t>
      </w:r>
      <w:r>
        <w:rPr>
          <w:rFonts w:ascii="AdvTT5ada87cc" w:hAnsi="AdvTT5ada87cc"/>
          <w:sz w:val="22"/>
          <w:szCs w:val="22"/>
        </w:rPr>
        <w:lastRenderedPageBreak/>
        <w:t xml:space="preserve">revenue to GDP. Scenarios with a 5% per year increase in the carbon tax have an increasing ratio of revenue to GDP. </w:t>
      </w:r>
    </w:p>
    <w:p w:rsidR="00657DE5" w:rsidRDefault="00657DE5" w:rsidP="006D0AE2">
      <w:pPr>
        <w:pStyle w:val="NormalWeb"/>
        <w:rPr>
          <w:rFonts w:ascii="AdvTT5ada87cc" w:hAnsi="AdvTT5ada87cc"/>
          <w:sz w:val="22"/>
          <w:szCs w:val="22"/>
        </w:rPr>
      </w:pPr>
    </w:p>
    <w:p w:rsidR="00657DE5" w:rsidRDefault="00657DE5" w:rsidP="006D0AE2">
      <w:pPr>
        <w:pStyle w:val="NormalWeb"/>
        <w:rPr>
          <w:rFonts w:ascii="AdvTT5ada87cc" w:hAnsi="AdvTT5ada87cc"/>
          <w:sz w:val="22"/>
          <w:szCs w:val="22"/>
        </w:rPr>
      </w:pPr>
    </w:p>
    <w:p w:rsidR="00657DE5" w:rsidRDefault="0095693E" w:rsidP="006D0AE2">
      <w:pPr>
        <w:pStyle w:val="NormalWeb"/>
        <w:rPr>
          <w:rFonts w:ascii="AdvTT5ada87cc" w:hAnsi="AdvTT5ada87cc"/>
          <w:sz w:val="22"/>
          <w:szCs w:val="22"/>
        </w:rPr>
      </w:pPr>
      <w:r>
        <w:rPr>
          <w:rFonts w:ascii="AdvTT5ada87cc" w:hAnsi="AdvTT5ada87cc"/>
          <w:sz w:val="22"/>
          <w:szCs w:val="22"/>
        </w:rPr>
        <w:t>GCAM world – global conditions</w:t>
      </w:r>
    </w:p>
    <w:p w:rsidR="0095693E" w:rsidRDefault="005C177E" w:rsidP="006D0AE2">
      <w:pPr>
        <w:pStyle w:val="NormalWeb"/>
        <w:rPr>
          <w:rFonts w:ascii="AdvTT5ada87cc" w:hAnsi="AdvTT5ada87cc"/>
          <w:sz w:val="22"/>
          <w:szCs w:val="22"/>
        </w:rPr>
      </w:pPr>
      <w:r>
        <w:rPr>
          <w:rFonts w:ascii="AdvTT5ada87cc" w:hAnsi="AdvTT5ada87cc"/>
          <w:sz w:val="22"/>
          <w:szCs w:val="22"/>
        </w:rPr>
        <w:t>GCAM USA – for result comparison</w:t>
      </w:r>
    </w:p>
    <w:p w:rsidR="005C177E" w:rsidRDefault="005C177E" w:rsidP="006D0AE2">
      <w:pPr>
        <w:pStyle w:val="NormalWeb"/>
        <w:rPr>
          <w:rFonts w:ascii="AdvTT5ada87cc" w:hAnsi="AdvTT5ada87cc"/>
          <w:sz w:val="22"/>
          <w:szCs w:val="22"/>
        </w:rPr>
      </w:pPr>
    </w:p>
    <w:p w:rsidR="005C177E" w:rsidRPr="00657DE5" w:rsidRDefault="005C177E" w:rsidP="006D0AE2">
      <w:pPr>
        <w:pStyle w:val="NormalWeb"/>
        <w:rPr>
          <w:rFonts w:ascii="AdvTT5ada87cc" w:hAnsi="AdvTT5ada87cc"/>
          <w:sz w:val="22"/>
          <w:szCs w:val="22"/>
        </w:rPr>
      </w:pPr>
      <w:r>
        <w:rPr>
          <w:rFonts w:ascii="AdvTT5ada87cc" w:hAnsi="AdvTT5ada87cc"/>
          <w:sz w:val="22"/>
          <w:szCs w:val="22"/>
        </w:rPr>
        <w:t xml:space="preserve">GCAM / GCAM USA – does produce result we need </w:t>
      </w:r>
    </w:p>
    <w:p w:rsidR="006D0AE2" w:rsidRDefault="005C177E" w:rsidP="00A254F6">
      <w:pPr>
        <w:pStyle w:val="NormalWeb"/>
      </w:pPr>
      <w:r>
        <w:t>By the end of Q2</w:t>
      </w:r>
    </w:p>
    <w:p w:rsidR="005C177E" w:rsidRPr="00EE1AF0" w:rsidRDefault="005C177E" w:rsidP="00A254F6">
      <w:pPr>
        <w:pStyle w:val="NormalWeb"/>
      </w:pPr>
    </w:p>
    <w:sectPr w:rsidR="005C177E" w:rsidRPr="00EE1AF0" w:rsidSect="00AE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hitney">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 w:name="STIXGeneral">
    <w:panose1 w:val="00000000000000000000"/>
    <w:charset w:val="00"/>
    <w:family w:val="auto"/>
    <w:notTrueType/>
    <w:pitch w:val="variable"/>
    <w:sig w:usb0="A00002FF" w:usb1="4203FDFF" w:usb2="02000020" w:usb3="00000000" w:csb0="800001FF" w:csb1="00000000"/>
  </w:font>
  <w:font w:name="AdvTTeeee58d9.B">
    <w:altName w:val="Cambria"/>
    <w:panose1 w:val="020B0604020202020204"/>
    <w:charset w:val="00"/>
    <w:family w:val="roman"/>
    <w:notTrueType/>
    <w:pitch w:val="default"/>
  </w:font>
  <w:font w:name="AdvTT5ada87cc">
    <w:altName w:val="Cambria"/>
    <w:panose1 w:val="020B0604020202020204"/>
    <w:charset w:val="00"/>
    <w:family w:val="roman"/>
    <w:notTrueType/>
    <w:pitch w:val="default"/>
  </w:font>
  <w:font w:name="AdvTT5ada87cc+20">
    <w:altName w:val="Cambria"/>
    <w:panose1 w:val="020B0604020202020204"/>
    <w:charset w:val="00"/>
    <w:family w:val="roman"/>
    <w:notTrueType/>
    <w:pitch w:val="default"/>
  </w:font>
  <w:font w:name="AdvPi1">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055"/>
    <w:multiLevelType w:val="hybridMultilevel"/>
    <w:tmpl w:val="D7E4E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3AAE"/>
    <w:multiLevelType w:val="multilevel"/>
    <w:tmpl w:val="EFC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1183"/>
    <w:multiLevelType w:val="hybridMultilevel"/>
    <w:tmpl w:val="EBE69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B1411"/>
    <w:multiLevelType w:val="hybridMultilevel"/>
    <w:tmpl w:val="03EA6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55146"/>
    <w:multiLevelType w:val="multilevel"/>
    <w:tmpl w:val="6D2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61717"/>
    <w:multiLevelType w:val="hybridMultilevel"/>
    <w:tmpl w:val="48EE3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94616"/>
    <w:multiLevelType w:val="hybridMultilevel"/>
    <w:tmpl w:val="15D0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C0CF3"/>
    <w:multiLevelType w:val="multilevel"/>
    <w:tmpl w:val="EE7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B733B"/>
    <w:multiLevelType w:val="hybridMultilevel"/>
    <w:tmpl w:val="CACED312"/>
    <w:lvl w:ilvl="0" w:tplc="D69CCFC8">
      <w:start w:val="1"/>
      <w:numFmt w:val="bullet"/>
      <w:lvlText w:val="•"/>
      <w:lvlJc w:val="left"/>
      <w:pPr>
        <w:tabs>
          <w:tab w:val="num" w:pos="720"/>
        </w:tabs>
        <w:ind w:left="720" w:hanging="360"/>
      </w:pPr>
      <w:rPr>
        <w:rFonts w:ascii="Arial" w:hAnsi="Arial" w:hint="default"/>
      </w:rPr>
    </w:lvl>
    <w:lvl w:ilvl="1" w:tplc="EA3E089C" w:tentative="1">
      <w:start w:val="1"/>
      <w:numFmt w:val="bullet"/>
      <w:lvlText w:val="•"/>
      <w:lvlJc w:val="left"/>
      <w:pPr>
        <w:tabs>
          <w:tab w:val="num" w:pos="1440"/>
        </w:tabs>
        <w:ind w:left="1440" w:hanging="360"/>
      </w:pPr>
      <w:rPr>
        <w:rFonts w:ascii="Arial" w:hAnsi="Arial" w:hint="default"/>
      </w:rPr>
    </w:lvl>
    <w:lvl w:ilvl="2" w:tplc="C876EDB4" w:tentative="1">
      <w:start w:val="1"/>
      <w:numFmt w:val="bullet"/>
      <w:lvlText w:val="•"/>
      <w:lvlJc w:val="left"/>
      <w:pPr>
        <w:tabs>
          <w:tab w:val="num" w:pos="2160"/>
        </w:tabs>
        <w:ind w:left="2160" w:hanging="360"/>
      </w:pPr>
      <w:rPr>
        <w:rFonts w:ascii="Arial" w:hAnsi="Arial" w:hint="default"/>
      </w:rPr>
    </w:lvl>
    <w:lvl w:ilvl="3" w:tplc="D652C5EC" w:tentative="1">
      <w:start w:val="1"/>
      <w:numFmt w:val="bullet"/>
      <w:lvlText w:val="•"/>
      <w:lvlJc w:val="left"/>
      <w:pPr>
        <w:tabs>
          <w:tab w:val="num" w:pos="2880"/>
        </w:tabs>
        <w:ind w:left="2880" w:hanging="360"/>
      </w:pPr>
      <w:rPr>
        <w:rFonts w:ascii="Arial" w:hAnsi="Arial" w:hint="default"/>
      </w:rPr>
    </w:lvl>
    <w:lvl w:ilvl="4" w:tplc="9E5A6D1C" w:tentative="1">
      <w:start w:val="1"/>
      <w:numFmt w:val="bullet"/>
      <w:lvlText w:val="•"/>
      <w:lvlJc w:val="left"/>
      <w:pPr>
        <w:tabs>
          <w:tab w:val="num" w:pos="3600"/>
        </w:tabs>
        <w:ind w:left="3600" w:hanging="360"/>
      </w:pPr>
      <w:rPr>
        <w:rFonts w:ascii="Arial" w:hAnsi="Arial" w:hint="default"/>
      </w:rPr>
    </w:lvl>
    <w:lvl w:ilvl="5" w:tplc="67B03A00" w:tentative="1">
      <w:start w:val="1"/>
      <w:numFmt w:val="bullet"/>
      <w:lvlText w:val="•"/>
      <w:lvlJc w:val="left"/>
      <w:pPr>
        <w:tabs>
          <w:tab w:val="num" w:pos="4320"/>
        </w:tabs>
        <w:ind w:left="4320" w:hanging="360"/>
      </w:pPr>
      <w:rPr>
        <w:rFonts w:ascii="Arial" w:hAnsi="Arial" w:hint="default"/>
      </w:rPr>
    </w:lvl>
    <w:lvl w:ilvl="6" w:tplc="8250C8F2" w:tentative="1">
      <w:start w:val="1"/>
      <w:numFmt w:val="bullet"/>
      <w:lvlText w:val="•"/>
      <w:lvlJc w:val="left"/>
      <w:pPr>
        <w:tabs>
          <w:tab w:val="num" w:pos="5040"/>
        </w:tabs>
        <w:ind w:left="5040" w:hanging="360"/>
      </w:pPr>
      <w:rPr>
        <w:rFonts w:ascii="Arial" w:hAnsi="Arial" w:hint="default"/>
      </w:rPr>
    </w:lvl>
    <w:lvl w:ilvl="7" w:tplc="8DF45194" w:tentative="1">
      <w:start w:val="1"/>
      <w:numFmt w:val="bullet"/>
      <w:lvlText w:val="•"/>
      <w:lvlJc w:val="left"/>
      <w:pPr>
        <w:tabs>
          <w:tab w:val="num" w:pos="5760"/>
        </w:tabs>
        <w:ind w:left="5760" w:hanging="360"/>
      </w:pPr>
      <w:rPr>
        <w:rFonts w:ascii="Arial" w:hAnsi="Arial" w:hint="default"/>
      </w:rPr>
    </w:lvl>
    <w:lvl w:ilvl="8" w:tplc="F12012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47681E"/>
    <w:multiLevelType w:val="hybridMultilevel"/>
    <w:tmpl w:val="336AB626"/>
    <w:lvl w:ilvl="0" w:tplc="B13A7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87042D"/>
    <w:multiLevelType w:val="hybridMultilevel"/>
    <w:tmpl w:val="C11603C4"/>
    <w:lvl w:ilvl="0" w:tplc="AA02B1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B318F"/>
    <w:multiLevelType w:val="multilevel"/>
    <w:tmpl w:val="0822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C037B"/>
    <w:multiLevelType w:val="multilevel"/>
    <w:tmpl w:val="609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5"/>
  </w:num>
  <w:num w:numId="4">
    <w:abstractNumId w:val="0"/>
  </w:num>
  <w:num w:numId="5">
    <w:abstractNumId w:val="2"/>
  </w:num>
  <w:num w:numId="6">
    <w:abstractNumId w:val="9"/>
  </w:num>
  <w:num w:numId="7">
    <w:abstractNumId w:val="6"/>
  </w:num>
  <w:num w:numId="8">
    <w:abstractNumId w:val="4"/>
  </w:num>
  <w:num w:numId="9">
    <w:abstractNumId w:val="1"/>
  </w:num>
  <w:num w:numId="10">
    <w:abstractNumId w:val="10"/>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36"/>
    <w:rsid w:val="000027BE"/>
    <w:rsid w:val="00056A27"/>
    <w:rsid w:val="000C0F24"/>
    <w:rsid w:val="000D78A1"/>
    <w:rsid w:val="000E158D"/>
    <w:rsid w:val="000E6354"/>
    <w:rsid w:val="001144D9"/>
    <w:rsid w:val="001C67A6"/>
    <w:rsid w:val="002944E2"/>
    <w:rsid w:val="002E2DB5"/>
    <w:rsid w:val="003453B9"/>
    <w:rsid w:val="003823BF"/>
    <w:rsid w:val="003C01C1"/>
    <w:rsid w:val="003F59DD"/>
    <w:rsid w:val="00415039"/>
    <w:rsid w:val="00432141"/>
    <w:rsid w:val="004535EB"/>
    <w:rsid w:val="00461A06"/>
    <w:rsid w:val="004C651A"/>
    <w:rsid w:val="00541C72"/>
    <w:rsid w:val="005C177E"/>
    <w:rsid w:val="005D6380"/>
    <w:rsid w:val="00657DE5"/>
    <w:rsid w:val="006D0AE2"/>
    <w:rsid w:val="006F14DA"/>
    <w:rsid w:val="0079718A"/>
    <w:rsid w:val="007E5B0F"/>
    <w:rsid w:val="00802DE1"/>
    <w:rsid w:val="008B4054"/>
    <w:rsid w:val="008C3EE2"/>
    <w:rsid w:val="00907E95"/>
    <w:rsid w:val="00936439"/>
    <w:rsid w:val="00946B98"/>
    <w:rsid w:val="0095693E"/>
    <w:rsid w:val="00A035D1"/>
    <w:rsid w:val="00A254F6"/>
    <w:rsid w:val="00A51F58"/>
    <w:rsid w:val="00A86F83"/>
    <w:rsid w:val="00AD4E55"/>
    <w:rsid w:val="00AE449C"/>
    <w:rsid w:val="00B842D1"/>
    <w:rsid w:val="00C029E7"/>
    <w:rsid w:val="00C50722"/>
    <w:rsid w:val="00C8555F"/>
    <w:rsid w:val="00D267DA"/>
    <w:rsid w:val="00D31057"/>
    <w:rsid w:val="00D33F36"/>
    <w:rsid w:val="00D5198E"/>
    <w:rsid w:val="00EC0171"/>
    <w:rsid w:val="00EE1AF0"/>
    <w:rsid w:val="00FA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8EC4F"/>
  <w15:chartTrackingRefBased/>
  <w15:docId w15:val="{E866D488-3DC4-1C46-B5CA-53CB731B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54F6"/>
  </w:style>
  <w:style w:type="paragraph" w:styleId="Heading3">
    <w:name w:val="heading 3"/>
    <w:basedOn w:val="Normal"/>
    <w:next w:val="Normal"/>
    <w:link w:val="Heading3Char"/>
    <w:uiPriority w:val="9"/>
    <w:semiHidden/>
    <w:unhideWhenUsed/>
    <w:qFormat/>
    <w:rsid w:val="00A254F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254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33F36"/>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D33F36"/>
    <w:rPr>
      <w:rFonts w:ascii="Times New Roman" w:eastAsia="Times New Roman" w:hAnsi="Times New Roman" w:cs="Times New Roman"/>
    </w:rPr>
  </w:style>
  <w:style w:type="paragraph" w:styleId="ListParagraph">
    <w:name w:val="List Paragraph"/>
    <w:basedOn w:val="Normal"/>
    <w:uiPriority w:val="34"/>
    <w:qFormat/>
    <w:rsid w:val="00EE1A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07E95"/>
    <w:rPr>
      <w:color w:val="0000FF"/>
      <w:u w:val="single"/>
    </w:rPr>
  </w:style>
  <w:style w:type="character" w:customStyle="1" w:styleId="apple-converted-space">
    <w:name w:val="apple-converted-space"/>
    <w:basedOn w:val="DefaultParagraphFont"/>
    <w:rsid w:val="00907E95"/>
  </w:style>
  <w:style w:type="paragraph" w:styleId="NormalWeb">
    <w:name w:val="Normal (Web)"/>
    <w:basedOn w:val="Normal"/>
    <w:uiPriority w:val="99"/>
    <w:unhideWhenUsed/>
    <w:rsid w:val="00EC017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9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67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D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056A27"/>
    <w:rPr>
      <w:color w:val="605E5C"/>
      <w:shd w:val="clear" w:color="auto" w:fill="E1DFDD"/>
    </w:rPr>
  </w:style>
  <w:style w:type="character" w:customStyle="1" w:styleId="Heading4Char">
    <w:name w:val="Heading 4 Char"/>
    <w:basedOn w:val="DefaultParagraphFont"/>
    <w:link w:val="Heading4"/>
    <w:uiPriority w:val="9"/>
    <w:rsid w:val="00A254F6"/>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A254F6"/>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453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826">
      <w:bodyDiv w:val="1"/>
      <w:marLeft w:val="0"/>
      <w:marRight w:val="0"/>
      <w:marTop w:val="0"/>
      <w:marBottom w:val="0"/>
      <w:divBdr>
        <w:top w:val="none" w:sz="0" w:space="0" w:color="auto"/>
        <w:left w:val="none" w:sz="0" w:space="0" w:color="auto"/>
        <w:bottom w:val="none" w:sz="0" w:space="0" w:color="auto"/>
        <w:right w:val="none" w:sz="0" w:space="0" w:color="auto"/>
      </w:divBdr>
    </w:div>
    <w:div w:id="41291305">
      <w:bodyDiv w:val="1"/>
      <w:marLeft w:val="0"/>
      <w:marRight w:val="0"/>
      <w:marTop w:val="0"/>
      <w:marBottom w:val="0"/>
      <w:divBdr>
        <w:top w:val="none" w:sz="0" w:space="0" w:color="auto"/>
        <w:left w:val="none" w:sz="0" w:space="0" w:color="auto"/>
        <w:bottom w:val="none" w:sz="0" w:space="0" w:color="auto"/>
        <w:right w:val="none" w:sz="0" w:space="0" w:color="auto"/>
      </w:divBdr>
      <w:divsChild>
        <w:div w:id="1297223931">
          <w:marLeft w:val="0"/>
          <w:marRight w:val="0"/>
          <w:marTop w:val="0"/>
          <w:marBottom w:val="0"/>
          <w:divBdr>
            <w:top w:val="none" w:sz="0" w:space="0" w:color="auto"/>
            <w:left w:val="none" w:sz="0" w:space="0" w:color="auto"/>
            <w:bottom w:val="none" w:sz="0" w:space="0" w:color="auto"/>
            <w:right w:val="none" w:sz="0" w:space="0" w:color="auto"/>
          </w:divBdr>
          <w:divsChild>
            <w:div w:id="1079911982">
              <w:marLeft w:val="0"/>
              <w:marRight w:val="0"/>
              <w:marTop w:val="0"/>
              <w:marBottom w:val="0"/>
              <w:divBdr>
                <w:top w:val="none" w:sz="0" w:space="0" w:color="auto"/>
                <w:left w:val="none" w:sz="0" w:space="0" w:color="auto"/>
                <w:bottom w:val="none" w:sz="0" w:space="0" w:color="auto"/>
                <w:right w:val="none" w:sz="0" w:space="0" w:color="auto"/>
              </w:divBdr>
              <w:divsChild>
                <w:div w:id="9139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0630">
      <w:bodyDiv w:val="1"/>
      <w:marLeft w:val="0"/>
      <w:marRight w:val="0"/>
      <w:marTop w:val="0"/>
      <w:marBottom w:val="0"/>
      <w:divBdr>
        <w:top w:val="none" w:sz="0" w:space="0" w:color="auto"/>
        <w:left w:val="none" w:sz="0" w:space="0" w:color="auto"/>
        <w:bottom w:val="none" w:sz="0" w:space="0" w:color="auto"/>
        <w:right w:val="none" w:sz="0" w:space="0" w:color="auto"/>
      </w:divBdr>
      <w:divsChild>
        <w:div w:id="218444950">
          <w:marLeft w:val="0"/>
          <w:marRight w:val="0"/>
          <w:marTop w:val="0"/>
          <w:marBottom w:val="0"/>
          <w:divBdr>
            <w:top w:val="none" w:sz="0" w:space="0" w:color="auto"/>
            <w:left w:val="none" w:sz="0" w:space="0" w:color="auto"/>
            <w:bottom w:val="none" w:sz="0" w:space="0" w:color="auto"/>
            <w:right w:val="none" w:sz="0" w:space="0" w:color="auto"/>
          </w:divBdr>
          <w:divsChild>
            <w:div w:id="1446803955">
              <w:marLeft w:val="0"/>
              <w:marRight w:val="0"/>
              <w:marTop w:val="0"/>
              <w:marBottom w:val="0"/>
              <w:divBdr>
                <w:top w:val="none" w:sz="0" w:space="0" w:color="auto"/>
                <w:left w:val="none" w:sz="0" w:space="0" w:color="auto"/>
                <w:bottom w:val="none" w:sz="0" w:space="0" w:color="auto"/>
                <w:right w:val="none" w:sz="0" w:space="0" w:color="auto"/>
              </w:divBdr>
              <w:divsChild>
                <w:div w:id="1852722033">
                  <w:marLeft w:val="0"/>
                  <w:marRight w:val="0"/>
                  <w:marTop w:val="0"/>
                  <w:marBottom w:val="0"/>
                  <w:divBdr>
                    <w:top w:val="none" w:sz="0" w:space="0" w:color="auto"/>
                    <w:left w:val="none" w:sz="0" w:space="0" w:color="auto"/>
                    <w:bottom w:val="none" w:sz="0" w:space="0" w:color="auto"/>
                    <w:right w:val="none" w:sz="0" w:space="0" w:color="auto"/>
                  </w:divBdr>
                  <w:divsChild>
                    <w:div w:id="16455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4354">
      <w:bodyDiv w:val="1"/>
      <w:marLeft w:val="0"/>
      <w:marRight w:val="0"/>
      <w:marTop w:val="0"/>
      <w:marBottom w:val="0"/>
      <w:divBdr>
        <w:top w:val="none" w:sz="0" w:space="0" w:color="auto"/>
        <w:left w:val="none" w:sz="0" w:space="0" w:color="auto"/>
        <w:bottom w:val="none" w:sz="0" w:space="0" w:color="auto"/>
        <w:right w:val="none" w:sz="0" w:space="0" w:color="auto"/>
      </w:divBdr>
      <w:divsChild>
        <w:div w:id="1229652829">
          <w:marLeft w:val="0"/>
          <w:marRight w:val="0"/>
          <w:marTop w:val="0"/>
          <w:marBottom w:val="0"/>
          <w:divBdr>
            <w:top w:val="none" w:sz="0" w:space="0" w:color="auto"/>
            <w:left w:val="none" w:sz="0" w:space="0" w:color="auto"/>
            <w:bottom w:val="none" w:sz="0" w:space="0" w:color="auto"/>
            <w:right w:val="none" w:sz="0" w:space="0" w:color="auto"/>
          </w:divBdr>
          <w:divsChild>
            <w:div w:id="1300914822">
              <w:marLeft w:val="0"/>
              <w:marRight w:val="0"/>
              <w:marTop w:val="0"/>
              <w:marBottom w:val="0"/>
              <w:divBdr>
                <w:top w:val="none" w:sz="0" w:space="0" w:color="auto"/>
                <w:left w:val="none" w:sz="0" w:space="0" w:color="auto"/>
                <w:bottom w:val="none" w:sz="0" w:space="0" w:color="auto"/>
                <w:right w:val="none" w:sz="0" w:space="0" w:color="auto"/>
              </w:divBdr>
              <w:divsChild>
                <w:div w:id="8679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780">
      <w:bodyDiv w:val="1"/>
      <w:marLeft w:val="0"/>
      <w:marRight w:val="0"/>
      <w:marTop w:val="0"/>
      <w:marBottom w:val="0"/>
      <w:divBdr>
        <w:top w:val="none" w:sz="0" w:space="0" w:color="auto"/>
        <w:left w:val="none" w:sz="0" w:space="0" w:color="auto"/>
        <w:bottom w:val="none" w:sz="0" w:space="0" w:color="auto"/>
        <w:right w:val="none" w:sz="0" w:space="0" w:color="auto"/>
      </w:divBdr>
      <w:divsChild>
        <w:div w:id="2144763526">
          <w:marLeft w:val="0"/>
          <w:marRight w:val="0"/>
          <w:marTop w:val="0"/>
          <w:marBottom w:val="0"/>
          <w:divBdr>
            <w:top w:val="none" w:sz="0" w:space="0" w:color="auto"/>
            <w:left w:val="none" w:sz="0" w:space="0" w:color="auto"/>
            <w:bottom w:val="none" w:sz="0" w:space="0" w:color="auto"/>
            <w:right w:val="none" w:sz="0" w:space="0" w:color="auto"/>
          </w:divBdr>
          <w:divsChild>
            <w:div w:id="807933994">
              <w:marLeft w:val="0"/>
              <w:marRight w:val="0"/>
              <w:marTop w:val="0"/>
              <w:marBottom w:val="0"/>
              <w:divBdr>
                <w:top w:val="none" w:sz="0" w:space="0" w:color="auto"/>
                <w:left w:val="none" w:sz="0" w:space="0" w:color="auto"/>
                <w:bottom w:val="none" w:sz="0" w:space="0" w:color="auto"/>
                <w:right w:val="none" w:sz="0" w:space="0" w:color="auto"/>
              </w:divBdr>
              <w:divsChild>
                <w:div w:id="312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156">
      <w:bodyDiv w:val="1"/>
      <w:marLeft w:val="0"/>
      <w:marRight w:val="0"/>
      <w:marTop w:val="0"/>
      <w:marBottom w:val="0"/>
      <w:divBdr>
        <w:top w:val="none" w:sz="0" w:space="0" w:color="auto"/>
        <w:left w:val="none" w:sz="0" w:space="0" w:color="auto"/>
        <w:bottom w:val="none" w:sz="0" w:space="0" w:color="auto"/>
        <w:right w:val="none" w:sz="0" w:space="0" w:color="auto"/>
      </w:divBdr>
      <w:divsChild>
        <w:div w:id="46153713">
          <w:marLeft w:val="0"/>
          <w:marRight w:val="0"/>
          <w:marTop w:val="0"/>
          <w:marBottom w:val="0"/>
          <w:divBdr>
            <w:top w:val="none" w:sz="0" w:space="0" w:color="auto"/>
            <w:left w:val="none" w:sz="0" w:space="0" w:color="auto"/>
            <w:bottom w:val="none" w:sz="0" w:space="0" w:color="auto"/>
            <w:right w:val="none" w:sz="0" w:space="0" w:color="auto"/>
          </w:divBdr>
          <w:divsChild>
            <w:div w:id="1637640570">
              <w:marLeft w:val="0"/>
              <w:marRight w:val="0"/>
              <w:marTop w:val="0"/>
              <w:marBottom w:val="0"/>
              <w:divBdr>
                <w:top w:val="none" w:sz="0" w:space="0" w:color="auto"/>
                <w:left w:val="none" w:sz="0" w:space="0" w:color="auto"/>
                <w:bottom w:val="none" w:sz="0" w:space="0" w:color="auto"/>
                <w:right w:val="none" w:sz="0" w:space="0" w:color="auto"/>
              </w:divBdr>
              <w:divsChild>
                <w:div w:id="6498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1650">
      <w:bodyDiv w:val="1"/>
      <w:marLeft w:val="0"/>
      <w:marRight w:val="0"/>
      <w:marTop w:val="0"/>
      <w:marBottom w:val="0"/>
      <w:divBdr>
        <w:top w:val="none" w:sz="0" w:space="0" w:color="auto"/>
        <w:left w:val="none" w:sz="0" w:space="0" w:color="auto"/>
        <w:bottom w:val="none" w:sz="0" w:space="0" w:color="auto"/>
        <w:right w:val="none" w:sz="0" w:space="0" w:color="auto"/>
      </w:divBdr>
      <w:divsChild>
        <w:div w:id="2011592079">
          <w:marLeft w:val="0"/>
          <w:marRight w:val="0"/>
          <w:marTop w:val="0"/>
          <w:marBottom w:val="0"/>
          <w:divBdr>
            <w:top w:val="none" w:sz="0" w:space="0" w:color="auto"/>
            <w:left w:val="none" w:sz="0" w:space="0" w:color="auto"/>
            <w:bottom w:val="none" w:sz="0" w:space="0" w:color="auto"/>
            <w:right w:val="none" w:sz="0" w:space="0" w:color="auto"/>
          </w:divBdr>
          <w:divsChild>
            <w:div w:id="246307983">
              <w:marLeft w:val="0"/>
              <w:marRight w:val="0"/>
              <w:marTop w:val="0"/>
              <w:marBottom w:val="0"/>
              <w:divBdr>
                <w:top w:val="none" w:sz="0" w:space="0" w:color="auto"/>
                <w:left w:val="none" w:sz="0" w:space="0" w:color="auto"/>
                <w:bottom w:val="none" w:sz="0" w:space="0" w:color="auto"/>
                <w:right w:val="none" w:sz="0" w:space="0" w:color="auto"/>
              </w:divBdr>
              <w:divsChild>
                <w:div w:id="655762728">
                  <w:marLeft w:val="0"/>
                  <w:marRight w:val="0"/>
                  <w:marTop w:val="0"/>
                  <w:marBottom w:val="0"/>
                  <w:divBdr>
                    <w:top w:val="none" w:sz="0" w:space="0" w:color="auto"/>
                    <w:left w:val="none" w:sz="0" w:space="0" w:color="auto"/>
                    <w:bottom w:val="none" w:sz="0" w:space="0" w:color="auto"/>
                    <w:right w:val="none" w:sz="0" w:space="0" w:color="auto"/>
                  </w:divBdr>
                  <w:divsChild>
                    <w:div w:id="716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4431">
      <w:bodyDiv w:val="1"/>
      <w:marLeft w:val="0"/>
      <w:marRight w:val="0"/>
      <w:marTop w:val="0"/>
      <w:marBottom w:val="0"/>
      <w:divBdr>
        <w:top w:val="none" w:sz="0" w:space="0" w:color="auto"/>
        <w:left w:val="none" w:sz="0" w:space="0" w:color="auto"/>
        <w:bottom w:val="none" w:sz="0" w:space="0" w:color="auto"/>
        <w:right w:val="none" w:sz="0" w:space="0" w:color="auto"/>
      </w:divBdr>
      <w:divsChild>
        <w:div w:id="245923255">
          <w:marLeft w:val="0"/>
          <w:marRight w:val="0"/>
          <w:marTop w:val="0"/>
          <w:marBottom w:val="0"/>
          <w:divBdr>
            <w:top w:val="none" w:sz="0" w:space="0" w:color="auto"/>
            <w:left w:val="none" w:sz="0" w:space="0" w:color="auto"/>
            <w:bottom w:val="none" w:sz="0" w:space="0" w:color="auto"/>
            <w:right w:val="none" w:sz="0" w:space="0" w:color="auto"/>
          </w:divBdr>
          <w:divsChild>
            <w:div w:id="1304962855">
              <w:marLeft w:val="0"/>
              <w:marRight w:val="0"/>
              <w:marTop w:val="0"/>
              <w:marBottom w:val="0"/>
              <w:divBdr>
                <w:top w:val="none" w:sz="0" w:space="0" w:color="auto"/>
                <w:left w:val="none" w:sz="0" w:space="0" w:color="auto"/>
                <w:bottom w:val="none" w:sz="0" w:space="0" w:color="auto"/>
                <w:right w:val="none" w:sz="0" w:space="0" w:color="auto"/>
              </w:divBdr>
              <w:divsChild>
                <w:div w:id="11078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4333">
      <w:bodyDiv w:val="1"/>
      <w:marLeft w:val="0"/>
      <w:marRight w:val="0"/>
      <w:marTop w:val="0"/>
      <w:marBottom w:val="0"/>
      <w:divBdr>
        <w:top w:val="none" w:sz="0" w:space="0" w:color="auto"/>
        <w:left w:val="none" w:sz="0" w:space="0" w:color="auto"/>
        <w:bottom w:val="none" w:sz="0" w:space="0" w:color="auto"/>
        <w:right w:val="none" w:sz="0" w:space="0" w:color="auto"/>
      </w:divBdr>
      <w:divsChild>
        <w:div w:id="1904639769">
          <w:marLeft w:val="0"/>
          <w:marRight w:val="0"/>
          <w:marTop w:val="0"/>
          <w:marBottom w:val="0"/>
          <w:divBdr>
            <w:top w:val="none" w:sz="0" w:space="0" w:color="auto"/>
            <w:left w:val="none" w:sz="0" w:space="0" w:color="auto"/>
            <w:bottom w:val="none" w:sz="0" w:space="0" w:color="auto"/>
            <w:right w:val="none" w:sz="0" w:space="0" w:color="auto"/>
          </w:divBdr>
          <w:divsChild>
            <w:div w:id="1203665605">
              <w:marLeft w:val="0"/>
              <w:marRight w:val="0"/>
              <w:marTop w:val="0"/>
              <w:marBottom w:val="0"/>
              <w:divBdr>
                <w:top w:val="none" w:sz="0" w:space="0" w:color="auto"/>
                <w:left w:val="none" w:sz="0" w:space="0" w:color="auto"/>
                <w:bottom w:val="none" w:sz="0" w:space="0" w:color="auto"/>
                <w:right w:val="none" w:sz="0" w:space="0" w:color="auto"/>
              </w:divBdr>
              <w:divsChild>
                <w:div w:id="12209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9775">
      <w:bodyDiv w:val="1"/>
      <w:marLeft w:val="0"/>
      <w:marRight w:val="0"/>
      <w:marTop w:val="0"/>
      <w:marBottom w:val="0"/>
      <w:divBdr>
        <w:top w:val="none" w:sz="0" w:space="0" w:color="auto"/>
        <w:left w:val="none" w:sz="0" w:space="0" w:color="auto"/>
        <w:bottom w:val="none" w:sz="0" w:space="0" w:color="auto"/>
        <w:right w:val="none" w:sz="0" w:space="0" w:color="auto"/>
      </w:divBdr>
      <w:divsChild>
        <w:div w:id="1861553870">
          <w:marLeft w:val="0"/>
          <w:marRight w:val="0"/>
          <w:marTop w:val="0"/>
          <w:marBottom w:val="0"/>
          <w:divBdr>
            <w:top w:val="none" w:sz="0" w:space="0" w:color="auto"/>
            <w:left w:val="none" w:sz="0" w:space="0" w:color="auto"/>
            <w:bottom w:val="none" w:sz="0" w:space="0" w:color="auto"/>
            <w:right w:val="none" w:sz="0" w:space="0" w:color="auto"/>
          </w:divBdr>
          <w:divsChild>
            <w:div w:id="584847254">
              <w:marLeft w:val="0"/>
              <w:marRight w:val="0"/>
              <w:marTop w:val="0"/>
              <w:marBottom w:val="0"/>
              <w:divBdr>
                <w:top w:val="none" w:sz="0" w:space="0" w:color="auto"/>
                <w:left w:val="none" w:sz="0" w:space="0" w:color="auto"/>
                <w:bottom w:val="none" w:sz="0" w:space="0" w:color="auto"/>
                <w:right w:val="none" w:sz="0" w:space="0" w:color="auto"/>
              </w:divBdr>
              <w:divsChild>
                <w:div w:id="20291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6288">
      <w:bodyDiv w:val="1"/>
      <w:marLeft w:val="0"/>
      <w:marRight w:val="0"/>
      <w:marTop w:val="0"/>
      <w:marBottom w:val="0"/>
      <w:divBdr>
        <w:top w:val="none" w:sz="0" w:space="0" w:color="auto"/>
        <w:left w:val="none" w:sz="0" w:space="0" w:color="auto"/>
        <w:bottom w:val="none" w:sz="0" w:space="0" w:color="auto"/>
        <w:right w:val="none" w:sz="0" w:space="0" w:color="auto"/>
      </w:divBdr>
      <w:divsChild>
        <w:div w:id="442652235">
          <w:marLeft w:val="0"/>
          <w:marRight w:val="0"/>
          <w:marTop w:val="0"/>
          <w:marBottom w:val="0"/>
          <w:divBdr>
            <w:top w:val="none" w:sz="0" w:space="0" w:color="auto"/>
            <w:left w:val="none" w:sz="0" w:space="0" w:color="auto"/>
            <w:bottom w:val="none" w:sz="0" w:space="0" w:color="auto"/>
            <w:right w:val="none" w:sz="0" w:space="0" w:color="auto"/>
          </w:divBdr>
          <w:divsChild>
            <w:div w:id="204827696">
              <w:marLeft w:val="0"/>
              <w:marRight w:val="0"/>
              <w:marTop w:val="0"/>
              <w:marBottom w:val="0"/>
              <w:divBdr>
                <w:top w:val="none" w:sz="0" w:space="0" w:color="auto"/>
                <w:left w:val="none" w:sz="0" w:space="0" w:color="auto"/>
                <w:bottom w:val="none" w:sz="0" w:space="0" w:color="auto"/>
                <w:right w:val="none" w:sz="0" w:space="0" w:color="auto"/>
              </w:divBdr>
              <w:divsChild>
                <w:div w:id="1790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1584">
      <w:bodyDiv w:val="1"/>
      <w:marLeft w:val="0"/>
      <w:marRight w:val="0"/>
      <w:marTop w:val="0"/>
      <w:marBottom w:val="0"/>
      <w:divBdr>
        <w:top w:val="none" w:sz="0" w:space="0" w:color="auto"/>
        <w:left w:val="none" w:sz="0" w:space="0" w:color="auto"/>
        <w:bottom w:val="none" w:sz="0" w:space="0" w:color="auto"/>
        <w:right w:val="none" w:sz="0" w:space="0" w:color="auto"/>
      </w:divBdr>
      <w:divsChild>
        <w:div w:id="780883137">
          <w:marLeft w:val="0"/>
          <w:marRight w:val="0"/>
          <w:marTop w:val="0"/>
          <w:marBottom w:val="0"/>
          <w:divBdr>
            <w:top w:val="none" w:sz="0" w:space="0" w:color="auto"/>
            <w:left w:val="none" w:sz="0" w:space="0" w:color="auto"/>
            <w:bottom w:val="none" w:sz="0" w:space="0" w:color="auto"/>
            <w:right w:val="none" w:sz="0" w:space="0" w:color="auto"/>
          </w:divBdr>
          <w:divsChild>
            <w:div w:id="2139838398">
              <w:marLeft w:val="0"/>
              <w:marRight w:val="0"/>
              <w:marTop w:val="0"/>
              <w:marBottom w:val="0"/>
              <w:divBdr>
                <w:top w:val="none" w:sz="0" w:space="0" w:color="auto"/>
                <w:left w:val="none" w:sz="0" w:space="0" w:color="auto"/>
                <w:bottom w:val="none" w:sz="0" w:space="0" w:color="auto"/>
                <w:right w:val="none" w:sz="0" w:space="0" w:color="auto"/>
              </w:divBdr>
              <w:divsChild>
                <w:div w:id="14275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8829">
      <w:bodyDiv w:val="1"/>
      <w:marLeft w:val="0"/>
      <w:marRight w:val="0"/>
      <w:marTop w:val="0"/>
      <w:marBottom w:val="0"/>
      <w:divBdr>
        <w:top w:val="none" w:sz="0" w:space="0" w:color="auto"/>
        <w:left w:val="none" w:sz="0" w:space="0" w:color="auto"/>
        <w:bottom w:val="none" w:sz="0" w:space="0" w:color="auto"/>
        <w:right w:val="none" w:sz="0" w:space="0" w:color="auto"/>
      </w:divBdr>
      <w:divsChild>
        <w:div w:id="1385370396">
          <w:marLeft w:val="0"/>
          <w:marRight w:val="0"/>
          <w:marTop w:val="0"/>
          <w:marBottom w:val="0"/>
          <w:divBdr>
            <w:top w:val="none" w:sz="0" w:space="0" w:color="auto"/>
            <w:left w:val="none" w:sz="0" w:space="0" w:color="auto"/>
            <w:bottom w:val="none" w:sz="0" w:space="0" w:color="auto"/>
            <w:right w:val="none" w:sz="0" w:space="0" w:color="auto"/>
          </w:divBdr>
          <w:divsChild>
            <w:div w:id="787158750">
              <w:marLeft w:val="0"/>
              <w:marRight w:val="0"/>
              <w:marTop w:val="0"/>
              <w:marBottom w:val="0"/>
              <w:divBdr>
                <w:top w:val="none" w:sz="0" w:space="0" w:color="auto"/>
                <w:left w:val="none" w:sz="0" w:space="0" w:color="auto"/>
                <w:bottom w:val="none" w:sz="0" w:space="0" w:color="auto"/>
                <w:right w:val="none" w:sz="0" w:space="0" w:color="auto"/>
              </w:divBdr>
              <w:divsChild>
                <w:div w:id="142893077">
                  <w:marLeft w:val="0"/>
                  <w:marRight w:val="0"/>
                  <w:marTop w:val="0"/>
                  <w:marBottom w:val="0"/>
                  <w:divBdr>
                    <w:top w:val="none" w:sz="0" w:space="0" w:color="auto"/>
                    <w:left w:val="none" w:sz="0" w:space="0" w:color="auto"/>
                    <w:bottom w:val="none" w:sz="0" w:space="0" w:color="auto"/>
                    <w:right w:val="none" w:sz="0" w:space="0" w:color="auto"/>
                  </w:divBdr>
                  <w:divsChild>
                    <w:div w:id="12069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8602">
      <w:bodyDiv w:val="1"/>
      <w:marLeft w:val="0"/>
      <w:marRight w:val="0"/>
      <w:marTop w:val="0"/>
      <w:marBottom w:val="0"/>
      <w:divBdr>
        <w:top w:val="none" w:sz="0" w:space="0" w:color="auto"/>
        <w:left w:val="none" w:sz="0" w:space="0" w:color="auto"/>
        <w:bottom w:val="none" w:sz="0" w:space="0" w:color="auto"/>
        <w:right w:val="none" w:sz="0" w:space="0" w:color="auto"/>
      </w:divBdr>
    </w:div>
    <w:div w:id="444737647">
      <w:bodyDiv w:val="1"/>
      <w:marLeft w:val="0"/>
      <w:marRight w:val="0"/>
      <w:marTop w:val="0"/>
      <w:marBottom w:val="0"/>
      <w:divBdr>
        <w:top w:val="none" w:sz="0" w:space="0" w:color="auto"/>
        <w:left w:val="none" w:sz="0" w:space="0" w:color="auto"/>
        <w:bottom w:val="none" w:sz="0" w:space="0" w:color="auto"/>
        <w:right w:val="none" w:sz="0" w:space="0" w:color="auto"/>
      </w:divBdr>
      <w:divsChild>
        <w:div w:id="1425419761">
          <w:marLeft w:val="0"/>
          <w:marRight w:val="0"/>
          <w:marTop w:val="0"/>
          <w:marBottom w:val="0"/>
          <w:divBdr>
            <w:top w:val="none" w:sz="0" w:space="0" w:color="auto"/>
            <w:left w:val="none" w:sz="0" w:space="0" w:color="auto"/>
            <w:bottom w:val="none" w:sz="0" w:space="0" w:color="auto"/>
            <w:right w:val="none" w:sz="0" w:space="0" w:color="auto"/>
          </w:divBdr>
          <w:divsChild>
            <w:div w:id="689766562">
              <w:marLeft w:val="0"/>
              <w:marRight w:val="0"/>
              <w:marTop w:val="0"/>
              <w:marBottom w:val="0"/>
              <w:divBdr>
                <w:top w:val="none" w:sz="0" w:space="0" w:color="auto"/>
                <w:left w:val="none" w:sz="0" w:space="0" w:color="auto"/>
                <w:bottom w:val="none" w:sz="0" w:space="0" w:color="auto"/>
                <w:right w:val="none" w:sz="0" w:space="0" w:color="auto"/>
              </w:divBdr>
              <w:divsChild>
                <w:div w:id="3106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16886">
      <w:bodyDiv w:val="1"/>
      <w:marLeft w:val="0"/>
      <w:marRight w:val="0"/>
      <w:marTop w:val="0"/>
      <w:marBottom w:val="0"/>
      <w:divBdr>
        <w:top w:val="none" w:sz="0" w:space="0" w:color="auto"/>
        <w:left w:val="none" w:sz="0" w:space="0" w:color="auto"/>
        <w:bottom w:val="none" w:sz="0" w:space="0" w:color="auto"/>
        <w:right w:val="none" w:sz="0" w:space="0" w:color="auto"/>
      </w:divBdr>
      <w:divsChild>
        <w:div w:id="1817911506">
          <w:marLeft w:val="0"/>
          <w:marRight w:val="0"/>
          <w:marTop w:val="0"/>
          <w:marBottom w:val="0"/>
          <w:divBdr>
            <w:top w:val="none" w:sz="0" w:space="0" w:color="auto"/>
            <w:left w:val="none" w:sz="0" w:space="0" w:color="auto"/>
            <w:bottom w:val="none" w:sz="0" w:space="0" w:color="auto"/>
            <w:right w:val="none" w:sz="0" w:space="0" w:color="auto"/>
          </w:divBdr>
          <w:divsChild>
            <w:div w:id="530338111">
              <w:marLeft w:val="0"/>
              <w:marRight w:val="0"/>
              <w:marTop w:val="0"/>
              <w:marBottom w:val="0"/>
              <w:divBdr>
                <w:top w:val="none" w:sz="0" w:space="0" w:color="auto"/>
                <w:left w:val="none" w:sz="0" w:space="0" w:color="auto"/>
                <w:bottom w:val="none" w:sz="0" w:space="0" w:color="auto"/>
                <w:right w:val="none" w:sz="0" w:space="0" w:color="auto"/>
              </w:divBdr>
              <w:divsChild>
                <w:div w:id="122386801">
                  <w:marLeft w:val="0"/>
                  <w:marRight w:val="0"/>
                  <w:marTop w:val="0"/>
                  <w:marBottom w:val="0"/>
                  <w:divBdr>
                    <w:top w:val="none" w:sz="0" w:space="0" w:color="auto"/>
                    <w:left w:val="none" w:sz="0" w:space="0" w:color="auto"/>
                    <w:bottom w:val="none" w:sz="0" w:space="0" w:color="auto"/>
                    <w:right w:val="none" w:sz="0" w:space="0" w:color="auto"/>
                  </w:divBdr>
                  <w:divsChild>
                    <w:div w:id="654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6269">
      <w:bodyDiv w:val="1"/>
      <w:marLeft w:val="0"/>
      <w:marRight w:val="0"/>
      <w:marTop w:val="0"/>
      <w:marBottom w:val="0"/>
      <w:divBdr>
        <w:top w:val="none" w:sz="0" w:space="0" w:color="auto"/>
        <w:left w:val="none" w:sz="0" w:space="0" w:color="auto"/>
        <w:bottom w:val="none" w:sz="0" w:space="0" w:color="auto"/>
        <w:right w:val="none" w:sz="0" w:space="0" w:color="auto"/>
      </w:divBdr>
      <w:divsChild>
        <w:div w:id="502474672">
          <w:marLeft w:val="0"/>
          <w:marRight w:val="0"/>
          <w:marTop w:val="0"/>
          <w:marBottom w:val="0"/>
          <w:divBdr>
            <w:top w:val="none" w:sz="0" w:space="0" w:color="auto"/>
            <w:left w:val="none" w:sz="0" w:space="0" w:color="auto"/>
            <w:bottom w:val="none" w:sz="0" w:space="0" w:color="auto"/>
            <w:right w:val="none" w:sz="0" w:space="0" w:color="auto"/>
          </w:divBdr>
          <w:divsChild>
            <w:div w:id="1547838777">
              <w:marLeft w:val="0"/>
              <w:marRight w:val="0"/>
              <w:marTop w:val="0"/>
              <w:marBottom w:val="0"/>
              <w:divBdr>
                <w:top w:val="none" w:sz="0" w:space="0" w:color="auto"/>
                <w:left w:val="none" w:sz="0" w:space="0" w:color="auto"/>
                <w:bottom w:val="none" w:sz="0" w:space="0" w:color="auto"/>
                <w:right w:val="none" w:sz="0" w:space="0" w:color="auto"/>
              </w:divBdr>
              <w:divsChild>
                <w:div w:id="30571277">
                  <w:marLeft w:val="0"/>
                  <w:marRight w:val="0"/>
                  <w:marTop w:val="0"/>
                  <w:marBottom w:val="0"/>
                  <w:divBdr>
                    <w:top w:val="none" w:sz="0" w:space="0" w:color="auto"/>
                    <w:left w:val="none" w:sz="0" w:space="0" w:color="auto"/>
                    <w:bottom w:val="none" w:sz="0" w:space="0" w:color="auto"/>
                    <w:right w:val="none" w:sz="0" w:space="0" w:color="auto"/>
                  </w:divBdr>
                  <w:divsChild>
                    <w:div w:id="3438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4700">
      <w:bodyDiv w:val="1"/>
      <w:marLeft w:val="0"/>
      <w:marRight w:val="0"/>
      <w:marTop w:val="0"/>
      <w:marBottom w:val="0"/>
      <w:divBdr>
        <w:top w:val="none" w:sz="0" w:space="0" w:color="auto"/>
        <w:left w:val="none" w:sz="0" w:space="0" w:color="auto"/>
        <w:bottom w:val="none" w:sz="0" w:space="0" w:color="auto"/>
        <w:right w:val="none" w:sz="0" w:space="0" w:color="auto"/>
      </w:divBdr>
    </w:div>
    <w:div w:id="542401732">
      <w:bodyDiv w:val="1"/>
      <w:marLeft w:val="0"/>
      <w:marRight w:val="0"/>
      <w:marTop w:val="0"/>
      <w:marBottom w:val="0"/>
      <w:divBdr>
        <w:top w:val="none" w:sz="0" w:space="0" w:color="auto"/>
        <w:left w:val="none" w:sz="0" w:space="0" w:color="auto"/>
        <w:bottom w:val="none" w:sz="0" w:space="0" w:color="auto"/>
        <w:right w:val="none" w:sz="0" w:space="0" w:color="auto"/>
      </w:divBdr>
      <w:divsChild>
        <w:div w:id="30422230">
          <w:marLeft w:val="0"/>
          <w:marRight w:val="0"/>
          <w:marTop w:val="0"/>
          <w:marBottom w:val="0"/>
          <w:divBdr>
            <w:top w:val="none" w:sz="0" w:space="0" w:color="auto"/>
            <w:left w:val="none" w:sz="0" w:space="0" w:color="auto"/>
            <w:bottom w:val="none" w:sz="0" w:space="0" w:color="auto"/>
            <w:right w:val="none" w:sz="0" w:space="0" w:color="auto"/>
          </w:divBdr>
          <w:divsChild>
            <w:div w:id="1540437206">
              <w:marLeft w:val="0"/>
              <w:marRight w:val="0"/>
              <w:marTop w:val="0"/>
              <w:marBottom w:val="0"/>
              <w:divBdr>
                <w:top w:val="none" w:sz="0" w:space="0" w:color="auto"/>
                <w:left w:val="none" w:sz="0" w:space="0" w:color="auto"/>
                <w:bottom w:val="none" w:sz="0" w:space="0" w:color="auto"/>
                <w:right w:val="none" w:sz="0" w:space="0" w:color="auto"/>
              </w:divBdr>
              <w:divsChild>
                <w:div w:id="5030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739">
      <w:bodyDiv w:val="1"/>
      <w:marLeft w:val="0"/>
      <w:marRight w:val="0"/>
      <w:marTop w:val="0"/>
      <w:marBottom w:val="0"/>
      <w:divBdr>
        <w:top w:val="none" w:sz="0" w:space="0" w:color="auto"/>
        <w:left w:val="none" w:sz="0" w:space="0" w:color="auto"/>
        <w:bottom w:val="none" w:sz="0" w:space="0" w:color="auto"/>
        <w:right w:val="none" w:sz="0" w:space="0" w:color="auto"/>
      </w:divBdr>
      <w:divsChild>
        <w:div w:id="1094058215">
          <w:marLeft w:val="0"/>
          <w:marRight w:val="0"/>
          <w:marTop w:val="0"/>
          <w:marBottom w:val="0"/>
          <w:divBdr>
            <w:top w:val="none" w:sz="0" w:space="0" w:color="auto"/>
            <w:left w:val="none" w:sz="0" w:space="0" w:color="auto"/>
            <w:bottom w:val="none" w:sz="0" w:space="0" w:color="auto"/>
            <w:right w:val="none" w:sz="0" w:space="0" w:color="auto"/>
          </w:divBdr>
          <w:divsChild>
            <w:div w:id="627246569">
              <w:marLeft w:val="0"/>
              <w:marRight w:val="0"/>
              <w:marTop w:val="0"/>
              <w:marBottom w:val="0"/>
              <w:divBdr>
                <w:top w:val="none" w:sz="0" w:space="0" w:color="auto"/>
                <w:left w:val="none" w:sz="0" w:space="0" w:color="auto"/>
                <w:bottom w:val="none" w:sz="0" w:space="0" w:color="auto"/>
                <w:right w:val="none" w:sz="0" w:space="0" w:color="auto"/>
              </w:divBdr>
              <w:divsChild>
                <w:div w:id="1363091956">
                  <w:marLeft w:val="0"/>
                  <w:marRight w:val="0"/>
                  <w:marTop w:val="0"/>
                  <w:marBottom w:val="0"/>
                  <w:divBdr>
                    <w:top w:val="none" w:sz="0" w:space="0" w:color="auto"/>
                    <w:left w:val="none" w:sz="0" w:space="0" w:color="auto"/>
                    <w:bottom w:val="none" w:sz="0" w:space="0" w:color="auto"/>
                    <w:right w:val="none" w:sz="0" w:space="0" w:color="auto"/>
                  </w:divBdr>
                  <w:divsChild>
                    <w:div w:id="9156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6628">
      <w:bodyDiv w:val="1"/>
      <w:marLeft w:val="0"/>
      <w:marRight w:val="0"/>
      <w:marTop w:val="0"/>
      <w:marBottom w:val="0"/>
      <w:divBdr>
        <w:top w:val="none" w:sz="0" w:space="0" w:color="auto"/>
        <w:left w:val="none" w:sz="0" w:space="0" w:color="auto"/>
        <w:bottom w:val="none" w:sz="0" w:space="0" w:color="auto"/>
        <w:right w:val="none" w:sz="0" w:space="0" w:color="auto"/>
      </w:divBdr>
      <w:divsChild>
        <w:div w:id="49227576">
          <w:marLeft w:val="0"/>
          <w:marRight w:val="0"/>
          <w:marTop w:val="0"/>
          <w:marBottom w:val="0"/>
          <w:divBdr>
            <w:top w:val="none" w:sz="0" w:space="0" w:color="auto"/>
            <w:left w:val="none" w:sz="0" w:space="0" w:color="auto"/>
            <w:bottom w:val="none" w:sz="0" w:space="0" w:color="auto"/>
            <w:right w:val="none" w:sz="0" w:space="0" w:color="auto"/>
          </w:divBdr>
          <w:divsChild>
            <w:div w:id="1831864761">
              <w:marLeft w:val="0"/>
              <w:marRight w:val="0"/>
              <w:marTop w:val="0"/>
              <w:marBottom w:val="0"/>
              <w:divBdr>
                <w:top w:val="none" w:sz="0" w:space="0" w:color="auto"/>
                <w:left w:val="none" w:sz="0" w:space="0" w:color="auto"/>
                <w:bottom w:val="none" w:sz="0" w:space="0" w:color="auto"/>
                <w:right w:val="none" w:sz="0" w:space="0" w:color="auto"/>
              </w:divBdr>
              <w:divsChild>
                <w:div w:id="843008834">
                  <w:marLeft w:val="0"/>
                  <w:marRight w:val="0"/>
                  <w:marTop w:val="0"/>
                  <w:marBottom w:val="0"/>
                  <w:divBdr>
                    <w:top w:val="none" w:sz="0" w:space="0" w:color="auto"/>
                    <w:left w:val="none" w:sz="0" w:space="0" w:color="auto"/>
                    <w:bottom w:val="none" w:sz="0" w:space="0" w:color="auto"/>
                    <w:right w:val="none" w:sz="0" w:space="0" w:color="auto"/>
                  </w:divBdr>
                </w:div>
                <w:div w:id="10639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79181">
      <w:bodyDiv w:val="1"/>
      <w:marLeft w:val="0"/>
      <w:marRight w:val="0"/>
      <w:marTop w:val="0"/>
      <w:marBottom w:val="0"/>
      <w:divBdr>
        <w:top w:val="none" w:sz="0" w:space="0" w:color="auto"/>
        <w:left w:val="none" w:sz="0" w:space="0" w:color="auto"/>
        <w:bottom w:val="none" w:sz="0" w:space="0" w:color="auto"/>
        <w:right w:val="none" w:sz="0" w:space="0" w:color="auto"/>
      </w:divBdr>
    </w:div>
    <w:div w:id="639966970">
      <w:bodyDiv w:val="1"/>
      <w:marLeft w:val="0"/>
      <w:marRight w:val="0"/>
      <w:marTop w:val="0"/>
      <w:marBottom w:val="0"/>
      <w:divBdr>
        <w:top w:val="none" w:sz="0" w:space="0" w:color="auto"/>
        <w:left w:val="none" w:sz="0" w:space="0" w:color="auto"/>
        <w:bottom w:val="none" w:sz="0" w:space="0" w:color="auto"/>
        <w:right w:val="none" w:sz="0" w:space="0" w:color="auto"/>
      </w:divBdr>
      <w:divsChild>
        <w:div w:id="1525829335">
          <w:marLeft w:val="0"/>
          <w:marRight w:val="0"/>
          <w:marTop w:val="0"/>
          <w:marBottom w:val="0"/>
          <w:divBdr>
            <w:top w:val="none" w:sz="0" w:space="0" w:color="auto"/>
            <w:left w:val="none" w:sz="0" w:space="0" w:color="auto"/>
            <w:bottom w:val="none" w:sz="0" w:space="0" w:color="auto"/>
            <w:right w:val="none" w:sz="0" w:space="0" w:color="auto"/>
          </w:divBdr>
          <w:divsChild>
            <w:div w:id="1790583579">
              <w:marLeft w:val="0"/>
              <w:marRight w:val="0"/>
              <w:marTop w:val="0"/>
              <w:marBottom w:val="0"/>
              <w:divBdr>
                <w:top w:val="none" w:sz="0" w:space="0" w:color="auto"/>
                <w:left w:val="none" w:sz="0" w:space="0" w:color="auto"/>
                <w:bottom w:val="none" w:sz="0" w:space="0" w:color="auto"/>
                <w:right w:val="none" w:sz="0" w:space="0" w:color="auto"/>
              </w:divBdr>
              <w:divsChild>
                <w:div w:id="1706759883">
                  <w:marLeft w:val="0"/>
                  <w:marRight w:val="0"/>
                  <w:marTop w:val="0"/>
                  <w:marBottom w:val="0"/>
                  <w:divBdr>
                    <w:top w:val="none" w:sz="0" w:space="0" w:color="auto"/>
                    <w:left w:val="none" w:sz="0" w:space="0" w:color="auto"/>
                    <w:bottom w:val="none" w:sz="0" w:space="0" w:color="auto"/>
                    <w:right w:val="none" w:sz="0" w:space="0" w:color="auto"/>
                  </w:divBdr>
                  <w:divsChild>
                    <w:div w:id="2359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5658">
      <w:bodyDiv w:val="1"/>
      <w:marLeft w:val="0"/>
      <w:marRight w:val="0"/>
      <w:marTop w:val="0"/>
      <w:marBottom w:val="0"/>
      <w:divBdr>
        <w:top w:val="none" w:sz="0" w:space="0" w:color="auto"/>
        <w:left w:val="none" w:sz="0" w:space="0" w:color="auto"/>
        <w:bottom w:val="none" w:sz="0" w:space="0" w:color="auto"/>
        <w:right w:val="none" w:sz="0" w:space="0" w:color="auto"/>
      </w:divBdr>
      <w:divsChild>
        <w:div w:id="550069960">
          <w:marLeft w:val="0"/>
          <w:marRight w:val="0"/>
          <w:marTop w:val="0"/>
          <w:marBottom w:val="0"/>
          <w:divBdr>
            <w:top w:val="none" w:sz="0" w:space="0" w:color="auto"/>
            <w:left w:val="none" w:sz="0" w:space="0" w:color="auto"/>
            <w:bottom w:val="none" w:sz="0" w:space="0" w:color="auto"/>
            <w:right w:val="none" w:sz="0" w:space="0" w:color="auto"/>
          </w:divBdr>
          <w:divsChild>
            <w:div w:id="1339844556">
              <w:marLeft w:val="0"/>
              <w:marRight w:val="0"/>
              <w:marTop w:val="0"/>
              <w:marBottom w:val="0"/>
              <w:divBdr>
                <w:top w:val="none" w:sz="0" w:space="0" w:color="auto"/>
                <w:left w:val="none" w:sz="0" w:space="0" w:color="auto"/>
                <w:bottom w:val="none" w:sz="0" w:space="0" w:color="auto"/>
                <w:right w:val="none" w:sz="0" w:space="0" w:color="auto"/>
              </w:divBdr>
              <w:divsChild>
                <w:div w:id="1489901885">
                  <w:marLeft w:val="0"/>
                  <w:marRight w:val="0"/>
                  <w:marTop w:val="0"/>
                  <w:marBottom w:val="0"/>
                  <w:divBdr>
                    <w:top w:val="none" w:sz="0" w:space="0" w:color="auto"/>
                    <w:left w:val="none" w:sz="0" w:space="0" w:color="auto"/>
                    <w:bottom w:val="none" w:sz="0" w:space="0" w:color="auto"/>
                    <w:right w:val="none" w:sz="0" w:space="0" w:color="auto"/>
                  </w:divBdr>
                  <w:divsChild>
                    <w:div w:id="13589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5726">
      <w:bodyDiv w:val="1"/>
      <w:marLeft w:val="0"/>
      <w:marRight w:val="0"/>
      <w:marTop w:val="0"/>
      <w:marBottom w:val="0"/>
      <w:divBdr>
        <w:top w:val="none" w:sz="0" w:space="0" w:color="auto"/>
        <w:left w:val="none" w:sz="0" w:space="0" w:color="auto"/>
        <w:bottom w:val="none" w:sz="0" w:space="0" w:color="auto"/>
        <w:right w:val="none" w:sz="0" w:space="0" w:color="auto"/>
      </w:divBdr>
      <w:divsChild>
        <w:div w:id="1721321812">
          <w:marLeft w:val="374"/>
          <w:marRight w:val="0"/>
          <w:marTop w:val="320"/>
          <w:marBottom w:val="120"/>
          <w:divBdr>
            <w:top w:val="none" w:sz="0" w:space="0" w:color="auto"/>
            <w:left w:val="none" w:sz="0" w:space="0" w:color="auto"/>
            <w:bottom w:val="none" w:sz="0" w:space="0" w:color="auto"/>
            <w:right w:val="none" w:sz="0" w:space="0" w:color="auto"/>
          </w:divBdr>
        </w:div>
      </w:divsChild>
    </w:div>
    <w:div w:id="755789414">
      <w:bodyDiv w:val="1"/>
      <w:marLeft w:val="0"/>
      <w:marRight w:val="0"/>
      <w:marTop w:val="0"/>
      <w:marBottom w:val="0"/>
      <w:divBdr>
        <w:top w:val="none" w:sz="0" w:space="0" w:color="auto"/>
        <w:left w:val="none" w:sz="0" w:space="0" w:color="auto"/>
        <w:bottom w:val="none" w:sz="0" w:space="0" w:color="auto"/>
        <w:right w:val="none" w:sz="0" w:space="0" w:color="auto"/>
      </w:divBdr>
      <w:divsChild>
        <w:div w:id="682440559">
          <w:marLeft w:val="0"/>
          <w:marRight w:val="0"/>
          <w:marTop w:val="0"/>
          <w:marBottom w:val="0"/>
          <w:divBdr>
            <w:top w:val="none" w:sz="0" w:space="0" w:color="auto"/>
            <w:left w:val="none" w:sz="0" w:space="0" w:color="auto"/>
            <w:bottom w:val="none" w:sz="0" w:space="0" w:color="auto"/>
            <w:right w:val="none" w:sz="0" w:space="0" w:color="auto"/>
          </w:divBdr>
          <w:divsChild>
            <w:div w:id="1238588787">
              <w:marLeft w:val="0"/>
              <w:marRight w:val="0"/>
              <w:marTop w:val="0"/>
              <w:marBottom w:val="0"/>
              <w:divBdr>
                <w:top w:val="none" w:sz="0" w:space="0" w:color="auto"/>
                <w:left w:val="none" w:sz="0" w:space="0" w:color="auto"/>
                <w:bottom w:val="none" w:sz="0" w:space="0" w:color="auto"/>
                <w:right w:val="none" w:sz="0" w:space="0" w:color="auto"/>
              </w:divBdr>
              <w:divsChild>
                <w:div w:id="191235711">
                  <w:marLeft w:val="0"/>
                  <w:marRight w:val="0"/>
                  <w:marTop w:val="0"/>
                  <w:marBottom w:val="0"/>
                  <w:divBdr>
                    <w:top w:val="none" w:sz="0" w:space="0" w:color="auto"/>
                    <w:left w:val="none" w:sz="0" w:space="0" w:color="auto"/>
                    <w:bottom w:val="none" w:sz="0" w:space="0" w:color="auto"/>
                    <w:right w:val="none" w:sz="0" w:space="0" w:color="auto"/>
                  </w:divBdr>
                  <w:divsChild>
                    <w:div w:id="3241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942">
      <w:bodyDiv w:val="1"/>
      <w:marLeft w:val="0"/>
      <w:marRight w:val="0"/>
      <w:marTop w:val="0"/>
      <w:marBottom w:val="0"/>
      <w:divBdr>
        <w:top w:val="none" w:sz="0" w:space="0" w:color="auto"/>
        <w:left w:val="none" w:sz="0" w:space="0" w:color="auto"/>
        <w:bottom w:val="none" w:sz="0" w:space="0" w:color="auto"/>
        <w:right w:val="none" w:sz="0" w:space="0" w:color="auto"/>
      </w:divBdr>
      <w:divsChild>
        <w:div w:id="1217621775">
          <w:marLeft w:val="0"/>
          <w:marRight w:val="0"/>
          <w:marTop w:val="0"/>
          <w:marBottom w:val="0"/>
          <w:divBdr>
            <w:top w:val="none" w:sz="0" w:space="0" w:color="auto"/>
            <w:left w:val="none" w:sz="0" w:space="0" w:color="auto"/>
            <w:bottom w:val="none" w:sz="0" w:space="0" w:color="auto"/>
            <w:right w:val="none" w:sz="0" w:space="0" w:color="auto"/>
          </w:divBdr>
          <w:divsChild>
            <w:div w:id="1789153701">
              <w:marLeft w:val="0"/>
              <w:marRight w:val="0"/>
              <w:marTop w:val="0"/>
              <w:marBottom w:val="0"/>
              <w:divBdr>
                <w:top w:val="none" w:sz="0" w:space="0" w:color="auto"/>
                <w:left w:val="none" w:sz="0" w:space="0" w:color="auto"/>
                <w:bottom w:val="none" w:sz="0" w:space="0" w:color="auto"/>
                <w:right w:val="none" w:sz="0" w:space="0" w:color="auto"/>
              </w:divBdr>
              <w:divsChild>
                <w:div w:id="14519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4062">
      <w:bodyDiv w:val="1"/>
      <w:marLeft w:val="0"/>
      <w:marRight w:val="0"/>
      <w:marTop w:val="0"/>
      <w:marBottom w:val="0"/>
      <w:divBdr>
        <w:top w:val="none" w:sz="0" w:space="0" w:color="auto"/>
        <w:left w:val="none" w:sz="0" w:space="0" w:color="auto"/>
        <w:bottom w:val="none" w:sz="0" w:space="0" w:color="auto"/>
        <w:right w:val="none" w:sz="0" w:space="0" w:color="auto"/>
      </w:divBdr>
      <w:divsChild>
        <w:div w:id="824081628">
          <w:marLeft w:val="0"/>
          <w:marRight w:val="0"/>
          <w:marTop w:val="0"/>
          <w:marBottom w:val="0"/>
          <w:divBdr>
            <w:top w:val="none" w:sz="0" w:space="0" w:color="auto"/>
            <w:left w:val="none" w:sz="0" w:space="0" w:color="auto"/>
            <w:bottom w:val="none" w:sz="0" w:space="0" w:color="auto"/>
            <w:right w:val="none" w:sz="0" w:space="0" w:color="auto"/>
          </w:divBdr>
          <w:divsChild>
            <w:div w:id="1653558182">
              <w:marLeft w:val="0"/>
              <w:marRight w:val="0"/>
              <w:marTop w:val="0"/>
              <w:marBottom w:val="0"/>
              <w:divBdr>
                <w:top w:val="none" w:sz="0" w:space="0" w:color="auto"/>
                <w:left w:val="none" w:sz="0" w:space="0" w:color="auto"/>
                <w:bottom w:val="none" w:sz="0" w:space="0" w:color="auto"/>
                <w:right w:val="none" w:sz="0" w:space="0" w:color="auto"/>
              </w:divBdr>
              <w:divsChild>
                <w:div w:id="6013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614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1">
          <w:marLeft w:val="0"/>
          <w:marRight w:val="0"/>
          <w:marTop w:val="0"/>
          <w:marBottom w:val="0"/>
          <w:divBdr>
            <w:top w:val="none" w:sz="0" w:space="0" w:color="auto"/>
            <w:left w:val="none" w:sz="0" w:space="0" w:color="auto"/>
            <w:bottom w:val="none" w:sz="0" w:space="0" w:color="auto"/>
            <w:right w:val="none" w:sz="0" w:space="0" w:color="auto"/>
          </w:divBdr>
          <w:divsChild>
            <w:div w:id="1765415496">
              <w:marLeft w:val="0"/>
              <w:marRight w:val="0"/>
              <w:marTop w:val="0"/>
              <w:marBottom w:val="0"/>
              <w:divBdr>
                <w:top w:val="none" w:sz="0" w:space="0" w:color="auto"/>
                <w:left w:val="none" w:sz="0" w:space="0" w:color="auto"/>
                <w:bottom w:val="none" w:sz="0" w:space="0" w:color="auto"/>
                <w:right w:val="none" w:sz="0" w:space="0" w:color="auto"/>
              </w:divBdr>
              <w:divsChild>
                <w:div w:id="1160804787">
                  <w:marLeft w:val="0"/>
                  <w:marRight w:val="0"/>
                  <w:marTop w:val="0"/>
                  <w:marBottom w:val="0"/>
                  <w:divBdr>
                    <w:top w:val="none" w:sz="0" w:space="0" w:color="auto"/>
                    <w:left w:val="none" w:sz="0" w:space="0" w:color="auto"/>
                    <w:bottom w:val="none" w:sz="0" w:space="0" w:color="auto"/>
                    <w:right w:val="none" w:sz="0" w:space="0" w:color="auto"/>
                  </w:divBdr>
                  <w:divsChild>
                    <w:div w:id="20044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37392">
      <w:bodyDiv w:val="1"/>
      <w:marLeft w:val="0"/>
      <w:marRight w:val="0"/>
      <w:marTop w:val="0"/>
      <w:marBottom w:val="0"/>
      <w:divBdr>
        <w:top w:val="none" w:sz="0" w:space="0" w:color="auto"/>
        <w:left w:val="none" w:sz="0" w:space="0" w:color="auto"/>
        <w:bottom w:val="none" w:sz="0" w:space="0" w:color="auto"/>
        <w:right w:val="none" w:sz="0" w:space="0" w:color="auto"/>
      </w:divBdr>
      <w:divsChild>
        <w:div w:id="789209543">
          <w:marLeft w:val="0"/>
          <w:marRight w:val="0"/>
          <w:marTop w:val="0"/>
          <w:marBottom w:val="0"/>
          <w:divBdr>
            <w:top w:val="none" w:sz="0" w:space="0" w:color="auto"/>
            <w:left w:val="none" w:sz="0" w:space="0" w:color="auto"/>
            <w:bottom w:val="none" w:sz="0" w:space="0" w:color="auto"/>
            <w:right w:val="none" w:sz="0" w:space="0" w:color="auto"/>
          </w:divBdr>
          <w:divsChild>
            <w:div w:id="1929970386">
              <w:marLeft w:val="0"/>
              <w:marRight w:val="0"/>
              <w:marTop w:val="0"/>
              <w:marBottom w:val="0"/>
              <w:divBdr>
                <w:top w:val="none" w:sz="0" w:space="0" w:color="auto"/>
                <w:left w:val="none" w:sz="0" w:space="0" w:color="auto"/>
                <w:bottom w:val="none" w:sz="0" w:space="0" w:color="auto"/>
                <w:right w:val="none" w:sz="0" w:space="0" w:color="auto"/>
              </w:divBdr>
              <w:divsChild>
                <w:div w:id="18541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4938">
      <w:bodyDiv w:val="1"/>
      <w:marLeft w:val="0"/>
      <w:marRight w:val="0"/>
      <w:marTop w:val="0"/>
      <w:marBottom w:val="0"/>
      <w:divBdr>
        <w:top w:val="none" w:sz="0" w:space="0" w:color="auto"/>
        <w:left w:val="none" w:sz="0" w:space="0" w:color="auto"/>
        <w:bottom w:val="none" w:sz="0" w:space="0" w:color="auto"/>
        <w:right w:val="none" w:sz="0" w:space="0" w:color="auto"/>
      </w:divBdr>
    </w:div>
    <w:div w:id="965770774">
      <w:bodyDiv w:val="1"/>
      <w:marLeft w:val="0"/>
      <w:marRight w:val="0"/>
      <w:marTop w:val="0"/>
      <w:marBottom w:val="0"/>
      <w:divBdr>
        <w:top w:val="none" w:sz="0" w:space="0" w:color="auto"/>
        <w:left w:val="none" w:sz="0" w:space="0" w:color="auto"/>
        <w:bottom w:val="none" w:sz="0" w:space="0" w:color="auto"/>
        <w:right w:val="none" w:sz="0" w:space="0" w:color="auto"/>
      </w:divBdr>
      <w:divsChild>
        <w:div w:id="1316496201">
          <w:marLeft w:val="0"/>
          <w:marRight w:val="0"/>
          <w:marTop w:val="0"/>
          <w:marBottom w:val="0"/>
          <w:divBdr>
            <w:top w:val="none" w:sz="0" w:space="0" w:color="auto"/>
            <w:left w:val="none" w:sz="0" w:space="0" w:color="auto"/>
            <w:bottom w:val="none" w:sz="0" w:space="0" w:color="auto"/>
            <w:right w:val="none" w:sz="0" w:space="0" w:color="auto"/>
          </w:divBdr>
          <w:divsChild>
            <w:div w:id="1813523674">
              <w:marLeft w:val="0"/>
              <w:marRight w:val="0"/>
              <w:marTop w:val="0"/>
              <w:marBottom w:val="0"/>
              <w:divBdr>
                <w:top w:val="none" w:sz="0" w:space="0" w:color="auto"/>
                <w:left w:val="none" w:sz="0" w:space="0" w:color="auto"/>
                <w:bottom w:val="none" w:sz="0" w:space="0" w:color="auto"/>
                <w:right w:val="none" w:sz="0" w:space="0" w:color="auto"/>
              </w:divBdr>
              <w:divsChild>
                <w:div w:id="331832426">
                  <w:marLeft w:val="0"/>
                  <w:marRight w:val="0"/>
                  <w:marTop w:val="0"/>
                  <w:marBottom w:val="0"/>
                  <w:divBdr>
                    <w:top w:val="none" w:sz="0" w:space="0" w:color="auto"/>
                    <w:left w:val="none" w:sz="0" w:space="0" w:color="auto"/>
                    <w:bottom w:val="none" w:sz="0" w:space="0" w:color="auto"/>
                    <w:right w:val="none" w:sz="0" w:space="0" w:color="auto"/>
                  </w:divBdr>
                  <w:divsChild>
                    <w:div w:id="1805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98485">
      <w:bodyDiv w:val="1"/>
      <w:marLeft w:val="0"/>
      <w:marRight w:val="0"/>
      <w:marTop w:val="0"/>
      <w:marBottom w:val="0"/>
      <w:divBdr>
        <w:top w:val="none" w:sz="0" w:space="0" w:color="auto"/>
        <w:left w:val="none" w:sz="0" w:space="0" w:color="auto"/>
        <w:bottom w:val="none" w:sz="0" w:space="0" w:color="auto"/>
        <w:right w:val="none" w:sz="0" w:space="0" w:color="auto"/>
      </w:divBdr>
      <w:divsChild>
        <w:div w:id="1677221142">
          <w:marLeft w:val="0"/>
          <w:marRight w:val="0"/>
          <w:marTop w:val="0"/>
          <w:marBottom w:val="0"/>
          <w:divBdr>
            <w:top w:val="none" w:sz="0" w:space="0" w:color="auto"/>
            <w:left w:val="none" w:sz="0" w:space="0" w:color="auto"/>
            <w:bottom w:val="none" w:sz="0" w:space="0" w:color="auto"/>
            <w:right w:val="none" w:sz="0" w:space="0" w:color="auto"/>
          </w:divBdr>
          <w:divsChild>
            <w:div w:id="1877157419">
              <w:marLeft w:val="0"/>
              <w:marRight w:val="0"/>
              <w:marTop w:val="0"/>
              <w:marBottom w:val="0"/>
              <w:divBdr>
                <w:top w:val="none" w:sz="0" w:space="0" w:color="auto"/>
                <w:left w:val="none" w:sz="0" w:space="0" w:color="auto"/>
                <w:bottom w:val="none" w:sz="0" w:space="0" w:color="auto"/>
                <w:right w:val="none" w:sz="0" w:space="0" w:color="auto"/>
              </w:divBdr>
              <w:divsChild>
                <w:div w:id="18283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1183">
      <w:bodyDiv w:val="1"/>
      <w:marLeft w:val="0"/>
      <w:marRight w:val="0"/>
      <w:marTop w:val="0"/>
      <w:marBottom w:val="0"/>
      <w:divBdr>
        <w:top w:val="none" w:sz="0" w:space="0" w:color="auto"/>
        <w:left w:val="none" w:sz="0" w:space="0" w:color="auto"/>
        <w:bottom w:val="none" w:sz="0" w:space="0" w:color="auto"/>
        <w:right w:val="none" w:sz="0" w:space="0" w:color="auto"/>
      </w:divBdr>
      <w:divsChild>
        <w:div w:id="1351370064">
          <w:marLeft w:val="0"/>
          <w:marRight w:val="0"/>
          <w:marTop w:val="0"/>
          <w:marBottom w:val="0"/>
          <w:divBdr>
            <w:top w:val="none" w:sz="0" w:space="0" w:color="auto"/>
            <w:left w:val="none" w:sz="0" w:space="0" w:color="auto"/>
            <w:bottom w:val="none" w:sz="0" w:space="0" w:color="auto"/>
            <w:right w:val="none" w:sz="0" w:space="0" w:color="auto"/>
          </w:divBdr>
          <w:divsChild>
            <w:div w:id="51391613">
              <w:marLeft w:val="0"/>
              <w:marRight w:val="0"/>
              <w:marTop w:val="0"/>
              <w:marBottom w:val="0"/>
              <w:divBdr>
                <w:top w:val="none" w:sz="0" w:space="0" w:color="auto"/>
                <w:left w:val="none" w:sz="0" w:space="0" w:color="auto"/>
                <w:bottom w:val="none" w:sz="0" w:space="0" w:color="auto"/>
                <w:right w:val="none" w:sz="0" w:space="0" w:color="auto"/>
              </w:divBdr>
              <w:divsChild>
                <w:div w:id="716857911">
                  <w:marLeft w:val="0"/>
                  <w:marRight w:val="0"/>
                  <w:marTop w:val="0"/>
                  <w:marBottom w:val="0"/>
                  <w:divBdr>
                    <w:top w:val="none" w:sz="0" w:space="0" w:color="auto"/>
                    <w:left w:val="none" w:sz="0" w:space="0" w:color="auto"/>
                    <w:bottom w:val="none" w:sz="0" w:space="0" w:color="auto"/>
                    <w:right w:val="none" w:sz="0" w:space="0" w:color="auto"/>
                  </w:divBdr>
                  <w:divsChild>
                    <w:div w:id="18432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6940">
      <w:bodyDiv w:val="1"/>
      <w:marLeft w:val="0"/>
      <w:marRight w:val="0"/>
      <w:marTop w:val="0"/>
      <w:marBottom w:val="0"/>
      <w:divBdr>
        <w:top w:val="none" w:sz="0" w:space="0" w:color="auto"/>
        <w:left w:val="none" w:sz="0" w:space="0" w:color="auto"/>
        <w:bottom w:val="none" w:sz="0" w:space="0" w:color="auto"/>
        <w:right w:val="none" w:sz="0" w:space="0" w:color="auto"/>
      </w:divBdr>
      <w:divsChild>
        <w:div w:id="1793859264">
          <w:marLeft w:val="0"/>
          <w:marRight w:val="0"/>
          <w:marTop w:val="0"/>
          <w:marBottom w:val="0"/>
          <w:divBdr>
            <w:top w:val="none" w:sz="0" w:space="0" w:color="auto"/>
            <w:left w:val="none" w:sz="0" w:space="0" w:color="auto"/>
            <w:bottom w:val="none" w:sz="0" w:space="0" w:color="auto"/>
            <w:right w:val="none" w:sz="0" w:space="0" w:color="auto"/>
          </w:divBdr>
          <w:divsChild>
            <w:div w:id="580607596">
              <w:marLeft w:val="0"/>
              <w:marRight w:val="0"/>
              <w:marTop w:val="0"/>
              <w:marBottom w:val="0"/>
              <w:divBdr>
                <w:top w:val="none" w:sz="0" w:space="0" w:color="auto"/>
                <w:left w:val="none" w:sz="0" w:space="0" w:color="auto"/>
                <w:bottom w:val="none" w:sz="0" w:space="0" w:color="auto"/>
                <w:right w:val="none" w:sz="0" w:space="0" w:color="auto"/>
              </w:divBdr>
              <w:divsChild>
                <w:div w:id="1901742723">
                  <w:marLeft w:val="0"/>
                  <w:marRight w:val="0"/>
                  <w:marTop w:val="0"/>
                  <w:marBottom w:val="0"/>
                  <w:divBdr>
                    <w:top w:val="none" w:sz="0" w:space="0" w:color="auto"/>
                    <w:left w:val="none" w:sz="0" w:space="0" w:color="auto"/>
                    <w:bottom w:val="none" w:sz="0" w:space="0" w:color="auto"/>
                    <w:right w:val="none" w:sz="0" w:space="0" w:color="auto"/>
                  </w:divBdr>
                  <w:divsChild>
                    <w:div w:id="18274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98280">
      <w:bodyDiv w:val="1"/>
      <w:marLeft w:val="0"/>
      <w:marRight w:val="0"/>
      <w:marTop w:val="0"/>
      <w:marBottom w:val="0"/>
      <w:divBdr>
        <w:top w:val="none" w:sz="0" w:space="0" w:color="auto"/>
        <w:left w:val="none" w:sz="0" w:space="0" w:color="auto"/>
        <w:bottom w:val="none" w:sz="0" w:space="0" w:color="auto"/>
        <w:right w:val="none" w:sz="0" w:space="0" w:color="auto"/>
      </w:divBdr>
    </w:div>
    <w:div w:id="1093085859">
      <w:bodyDiv w:val="1"/>
      <w:marLeft w:val="0"/>
      <w:marRight w:val="0"/>
      <w:marTop w:val="0"/>
      <w:marBottom w:val="0"/>
      <w:divBdr>
        <w:top w:val="none" w:sz="0" w:space="0" w:color="auto"/>
        <w:left w:val="none" w:sz="0" w:space="0" w:color="auto"/>
        <w:bottom w:val="none" w:sz="0" w:space="0" w:color="auto"/>
        <w:right w:val="none" w:sz="0" w:space="0" w:color="auto"/>
      </w:divBdr>
      <w:divsChild>
        <w:div w:id="1931115670">
          <w:marLeft w:val="0"/>
          <w:marRight w:val="0"/>
          <w:marTop w:val="0"/>
          <w:marBottom w:val="0"/>
          <w:divBdr>
            <w:top w:val="none" w:sz="0" w:space="0" w:color="auto"/>
            <w:left w:val="none" w:sz="0" w:space="0" w:color="auto"/>
            <w:bottom w:val="none" w:sz="0" w:space="0" w:color="auto"/>
            <w:right w:val="none" w:sz="0" w:space="0" w:color="auto"/>
          </w:divBdr>
          <w:divsChild>
            <w:div w:id="634874513">
              <w:marLeft w:val="0"/>
              <w:marRight w:val="0"/>
              <w:marTop w:val="0"/>
              <w:marBottom w:val="0"/>
              <w:divBdr>
                <w:top w:val="none" w:sz="0" w:space="0" w:color="auto"/>
                <w:left w:val="none" w:sz="0" w:space="0" w:color="auto"/>
                <w:bottom w:val="none" w:sz="0" w:space="0" w:color="auto"/>
                <w:right w:val="none" w:sz="0" w:space="0" w:color="auto"/>
              </w:divBdr>
              <w:divsChild>
                <w:div w:id="5246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968">
      <w:bodyDiv w:val="1"/>
      <w:marLeft w:val="0"/>
      <w:marRight w:val="0"/>
      <w:marTop w:val="0"/>
      <w:marBottom w:val="0"/>
      <w:divBdr>
        <w:top w:val="none" w:sz="0" w:space="0" w:color="auto"/>
        <w:left w:val="none" w:sz="0" w:space="0" w:color="auto"/>
        <w:bottom w:val="none" w:sz="0" w:space="0" w:color="auto"/>
        <w:right w:val="none" w:sz="0" w:space="0" w:color="auto"/>
      </w:divBdr>
      <w:divsChild>
        <w:div w:id="1854689911">
          <w:marLeft w:val="0"/>
          <w:marRight w:val="0"/>
          <w:marTop w:val="0"/>
          <w:marBottom w:val="0"/>
          <w:divBdr>
            <w:top w:val="none" w:sz="0" w:space="0" w:color="auto"/>
            <w:left w:val="none" w:sz="0" w:space="0" w:color="auto"/>
            <w:bottom w:val="none" w:sz="0" w:space="0" w:color="auto"/>
            <w:right w:val="none" w:sz="0" w:space="0" w:color="auto"/>
          </w:divBdr>
          <w:divsChild>
            <w:div w:id="1573856521">
              <w:marLeft w:val="0"/>
              <w:marRight w:val="0"/>
              <w:marTop w:val="0"/>
              <w:marBottom w:val="0"/>
              <w:divBdr>
                <w:top w:val="none" w:sz="0" w:space="0" w:color="auto"/>
                <w:left w:val="none" w:sz="0" w:space="0" w:color="auto"/>
                <w:bottom w:val="none" w:sz="0" w:space="0" w:color="auto"/>
                <w:right w:val="none" w:sz="0" w:space="0" w:color="auto"/>
              </w:divBdr>
              <w:divsChild>
                <w:div w:id="1537768622">
                  <w:marLeft w:val="0"/>
                  <w:marRight w:val="0"/>
                  <w:marTop w:val="0"/>
                  <w:marBottom w:val="0"/>
                  <w:divBdr>
                    <w:top w:val="none" w:sz="0" w:space="0" w:color="auto"/>
                    <w:left w:val="none" w:sz="0" w:space="0" w:color="auto"/>
                    <w:bottom w:val="none" w:sz="0" w:space="0" w:color="auto"/>
                    <w:right w:val="none" w:sz="0" w:space="0" w:color="auto"/>
                  </w:divBdr>
                  <w:divsChild>
                    <w:div w:id="1499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5343">
      <w:bodyDiv w:val="1"/>
      <w:marLeft w:val="0"/>
      <w:marRight w:val="0"/>
      <w:marTop w:val="0"/>
      <w:marBottom w:val="0"/>
      <w:divBdr>
        <w:top w:val="none" w:sz="0" w:space="0" w:color="auto"/>
        <w:left w:val="none" w:sz="0" w:space="0" w:color="auto"/>
        <w:bottom w:val="none" w:sz="0" w:space="0" w:color="auto"/>
        <w:right w:val="none" w:sz="0" w:space="0" w:color="auto"/>
      </w:divBdr>
      <w:divsChild>
        <w:div w:id="1789079590">
          <w:marLeft w:val="0"/>
          <w:marRight w:val="0"/>
          <w:marTop w:val="0"/>
          <w:marBottom w:val="0"/>
          <w:divBdr>
            <w:top w:val="none" w:sz="0" w:space="0" w:color="auto"/>
            <w:left w:val="none" w:sz="0" w:space="0" w:color="auto"/>
            <w:bottom w:val="none" w:sz="0" w:space="0" w:color="auto"/>
            <w:right w:val="none" w:sz="0" w:space="0" w:color="auto"/>
          </w:divBdr>
          <w:divsChild>
            <w:div w:id="455871191">
              <w:marLeft w:val="0"/>
              <w:marRight w:val="0"/>
              <w:marTop w:val="0"/>
              <w:marBottom w:val="0"/>
              <w:divBdr>
                <w:top w:val="none" w:sz="0" w:space="0" w:color="auto"/>
                <w:left w:val="none" w:sz="0" w:space="0" w:color="auto"/>
                <w:bottom w:val="none" w:sz="0" w:space="0" w:color="auto"/>
                <w:right w:val="none" w:sz="0" w:space="0" w:color="auto"/>
              </w:divBdr>
              <w:divsChild>
                <w:div w:id="5793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3035">
      <w:bodyDiv w:val="1"/>
      <w:marLeft w:val="0"/>
      <w:marRight w:val="0"/>
      <w:marTop w:val="0"/>
      <w:marBottom w:val="0"/>
      <w:divBdr>
        <w:top w:val="none" w:sz="0" w:space="0" w:color="auto"/>
        <w:left w:val="none" w:sz="0" w:space="0" w:color="auto"/>
        <w:bottom w:val="none" w:sz="0" w:space="0" w:color="auto"/>
        <w:right w:val="none" w:sz="0" w:space="0" w:color="auto"/>
      </w:divBdr>
      <w:divsChild>
        <w:div w:id="1829445122">
          <w:marLeft w:val="0"/>
          <w:marRight w:val="0"/>
          <w:marTop w:val="0"/>
          <w:marBottom w:val="0"/>
          <w:divBdr>
            <w:top w:val="none" w:sz="0" w:space="0" w:color="auto"/>
            <w:left w:val="none" w:sz="0" w:space="0" w:color="auto"/>
            <w:bottom w:val="none" w:sz="0" w:space="0" w:color="auto"/>
            <w:right w:val="none" w:sz="0" w:space="0" w:color="auto"/>
          </w:divBdr>
          <w:divsChild>
            <w:div w:id="1940722775">
              <w:marLeft w:val="0"/>
              <w:marRight w:val="0"/>
              <w:marTop w:val="0"/>
              <w:marBottom w:val="0"/>
              <w:divBdr>
                <w:top w:val="none" w:sz="0" w:space="0" w:color="auto"/>
                <w:left w:val="none" w:sz="0" w:space="0" w:color="auto"/>
                <w:bottom w:val="none" w:sz="0" w:space="0" w:color="auto"/>
                <w:right w:val="none" w:sz="0" w:space="0" w:color="auto"/>
              </w:divBdr>
              <w:divsChild>
                <w:div w:id="331683798">
                  <w:marLeft w:val="0"/>
                  <w:marRight w:val="0"/>
                  <w:marTop w:val="0"/>
                  <w:marBottom w:val="0"/>
                  <w:divBdr>
                    <w:top w:val="none" w:sz="0" w:space="0" w:color="auto"/>
                    <w:left w:val="none" w:sz="0" w:space="0" w:color="auto"/>
                    <w:bottom w:val="none" w:sz="0" w:space="0" w:color="auto"/>
                    <w:right w:val="none" w:sz="0" w:space="0" w:color="auto"/>
                  </w:divBdr>
                  <w:divsChild>
                    <w:div w:id="18736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6765">
      <w:bodyDiv w:val="1"/>
      <w:marLeft w:val="0"/>
      <w:marRight w:val="0"/>
      <w:marTop w:val="0"/>
      <w:marBottom w:val="0"/>
      <w:divBdr>
        <w:top w:val="none" w:sz="0" w:space="0" w:color="auto"/>
        <w:left w:val="none" w:sz="0" w:space="0" w:color="auto"/>
        <w:bottom w:val="none" w:sz="0" w:space="0" w:color="auto"/>
        <w:right w:val="none" w:sz="0" w:space="0" w:color="auto"/>
      </w:divBdr>
      <w:divsChild>
        <w:div w:id="1787506296">
          <w:marLeft w:val="0"/>
          <w:marRight w:val="0"/>
          <w:marTop w:val="0"/>
          <w:marBottom w:val="0"/>
          <w:divBdr>
            <w:top w:val="none" w:sz="0" w:space="0" w:color="auto"/>
            <w:left w:val="none" w:sz="0" w:space="0" w:color="auto"/>
            <w:bottom w:val="none" w:sz="0" w:space="0" w:color="auto"/>
            <w:right w:val="none" w:sz="0" w:space="0" w:color="auto"/>
          </w:divBdr>
          <w:divsChild>
            <w:div w:id="274023722">
              <w:marLeft w:val="0"/>
              <w:marRight w:val="0"/>
              <w:marTop w:val="0"/>
              <w:marBottom w:val="0"/>
              <w:divBdr>
                <w:top w:val="none" w:sz="0" w:space="0" w:color="auto"/>
                <w:left w:val="none" w:sz="0" w:space="0" w:color="auto"/>
                <w:bottom w:val="none" w:sz="0" w:space="0" w:color="auto"/>
                <w:right w:val="none" w:sz="0" w:space="0" w:color="auto"/>
              </w:divBdr>
              <w:divsChild>
                <w:div w:id="1264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63190">
      <w:bodyDiv w:val="1"/>
      <w:marLeft w:val="0"/>
      <w:marRight w:val="0"/>
      <w:marTop w:val="0"/>
      <w:marBottom w:val="0"/>
      <w:divBdr>
        <w:top w:val="none" w:sz="0" w:space="0" w:color="auto"/>
        <w:left w:val="none" w:sz="0" w:space="0" w:color="auto"/>
        <w:bottom w:val="none" w:sz="0" w:space="0" w:color="auto"/>
        <w:right w:val="none" w:sz="0" w:space="0" w:color="auto"/>
      </w:divBdr>
      <w:divsChild>
        <w:div w:id="1229531998">
          <w:marLeft w:val="0"/>
          <w:marRight w:val="0"/>
          <w:marTop w:val="0"/>
          <w:marBottom w:val="0"/>
          <w:divBdr>
            <w:top w:val="none" w:sz="0" w:space="0" w:color="auto"/>
            <w:left w:val="none" w:sz="0" w:space="0" w:color="auto"/>
            <w:bottom w:val="none" w:sz="0" w:space="0" w:color="auto"/>
            <w:right w:val="none" w:sz="0" w:space="0" w:color="auto"/>
          </w:divBdr>
          <w:divsChild>
            <w:div w:id="170485345">
              <w:marLeft w:val="0"/>
              <w:marRight w:val="0"/>
              <w:marTop w:val="0"/>
              <w:marBottom w:val="0"/>
              <w:divBdr>
                <w:top w:val="none" w:sz="0" w:space="0" w:color="auto"/>
                <w:left w:val="none" w:sz="0" w:space="0" w:color="auto"/>
                <w:bottom w:val="none" w:sz="0" w:space="0" w:color="auto"/>
                <w:right w:val="none" w:sz="0" w:space="0" w:color="auto"/>
              </w:divBdr>
              <w:divsChild>
                <w:div w:id="1520047526">
                  <w:marLeft w:val="0"/>
                  <w:marRight w:val="0"/>
                  <w:marTop w:val="0"/>
                  <w:marBottom w:val="0"/>
                  <w:divBdr>
                    <w:top w:val="none" w:sz="0" w:space="0" w:color="auto"/>
                    <w:left w:val="none" w:sz="0" w:space="0" w:color="auto"/>
                    <w:bottom w:val="none" w:sz="0" w:space="0" w:color="auto"/>
                    <w:right w:val="none" w:sz="0" w:space="0" w:color="auto"/>
                  </w:divBdr>
                  <w:divsChild>
                    <w:div w:id="1829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2135">
      <w:bodyDiv w:val="1"/>
      <w:marLeft w:val="0"/>
      <w:marRight w:val="0"/>
      <w:marTop w:val="0"/>
      <w:marBottom w:val="0"/>
      <w:divBdr>
        <w:top w:val="none" w:sz="0" w:space="0" w:color="auto"/>
        <w:left w:val="none" w:sz="0" w:space="0" w:color="auto"/>
        <w:bottom w:val="none" w:sz="0" w:space="0" w:color="auto"/>
        <w:right w:val="none" w:sz="0" w:space="0" w:color="auto"/>
      </w:divBdr>
      <w:divsChild>
        <w:div w:id="1564874362">
          <w:marLeft w:val="0"/>
          <w:marRight w:val="0"/>
          <w:marTop w:val="0"/>
          <w:marBottom w:val="0"/>
          <w:divBdr>
            <w:top w:val="none" w:sz="0" w:space="0" w:color="auto"/>
            <w:left w:val="none" w:sz="0" w:space="0" w:color="auto"/>
            <w:bottom w:val="none" w:sz="0" w:space="0" w:color="auto"/>
            <w:right w:val="none" w:sz="0" w:space="0" w:color="auto"/>
          </w:divBdr>
          <w:divsChild>
            <w:div w:id="1768116999">
              <w:marLeft w:val="0"/>
              <w:marRight w:val="0"/>
              <w:marTop w:val="0"/>
              <w:marBottom w:val="0"/>
              <w:divBdr>
                <w:top w:val="none" w:sz="0" w:space="0" w:color="auto"/>
                <w:left w:val="none" w:sz="0" w:space="0" w:color="auto"/>
                <w:bottom w:val="none" w:sz="0" w:space="0" w:color="auto"/>
                <w:right w:val="none" w:sz="0" w:space="0" w:color="auto"/>
              </w:divBdr>
              <w:divsChild>
                <w:div w:id="1507011720">
                  <w:marLeft w:val="0"/>
                  <w:marRight w:val="0"/>
                  <w:marTop w:val="0"/>
                  <w:marBottom w:val="0"/>
                  <w:divBdr>
                    <w:top w:val="none" w:sz="0" w:space="0" w:color="auto"/>
                    <w:left w:val="none" w:sz="0" w:space="0" w:color="auto"/>
                    <w:bottom w:val="none" w:sz="0" w:space="0" w:color="auto"/>
                    <w:right w:val="none" w:sz="0" w:space="0" w:color="auto"/>
                  </w:divBdr>
                  <w:divsChild>
                    <w:div w:id="2873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871">
      <w:bodyDiv w:val="1"/>
      <w:marLeft w:val="0"/>
      <w:marRight w:val="0"/>
      <w:marTop w:val="0"/>
      <w:marBottom w:val="0"/>
      <w:divBdr>
        <w:top w:val="none" w:sz="0" w:space="0" w:color="auto"/>
        <w:left w:val="none" w:sz="0" w:space="0" w:color="auto"/>
        <w:bottom w:val="none" w:sz="0" w:space="0" w:color="auto"/>
        <w:right w:val="none" w:sz="0" w:space="0" w:color="auto"/>
      </w:divBdr>
      <w:divsChild>
        <w:div w:id="890045295">
          <w:marLeft w:val="0"/>
          <w:marRight w:val="0"/>
          <w:marTop w:val="0"/>
          <w:marBottom w:val="0"/>
          <w:divBdr>
            <w:top w:val="none" w:sz="0" w:space="0" w:color="auto"/>
            <w:left w:val="none" w:sz="0" w:space="0" w:color="auto"/>
            <w:bottom w:val="none" w:sz="0" w:space="0" w:color="auto"/>
            <w:right w:val="none" w:sz="0" w:space="0" w:color="auto"/>
          </w:divBdr>
          <w:divsChild>
            <w:div w:id="344133841">
              <w:marLeft w:val="0"/>
              <w:marRight w:val="0"/>
              <w:marTop w:val="0"/>
              <w:marBottom w:val="0"/>
              <w:divBdr>
                <w:top w:val="none" w:sz="0" w:space="0" w:color="auto"/>
                <w:left w:val="none" w:sz="0" w:space="0" w:color="auto"/>
                <w:bottom w:val="none" w:sz="0" w:space="0" w:color="auto"/>
                <w:right w:val="none" w:sz="0" w:space="0" w:color="auto"/>
              </w:divBdr>
              <w:divsChild>
                <w:div w:id="7878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1713">
      <w:bodyDiv w:val="1"/>
      <w:marLeft w:val="0"/>
      <w:marRight w:val="0"/>
      <w:marTop w:val="0"/>
      <w:marBottom w:val="0"/>
      <w:divBdr>
        <w:top w:val="none" w:sz="0" w:space="0" w:color="auto"/>
        <w:left w:val="none" w:sz="0" w:space="0" w:color="auto"/>
        <w:bottom w:val="none" w:sz="0" w:space="0" w:color="auto"/>
        <w:right w:val="none" w:sz="0" w:space="0" w:color="auto"/>
      </w:divBdr>
      <w:divsChild>
        <w:div w:id="1156186657">
          <w:marLeft w:val="0"/>
          <w:marRight w:val="0"/>
          <w:marTop w:val="0"/>
          <w:marBottom w:val="0"/>
          <w:divBdr>
            <w:top w:val="none" w:sz="0" w:space="0" w:color="auto"/>
            <w:left w:val="none" w:sz="0" w:space="0" w:color="auto"/>
            <w:bottom w:val="none" w:sz="0" w:space="0" w:color="auto"/>
            <w:right w:val="none" w:sz="0" w:space="0" w:color="auto"/>
          </w:divBdr>
          <w:divsChild>
            <w:div w:id="1051224527">
              <w:marLeft w:val="0"/>
              <w:marRight w:val="0"/>
              <w:marTop w:val="0"/>
              <w:marBottom w:val="0"/>
              <w:divBdr>
                <w:top w:val="none" w:sz="0" w:space="0" w:color="auto"/>
                <w:left w:val="none" w:sz="0" w:space="0" w:color="auto"/>
                <w:bottom w:val="none" w:sz="0" w:space="0" w:color="auto"/>
                <w:right w:val="none" w:sz="0" w:space="0" w:color="auto"/>
              </w:divBdr>
              <w:divsChild>
                <w:div w:id="3459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8931">
      <w:bodyDiv w:val="1"/>
      <w:marLeft w:val="0"/>
      <w:marRight w:val="0"/>
      <w:marTop w:val="0"/>
      <w:marBottom w:val="0"/>
      <w:divBdr>
        <w:top w:val="none" w:sz="0" w:space="0" w:color="auto"/>
        <w:left w:val="none" w:sz="0" w:space="0" w:color="auto"/>
        <w:bottom w:val="none" w:sz="0" w:space="0" w:color="auto"/>
        <w:right w:val="none" w:sz="0" w:space="0" w:color="auto"/>
      </w:divBdr>
      <w:divsChild>
        <w:div w:id="535237882">
          <w:marLeft w:val="0"/>
          <w:marRight w:val="0"/>
          <w:marTop w:val="0"/>
          <w:marBottom w:val="0"/>
          <w:divBdr>
            <w:top w:val="none" w:sz="0" w:space="0" w:color="auto"/>
            <w:left w:val="none" w:sz="0" w:space="0" w:color="auto"/>
            <w:bottom w:val="none" w:sz="0" w:space="0" w:color="auto"/>
            <w:right w:val="none" w:sz="0" w:space="0" w:color="auto"/>
          </w:divBdr>
          <w:divsChild>
            <w:div w:id="2074740771">
              <w:marLeft w:val="0"/>
              <w:marRight w:val="0"/>
              <w:marTop w:val="0"/>
              <w:marBottom w:val="0"/>
              <w:divBdr>
                <w:top w:val="none" w:sz="0" w:space="0" w:color="auto"/>
                <w:left w:val="none" w:sz="0" w:space="0" w:color="auto"/>
                <w:bottom w:val="none" w:sz="0" w:space="0" w:color="auto"/>
                <w:right w:val="none" w:sz="0" w:space="0" w:color="auto"/>
              </w:divBdr>
              <w:divsChild>
                <w:div w:id="3284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85682">
      <w:bodyDiv w:val="1"/>
      <w:marLeft w:val="0"/>
      <w:marRight w:val="0"/>
      <w:marTop w:val="0"/>
      <w:marBottom w:val="0"/>
      <w:divBdr>
        <w:top w:val="none" w:sz="0" w:space="0" w:color="auto"/>
        <w:left w:val="none" w:sz="0" w:space="0" w:color="auto"/>
        <w:bottom w:val="none" w:sz="0" w:space="0" w:color="auto"/>
        <w:right w:val="none" w:sz="0" w:space="0" w:color="auto"/>
      </w:divBdr>
      <w:divsChild>
        <w:div w:id="1582333572">
          <w:marLeft w:val="0"/>
          <w:marRight w:val="0"/>
          <w:marTop w:val="0"/>
          <w:marBottom w:val="0"/>
          <w:divBdr>
            <w:top w:val="none" w:sz="0" w:space="0" w:color="auto"/>
            <w:left w:val="none" w:sz="0" w:space="0" w:color="auto"/>
            <w:bottom w:val="none" w:sz="0" w:space="0" w:color="auto"/>
            <w:right w:val="none" w:sz="0" w:space="0" w:color="auto"/>
          </w:divBdr>
          <w:divsChild>
            <w:div w:id="1134829532">
              <w:marLeft w:val="0"/>
              <w:marRight w:val="0"/>
              <w:marTop w:val="0"/>
              <w:marBottom w:val="0"/>
              <w:divBdr>
                <w:top w:val="none" w:sz="0" w:space="0" w:color="auto"/>
                <w:left w:val="none" w:sz="0" w:space="0" w:color="auto"/>
                <w:bottom w:val="none" w:sz="0" w:space="0" w:color="auto"/>
                <w:right w:val="none" w:sz="0" w:space="0" w:color="auto"/>
              </w:divBdr>
              <w:divsChild>
                <w:div w:id="13395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0123">
      <w:bodyDiv w:val="1"/>
      <w:marLeft w:val="0"/>
      <w:marRight w:val="0"/>
      <w:marTop w:val="0"/>
      <w:marBottom w:val="0"/>
      <w:divBdr>
        <w:top w:val="none" w:sz="0" w:space="0" w:color="auto"/>
        <w:left w:val="none" w:sz="0" w:space="0" w:color="auto"/>
        <w:bottom w:val="none" w:sz="0" w:space="0" w:color="auto"/>
        <w:right w:val="none" w:sz="0" w:space="0" w:color="auto"/>
      </w:divBdr>
      <w:divsChild>
        <w:div w:id="1930697999">
          <w:marLeft w:val="0"/>
          <w:marRight w:val="0"/>
          <w:marTop w:val="0"/>
          <w:marBottom w:val="0"/>
          <w:divBdr>
            <w:top w:val="none" w:sz="0" w:space="0" w:color="auto"/>
            <w:left w:val="none" w:sz="0" w:space="0" w:color="auto"/>
            <w:bottom w:val="none" w:sz="0" w:space="0" w:color="auto"/>
            <w:right w:val="none" w:sz="0" w:space="0" w:color="auto"/>
          </w:divBdr>
          <w:divsChild>
            <w:div w:id="1249269669">
              <w:marLeft w:val="0"/>
              <w:marRight w:val="0"/>
              <w:marTop w:val="0"/>
              <w:marBottom w:val="0"/>
              <w:divBdr>
                <w:top w:val="none" w:sz="0" w:space="0" w:color="auto"/>
                <w:left w:val="none" w:sz="0" w:space="0" w:color="auto"/>
                <w:bottom w:val="none" w:sz="0" w:space="0" w:color="auto"/>
                <w:right w:val="none" w:sz="0" w:space="0" w:color="auto"/>
              </w:divBdr>
              <w:divsChild>
                <w:div w:id="15761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1358">
      <w:bodyDiv w:val="1"/>
      <w:marLeft w:val="0"/>
      <w:marRight w:val="0"/>
      <w:marTop w:val="0"/>
      <w:marBottom w:val="0"/>
      <w:divBdr>
        <w:top w:val="none" w:sz="0" w:space="0" w:color="auto"/>
        <w:left w:val="none" w:sz="0" w:space="0" w:color="auto"/>
        <w:bottom w:val="none" w:sz="0" w:space="0" w:color="auto"/>
        <w:right w:val="none" w:sz="0" w:space="0" w:color="auto"/>
      </w:divBdr>
      <w:divsChild>
        <w:div w:id="776485330">
          <w:marLeft w:val="0"/>
          <w:marRight w:val="0"/>
          <w:marTop w:val="0"/>
          <w:marBottom w:val="0"/>
          <w:divBdr>
            <w:top w:val="none" w:sz="0" w:space="0" w:color="auto"/>
            <w:left w:val="none" w:sz="0" w:space="0" w:color="auto"/>
            <w:bottom w:val="none" w:sz="0" w:space="0" w:color="auto"/>
            <w:right w:val="none" w:sz="0" w:space="0" w:color="auto"/>
          </w:divBdr>
          <w:divsChild>
            <w:div w:id="1082067783">
              <w:marLeft w:val="0"/>
              <w:marRight w:val="0"/>
              <w:marTop w:val="0"/>
              <w:marBottom w:val="0"/>
              <w:divBdr>
                <w:top w:val="none" w:sz="0" w:space="0" w:color="auto"/>
                <w:left w:val="none" w:sz="0" w:space="0" w:color="auto"/>
                <w:bottom w:val="none" w:sz="0" w:space="0" w:color="auto"/>
                <w:right w:val="none" w:sz="0" w:space="0" w:color="auto"/>
              </w:divBdr>
              <w:divsChild>
                <w:div w:id="738407986">
                  <w:marLeft w:val="0"/>
                  <w:marRight w:val="0"/>
                  <w:marTop w:val="0"/>
                  <w:marBottom w:val="0"/>
                  <w:divBdr>
                    <w:top w:val="none" w:sz="0" w:space="0" w:color="auto"/>
                    <w:left w:val="none" w:sz="0" w:space="0" w:color="auto"/>
                    <w:bottom w:val="none" w:sz="0" w:space="0" w:color="auto"/>
                    <w:right w:val="none" w:sz="0" w:space="0" w:color="auto"/>
                  </w:divBdr>
                  <w:divsChild>
                    <w:div w:id="8338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433">
      <w:bodyDiv w:val="1"/>
      <w:marLeft w:val="0"/>
      <w:marRight w:val="0"/>
      <w:marTop w:val="0"/>
      <w:marBottom w:val="0"/>
      <w:divBdr>
        <w:top w:val="none" w:sz="0" w:space="0" w:color="auto"/>
        <w:left w:val="none" w:sz="0" w:space="0" w:color="auto"/>
        <w:bottom w:val="none" w:sz="0" w:space="0" w:color="auto"/>
        <w:right w:val="none" w:sz="0" w:space="0" w:color="auto"/>
      </w:divBdr>
      <w:divsChild>
        <w:div w:id="1290237352">
          <w:marLeft w:val="0"/>
          <w:marRight w:val="0"/>
          <w:marTop w:val="0"/>
          <w:marBottom w:val="0"/>
          <w:divBdr>
            <w:top w:val="none" w:sz="0" w:space="0" w:color="auto"/>
            <w:left w:val="none" w:sz="0" w:space="0" w:color="auto"/>
            <w:bottom w:val="none" w:sz="0" w:space="0" w:color="auto"/>
            <w:right w:val="none" w:sz="0" w:space="0" w:color="auto"/>
          </w:divBdr>
          <w:divsChild>
            <w:div w:id="493768378">
              <w:marLeft w:val="0"/>
              <w:marRight w:val="0"/>
              <w:marTop w:val="0"/>
              <w:marBottom w:val="0"/>
              <w:divBdr>
                <w:top w:val="none" w:sz="0" w:space="0" w:color="auto"/>
                <w:left w:val="none" w:sz="0" w:space="0" w:color="auto"/>
                <w:bottom w:val="none" w:sz="0" w:space="0" w:color="auto"/>
                <w:right w:val="none" w:sz="0" w:space="0" w:color="auto"/>
              </w:divBdr>
              <w:divsChild>
                <w:div w:id="4308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0886">
      <w:bodyDiv w:val="1"/>
      <w:marLeft w:val="0"/>
      <w:marRight w:val="0"/>
      <w:marTop w:val="0"/>
      <w:marBottom w:val="0"/>
      <w:divBdr>
        <w:top w:val="none" w:sz="0" w:space="0" w:color="auto"/>
        <w:left w:val="none" w:sz="0" w:space="0" w:color="auto"/>
        <w:bottom w:val="none" w:sz="0" w:space="0" w:color="auto"/>
        <w:right w:val="none" w:sz="0" w:space="0" w:color="auto"/>
      </w:divBdr>
      <w:divsChild>
        <w:div w:id="2058042334">
          <w:marLeft w:val="0"/>
          <w:marRight w:val="0"/>
          <w:marTop w:val="0"/>
          <w:marBottom w:val="0"/>
          <w:divBdr>
            <w:top w:val="none" w:sz="0" w:space="0" w:color="auto"/>
            <w:left w:val="none" w:sz="0" w:space="0" w:color="auto"/>
            <w:bottom w:val="none" w:sz="0" w:space="0" w:color="auto"/>
            <w:right w:val="none" w:sz="0" w:space="0" w:color="auto"/>
          </w:divBdr>
          <w:divsChild>
            <w:div w:id="1159228510">
              <w:marLeft w:val="0"/>
              <w:marRight w:val="0"/>
              <w:marTop w:val="0"/>
              <w:marBottom w:val="0"/>
              <w:divBdr>
                <w:top w:val="none" w:sz="0" w:space="0" w:color="auto"/>
                <w:left w:val="none" w:sz="0" w:space="0" w:color="auto"/>
                <w:bottom w:val="none" w:sz="0" w:space="0" w:color="auto"/>
                <w:right w:val="none" w:sz="0" w:space="0" w:color="auto"/>
              </w:divBdr>
              <w:divsChild>
                <w:div w:id="828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5171">
      <w:bodyDiv w:val="1"/>
      <w:marLeft w:val="0"/>
      <w:marRight w:val="0"/>
      <w:marTop w:val="0"/>
      <w:marBottom w:val="0"/>
      <w:divBdr>
        <w:top w:val="none" w:sz="0" w:space="0" w:color="auto"/>
        <w:left w:val="none" w:sz="0" w:space="0" w:color="auto"/>
        <w:bottom w:val="none" w:sz="0" w:space="0" w:color="auto"/>
        <w:right w:val="none" w:sz="0" w:space="0" w:color="auto"/>
      </w:divBdr>
      <w:divsChild>
        <w:div w:id="263805126">
          <w:marLeft w:val="0"/>
          <w:marRight w:val="0"/>
          <w:marTop w:val="0"/>
          <w:marBottom w:val="0"/>
          <w:divBdr>
            <w:top w:val="none" w:sz="0" w:space="0" w:color="auto"/>
            <w:left w:val="none" w:sz="0" w:space="0" w:color="auto"/>
            <w:bottom w:val="none" w:sz="0" w:space="0" w:color="auto"/>
            <w:right w:val="none" w:sz="0" w:space="0" w:color="auto"/>
          </w:divBdr>
          <w:divsChild>
            <w:div w:id="1022975550">
              <w:marLeft w:val="0"/>
              <w:marRight w:val="0"/>
              <w:marTop w:val="0"/>
              <w:marBottom w:val="0"/>
              <w:divBdr>
                <w:top w:val="none" w:sz="0" w:space="0" w:color="auto"/>
                <w:left w:val="none" w:sz="0" w:space="0" w:color="auto"/>
                <w:bottom w:val="none" w:sz="0" w:space="0" w:color="auto"/>
                <w:right w:val="none" w:sz="0" w:space="0" w:color="auto"/>
              </w:divBdr>
              <w:divsChild>
                <w:div w:id="1309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4008">
      <w:bodyDiv w:val="1"/>
      <w:marLeft w:val="0"/>
      <w:marRight w:val="0"/>
      <w:marTop w:val="0"/>
      <w:marBottom w:val="0"/>
      <w:divBdr>
        <w:top w:val="none" w:sz="0" w:space="0" w:color="auto"/>
        <w:left w:val="none" w:sz="0" w:space="0" w:color="auto"/>
        <w:bottom w:val="none" w:sz="0" w:space="0" w:color="auto"/>
        <w:right w:val="none" w:sz="0" w:space="0" w:color="auto"/>
      </w:divBdr>
      <w:divsChild>
        <w:div w:id="1056441126">
          <w:marLeft w:val="0"/>
          <w:marRight w:val="0"/>
          <w:marTop w:val="0"/>
          <w:marBottom w:val="0"/>
          <w:divBdr>
            <w:top w:val="none" w:sz="0" w:space="0" w:color="auto"/>
            <w:left w:val="none" w:sz="0" w:space="0" w:color="auto"/>
            <w:bottom w:val="none" w:sz="0" w:space="0" w:color="auto"/>
            <w:right w:val="none" w:sz="0" w:space="0" w:color="auto"/>
          </w:divBdr>
          <w:divsChild>
            <w:div w:id="1796868802">
              <w:marLeft w:val="0"/>
              <w:marRight w:val="0"/>
              <w:marTop w:val="0"/>
              <w:marBottom w:val="0"/>
              <w:divBdr>
                <w:top w:val="none" w:sz="0" w:space="0" w:color="auto"/>
                <w:left w:val="none" w:sz="0" w:space="0" w:color="auto"/>
                <w:bottom w:val="none" w:sz="0" w:space="0" w:color="auto"/>
                <w:right w:val="none" w:sz="0" w:space="0" w:color="auto"/>
              </w:divBdr>
              <w:divsChild>
                <w:div w:id="650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1136">
      <w:bodyDiv w:val="1"/>
      <w:marLeft w:val="0"/>
      <w:marRight w:val="0"/>
      <w:marTop w:val="0"/>
      <w:marBottom w:val="0"/>
      <w:divBdr>
        <w:top w:val="none" w:sz="0" w:space="0" w:color="auto"/>
        <w:left w:val="none" w:sz="0" w:space="0" w:color="auto"/>
        <w:bottom w:val="none" w:sz="0" w:space="0" w:color="auto"/>
        <w:right w:val="none" w:sz="0" w:space="0" w:color="auto"/>
      </w:divBdr>
      <w:divsChild>
        <w:div w:id="458647661">
          <w:marLeft w:val="0"/>
          <w:marRight w:val="0"/>
          <w:marTop w:val="0"/>
          <w:marBottom w:val="0"/>
          <w:divBdr>
            <w:top w:val="none" w:sz="0" w:space="0" w:color="auto"/>
            <w:left w:val="none" w:sz="0" w:space="0" w:color="auto"/>
            <w:bottom w:val="none" w:sz="0" w:space="0" w:color="auto"/>
            <w:right w:val="none" w:sz="0" w:space="0" w:color="auto"/>
          </w:divBdr>
          <w:divsChild>
            <w:div w:id="1261379680">
              <w:marLeft w:val="0"/>
              <w:marRight w:val="0"/>
              <w:marTop w:val="0"/>
              <w:marBottom w:val="0"/>
              <w:divBdr>
                <w:top w:val="none" w:sz="0" w:space="0" w:color="auto"/>
                <w:left w:val="none" w:sz="0" w:space="0" w:color="auto"/>
                <w:bottom w:val="none" w:sz="0" w:space="0" w:color="auto"/>
                <w:right w:val="none" w:sz="0" w:space="0" w:color="auto"/>
              </w:divBdr>
              <w:divsChild>
                <w:div w:id="11609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4433">
      <w:bodyDiv w:val="1"/>
      <w:marLeft w:val="0"/>
      <w:marRight w:val="0"/>
      <w:marTop w:val="0"/>
      <w:marBottom w:val="0"/>
      <w:divBdr>
        <w:top w:val="none" w:sz="0" w:space="0" w:color="auto"/>
        <w:left w:val="none" w:sz="0" w:space="0" w:color="auto"/>
        <w:bottom w:val="none" w:sz="0" w:space="0" w:color="auto"/>
        <w:right w:val="none" w:sz="0" w:space="0" w:color="auto"/>
      </w:divBdr>
      <w:divsChild>
        <w:div w:id="179705186">
          <w:marLeft w:val="0"/>
          <w:marRight w:val="0"/>
          <w:marTop w:val="0"/>
          <w:marBottom w:val="0"/>
          <w:divBdr>
            <w:top w:val="none" w:sz="0" w:space="0" w:color="auto"/>
            <w:left w:val="none" w:sz="0" w:space="0" w:color="auto"/>
            <w:bottom w:val="none" w:sz="0" w:space="0" w:color="auto"/>
            <w:right w:val="none" w:sz="0" w:space="0" w:color="auto"/>
          </w:divBdr>
          <w:divsChild>
            <w:div w:id="2825705">
              <w:marLeft w:val="0"/>
              <w:marRight w:val="0"/>
              <w:marTop w:val="0"/>
              <w:marBottom w:val="0"/>
              <w:divBdr>
                <w:top w:val="none" w:sz="0" w:space="0" w:color="auto"/>
                <w:left w:val="none" w:sz="0" w:space="0" w:color="auto"/>
                <w:bottom w:val="none" w:sz="0" w:space="0" w:color="auto"/>
                <w:right w:val="none" w:sz="0" w:space="0" w:color="auto"/>
              </w:divBdr>
              <w:divsChild>
                <w:div w:id="20240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1321">
      <w:bodyDiv w:val="1"/>
      <w:marLeft w:val="0"/>
      <w:marRight w:val="0"/>
      <w:marTop w:val="0"/>
      <w:marBottom w:val="0"/>
      <w:divBdr>
        <w:top w:val="none" w:sz="0" w:space="0" w:color="auto"/>
        <w:left w:val="none" w:sz="0" w:space="0" w:color="auto"/>
        <w:bottom w:val="none" w:sz="0" w:space="0" w:color="auto"/>
        <w:right w:val="none" w:sz="0" w:space="0" w:color="auto"/>
      </w:divBdr>
      <w:divsChild>
        <w:div w:id="793250142">
          <w:marLeft w:val="0"/>
          <w:marRight w:val="0"/>
          <w:marTop w:val="0"/>
          <w:marBottom w:val="0"/>
          <w:divBdr>
            <w:top w:val="none" w:sz="0" w:space="0" w:color="auto"/>
            <w:left w:val="none" w:sz="0" w:space="0" w:color="auto"/>
            <w:bottom w:val="none" w:sz="0" w:space="0" w:color="auto"/>
            <w:right w:val="none" w:sz="0" w:space="0" w:color="auto"/>
          </w:divBdr>
          <w:divsChild>
            <w:div w:id="1495880154">
              <w:marLeft w:val="0"/>
              <w:marRight w:val="0"/>
              <w:marTop w:val="0"/>
              <w:marBottom w:val="0"/>
              <w:divBdr>
                <w:top w:val="none" w:sz="0" w:space="0" w:color="auto"/>
                <w:left w:val="none" w:sz="0" w:space="0" w:color="auto"/>
                <w:bottom w:val="none" w:sz="0" w:space="0" w:color="auto"/>
                <w:right w:val="none" w:sz="0" w:space="0" w:color="auto"/>
              </w:divBdr>
              <w:divsChild>
                <w:div w:id="391469738">
                  <w:marLeft w:val="0"/>
                  <w:marRight w:val="0"/>
                  <w:marTop w:val="0"/>
                  <w:marBottom w:val="0"/>
                  <w:divBdr>
                    <w:top w:val="none" w:sz="0" w:space="0" w:color="auto"/>
                    <w:left w:val="none" w:sz="0" w:space="0" w:color="auto"/>
                    <w:bottom w:val="none" w:sz="0" w:space="0" w:color="auto"/>
                    <w:right w:val="none" w:sz="0" w:space="0" w:color="auto"/>
                  </w:divBdr>
                  <w:divsChild>
                    <w:div w:id="2022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46359">
      <w:bodyDiv w:val="1"/>
      <w:marLeft w:val="0"/>
      <w:marRight w:val="0"/>
      <w:marTop w:val="0"/>
      <w:marBottom w:val="0"/>
      <w:divBdr>
        <w:top w:val="none" w:sz="0" w:space="0" w:color="auto"/>
        <w:left w:val="none" w:sz="0" w:space="0" w:color="auto"/>
        <w:bottom w:val="none" w:sz="0" w:space="0" w:color="auto"/>
        <w:right w:val="none" w:sz="0" w:space="0" w:color="auto"/>
      </w:divBdr>
      <w:divsChild>
        <w:div w:id="1416631626">
          <w:marLeft w:val="0"/>
          <w:marRight w:val="0"/>
          <w:marTop w:val="0"/>
          <w:marBottom w:val="0"/>
          <w:divBdr>
            <w:top w:val="none" w:sz="0" w:space="0" w:color="auto"/>
            <w:left w:val="none" w:sz="0" w:space="0" w:color="auto"/>
            <w:bottom w:val="none" w:sz="0" w:space="0" w:color="auto"/>
            <w:right w:val="none" w:sz="0" w:space="0" w:color="auto"/>
          </w:divBdr>
          <w:divsChild>
            <w:div w:id="1434135217">
              <w:marLeft w:val="0"/>
              <w:marRight w:val="0"/>
              <w:marTop w:val="0"/>
              <w:marBottom w:val="0"/>
              <w:divBdr>
                <w:top w:val="none" w:sz="0" w:space="0" w:color="auto"/>
                <w:left w:val="none" w:sz="0" w:space="0" w:color="auto"/>
                <w:bottom w:val="none" w:sz="0" w:space="0" w:color="auto"/>
                <w:right w:val="none" w:sz="0" w:space="0" w:color="auto"/>
              </w:divBdr>
              <w:divsChild>
                <w:div w:id="695887511">
                  <w:marLeft w:val="0"/>
                  <w:marRight w:val="0"/>
                  <w:marTop w:val="0"/>
                  <w:marBottom w:val="0"/>
                  <w:divBdr>
                    <w:top w:val="none" w:sz="0" w:space="0" w:color="auto"/>
                    <w:left w:val="none" w:sz="0" w:space="0" w:color="auto"/>
                    <w:bottom w:val="none" w:sz="0" w:space="0" w:color="auto"/>
                    <w:right w:val="none" w:sz="0" w:space="0" w:color="auto"/>
                  </w:divBdr>
                  <w:divsChild>
                    <w:div w:id="1571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2480">
      <w:bodyDiv w:val="1"/>
      <w:marLeft w:val="0"/>
      <w:marRight w:val="0"/>
      <w:marTop w:val="0"/>
      <w:marBottom w:val="0"/>
      <w:divBdr>
        <w:top w:val="none" w:sz="0" w:space="0" w:color="auto"/>
        <w:left w:val="none" w:sz="0" w:space="0" w:color="auto"/>
        <w:bottom w:val="none" w:sz="0" w:space="0" w:color="auto"/>
        <w:right w:val="none" w:sz="0" w:space="0" w:color="auto"/>
      </w:divBdr>
      <w:divsChild>
        <w:div w:id="2078824259">
          <w:marLeft w:val="0"/>
          <w:marRight w:val="0"/>
          <w:marTop w:val="0"/>
          <w:marBottom w:val="0"/>
          <w:divBdr>
            <w:top w:val="none" w:sz="0" w:space="0" w:color="auto"/>
            <w:left w:val="none" w:sz="0" w:space="0" w:color="auto"/>
            <w:bottom w:val="none" w:sz="0" w:space="0" w:color="auto"/>
            <w:right w:val="none" w:sz="0" w:space="0" w:color="auto"/>
          </w:divBdr>
          <w:divsChild>
            <w:div w:id="745881598">
              <w:marLeft w:val="0"/>
              <w:marRight w:val="0"/>
              <w:marTop w:val="0"/>
              <w:marBottom w:val="0"/>
              <w:divBdr>
                <w:top w:val="none" w:sz="0" w:space="0" w:color="auto"/>
                <w:left w:val="none" w:sz="0" w:space="0" w:color="auto"/>
                <w:bottom w:val="none" w:sz="0" w:space="0" w:color="auto"/>
                <w:right w:val="none" w:sz="0" w:space="0" w:color="auto"/>
              </w:divBdr>
              <w:divsChild>
                <w:div w:id="3719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5264">
      <w:bodyDiv w:val="1"/>
      <w:marLeft w:val="0"/>
      <w:marRight w:val="0"/>
      <w:marTop w:val="0"/>
      <w:marBottom w:val="0"/>
      <w:divBdr>
        <w:top w:val="none" w:sz="0" w:space="0" w:color="auto"/>
        <w:left w:val="none" w:sz="0" w:space="0" w:color="auto"/>
        <w:bottom w:val="none" w:sz="0" w:space="0" w:color="auto"/>
        <w:right w:val="none" w:sz="0" w:space="0" w:color="auto"/>
      </w:divBdr>
      <w:divsChild>
        <w:div w:id="2059864454">
          <w:marLeft w:val="0"/>
          <w:marRight w:val="0"/>
          <w:marTop w:val="0"/>
          <w:marBottom w:val="0"/>
          <w:divBdr>
            <w:top w:val="none" w:sz="0" w:space="0" w:color="auto"/>
            <w:left w:val="none" w:sz="0" w:space="0" w:color="auto"/>
            <w:bottom w:val="none" w:sz="0" w:space="0" w:color="auto"/>
            <w:right w:val="none" w:sz="0" w:space="0" w:color="auto"/>
          </w:divBdr>
          <w:divsChild>
            <w:div w:id="1516504094">
              <w:marLeft w:val="0"/>
              <w:marRight w:val="0"/>
              <w:marTop w:val="0"/>
              <w:marBottom w:val="0"/>
              <w:divBdr>
                <w:top w:val="none" w:sz="0" w:space="0" w:color="auto"/>
                <w:left w:val="none" w:sz="0" w:space="0" w:color="auto"/>
                <w:bottom w:val="none" w:sz="0" w:space="0" w:color="auto"/>
                <w:right w:val="none" w:sz="0" w:space="0" w:color="auto"/>
              </w:divBdr>
              <w:divsChild>
                <w:div w:id="66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1759">
      <w:bodyDiv w:val="1"/>
      <w:marLeft w:val="0"/>
      <w:marRight w:val="0"/>
      <w:marTop w:val="0"/>
      <w:marBottom w:val="0"/>
      <w:divBdr>
        <w:top w:val="none" w:sz="0" w:space="0" w:color="auto"/>
        <w:left w:val="none" w:sz="0" w:space="0" w:color="auto"/>
        <w:bottom w:val="none" w:sz="0" w:space="0" w:color="auto"/>
        <w:right w:val="none" w:sz="0" w:space="0" w:color="auto"/>
      </w:divBdr>
      <w:divsChild>
        <w:div w:id="57173418">
          <w:marLeft w:val="0"/>
          <w:marRight w:val="0"/>
          <w:marTop w:val="0"/>
          <w:marBottom w:val="0"/>
          <w:divBdr>
            <w:top w:val="none" w:sz="0" w:space="0" w:color="auto"/>
            <w:left w:val="none" w:sz="0" w:space="0" w:color="auto"/>
            <w:bottom w:val="none" w:sz="0" w:space="0" w:color="auto"/>
            <w:right w:val="none" w:sz="0" w:space="0" w:color="auto"/>
          </w:divBdr>
          <w:divsChild>
            <w:div w:id="1164660978">
              <w:marLeft w:val="0"/>
              <w:marRight w:val="0"/>
              <w:marTop w:val="0"/>
              <w:marBottom w:val="0"/>
              <w:divBdr>
                <w:top w:val="none" w:sz="0" w:space="0" w:color="auto"/>
                <w:left w:val="none" w:sz="0" w:space="0" w:color="auto"/>
                <w:bottom w:val="none" w:sz="0" w:space="0" w:color="auto"/>
                <w:right w:val="none" w:sz="0" w:space="0" w:color="auto"/>
              </w:divBdr>
              <w:divsChild>
                <w:div w:id="182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01921">
      <w:bodyDiv w:val="1"/>
      <w:marLeft w:val="0"/>
      <w:marRight w:val="0"/>
      <w:marTop w:val="0"/>
      <w:marBottom w:val="0"/>
      <w:divBdr>
        <w:top w:val="none" w:sz="0" w:space="0" w:color="auto"/>
        <w:left w:val="none" w:sz="0" w:space="0" w:color="auto"/>
        <w:bottom w:val="none" w:sz="0" w:space="0" w:color="auto"/>
        <w:right w:val="none" w:sz="0" w:space="0" w:color="auto"/>
      </w:divBdr>
      <w:divsChild>
        <w:div w:id="919874902">
          <w:marLeft w:val="0"/>
          <w:marRight w:val="0"/>
          <w:marTop w:val="0"/>
          <w:marBottom w:val="0"/>
          <w:divBdr>
            <w:top w:val="none" w:sz="0" w:space="0" w:color="auto"/>
            <w:left w:val="none" w:sz="0" w:space="0" w:color="auto"/>
            <w:bottom w:val="none" w:sz="0" w:space="0" w:color="auto"/>
            <w:right w:val="none" w:sz="0" w:space="0" w:color="auto"/>
          </w:divBdr>
          <w:divsChild>
            <w:div w:id="312687385">
              <w:marLeft w:val="0"/>
              <w:marRight w:val="0"/>
              <w:marTop w:val="0"/>
              <w:marBottom w:val="0"/>
              <w:divBdr>
                <w:top w:val="none" w:sz="0" w:space="0" w:color="auto"/>
                <w:left w:val="none" w:sz="0" w:space="0" w:color="auto"/>
                <w:bottom w:val="none" w:sz="0" w:space="0" w:color="auto"/>
                <w:right w:val="none" w:sz="0" w:space="0" w:color="auto"/>
              </w:divBdr>
              <w:divsChild>
                <w:div w:id="962812227">
                  <w:marLeft w:val="0"/>
                  <w:marRight w:val="0"/>
                  <w:marTop w:val="0"/>
                  <w:marBottom w:val="0"/>
                  <w:divBdr>
                    <w:top w:val="none" w:sz="0" w:space="0" w:color="auto"/>
                    <w:left w:val="none" w:sz="0" w:space="0" w:color="auto"/>
                    <w:bottom w:val="none" w:sz="0" w:space="0" w:color="auto"/>
                    <w:right w:val="none" w:sz="0" w:space="0" w:color="auto"/>
                  </w:divBdr>
                  <w:divsChild>
                    <w:div w:id="21180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7548">
      <w:bodyDiv w:val="1"/>
      <w:marLeft w:val="0"/>
      <w:marRight w:val="0"/>
      <w:marTop w:val="0"/>
      <w:marBottom w:val="0"/>
      <w:divBdr>
        <w:top w:val="none" w:sz="0" w:space="0" w:color="auto"/>
        <w:left w:val="none" w:sz="0" w:space="0" w:color="auto"/>
        <w:bottom w:val="none" w:sz="0" w:space="0" w:color="auto"/>
        <w:right w:val="none" w:sz="0" w:space="0" w:color="auto"/>
      </w:divBdr>
      <w:divsChild>
        <w:div w:id="60949016">
          <w:marLeft w:val="0"/>
          <w:marRight w:val="0"/>
          <w:marTop w:val="0"/>
          <w:marBottom w:val="0"/>
          <w:divBdr>
            <w:top w:val="none" w:sz="0" w:space="0" w:color="auto"/>
            <w:left w:val="none" w:sz="0" w:space="0" w:color="auto"/>
            <w:bottom w:val="none" w:sz="0" w:space="0" w:color="auto"/>
            <w:right w:val="none" w:sz="0" w:space="0" w:color="auto"/>
          </w:divBdr>
          <w:divsChild>
            <w:div w:id="1813710171">
              <w:marLeft w:val="0"/>
              <w:marRight w:val="0"/>
              <w:marTop w:val="0"/>
              <w:marBottom w:val="0"/>
              <w:divBdr>
                <w:top w:val="none" w:sz="0" w:space="0" w:color="auto"/>
                <w:left w:val="none" w:sz="0" w:space="0" w:color="auto"/>
                <w:bottom w:val="none" w:sz="0" w:space="0" w:color="auto"/>
                <w:right w:val="none" w:sz="0" w:space="0" w:color="auto"/>
              </w:divBdr>
              <w:divsChild>
                <w:div w:id="338505554">
                  <w:marLeft w:val="0"/>
                  <w:marRight w:val="0"/>
                  <w:marTop w:val="0"/>
                  <w:marBottom w:val="0"/>
                  <w:divBdr>
                    <w:top w:val="none" w:sz="0" w:space="0" w:color="auto"/>
                    <w:left w:val="none" w:sz="0" w:space="0" w:color="auto"/>
                    <w:bottom w:val="none" w:sz="0" w:space="0" w:color="auto"/>
                    <w:right w:val="none" w:sz="0" w:space="0" w:color="auto"/>
                  </w:divBdr>
                  <w:divsChild>
                    <w:div w:id="1067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37851">
      <w:bodyDiv w:val="1"/>
      <w:marLeft w:val="0"/>
      <w:marRight w:val="0"/>
      <w:marTop w:val="0"/>
      <w:marBottom w:val="0"/>
      <w:divBdr>
        <w:top w:val="none" w:sz="0" w:space="0" w:color="auto"/>
        <w:left w:val="none" w:sz="0" w:space="0" w:color="auto"/>
        <w:bottom w:val="none" w:sz="0" w:space="0" w:color="auto"/>
        <w:right w:val="none" w:sz="0" w:space="0" w:color="auto"/>
      </w:divBdr>
      <w:divsChild>
        <w:div w:id="1717050366">
          <w:marLeft w:val="0"/>
          <w:marRight w:val="0"/>
          <w:marTop w:val="0"/>
          <w:marBottom w:val="0"/>
          <w:divBdr>
            <w:top w:val="none" w:sz="0" w:space="0" w:color="auto"/>
            <w:left w:val="none" w:sz="0" w:space="0" w:color="auto"/>
            <w:bottom w:val="none" w:sz="0" w:space="0" w:color="auto"/>
            <w:right w:val="none" w:sz="0" w:space="0" w:color="auto"/>
          </w:divBdr>
          <w:divsChild>
            <w:div w:id="1927642273">
              <w:marLeft w:val="0"/>
              <w:marRight w:val="0"/>
              <w:marTop w:val="0"/>
              <w:marBottom w:val="0"/>
              <w:divBdr>
                <w:top w:val="none" w:sz="0" w:space="0" w:color="auto"/>
                <w:left w:val="none" w:sz="0" w:space="0" w:color="auto"/>
                <w:bottom w:val="none" w:sz="0" w:space="0" w:color="auto"/>
                <w:right w:val="none" w:sz="0" w:space="0" w:color="auto"/>
              </w:divBdr>
              <w:divsChild>
                <w:div w:id="1924990252">
                  <w:marLeft w:val="0"/>
                  <w:marRight w:val="0"/>
                  <w:marTop w:val="0"/>
                  <w:marBottom w:val="0"/>
                  <w:divBdr>
                    <w:top w:val="none" w:sz="0" w:space="0" w:color="auto"/>
                    <w:left w:val="none" w:sz="0" w:space="0" w:color="auto"/>
                    <w:bottom w:val="none" w:sz="0" w:space="0" w:color="auto"/>
                    <w:right w:val="none" w:sz="0" w:space="0" w:color="auto"/>
                  </w:divBdr>
                  <w:divsChild>
                    <w:div w:id="307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3250">
      <w:bodyDiv w:val="1"/>
      <w:marLeft w:val="0"/>
      <w:marRight w:val="0"/>
      <w:marTop w:val="0"/>
      <w:marBottom w:val="0"/>
      <w:divBdr>
        <w:top w:val="none" w:sz="0" w:space="0" w:color="auto"/>
        <w:left w:val="none" w:sz="0" w:space="0" w:color="auto"/>
        <w:bottom w:val="none" w:sz="0" w:space="0" w:color="auto"/>
        <w:right w:val="none" w:sz="0" w:space="0" w:color="auto"/>
      </w:divBdr>
      <w:divsChild>
        <w:div w:id="583298629">
          <w:marLeft w:val="0"/>
          <w:marRight w:val="0"/>
          <w:marTop w:val="0"/>
          <w:marBottom w:val="0"/>
          <w:divBdr>
            <w:top w:val="none" w:sz="0" w:space="0" w:color="auto"/>
            <w:left w:val="none" w:sz="0" w:space="0" w:color="auto"/>
            <w:bottom w:val="none" w:sz="0" w:space="0" w:color="auto"/>
            <w:right w:val="none" w:sz="0" w:space="0" w:color="auto"/>
          </w:divBdr>
          <w:divsChild>
            <w:div w:id="1320579351">
              <w:marLeft w:val="0"/>
              <w:marRight w:val="0"/>
              <w:marTop w:val="0"/>
              <w:marBottom w:val="0"/>
              <w:divBdr>
                <w:top w:val="none" w:sz="0" w:space="0" w:color="auto"/>
                <w:left w:val="none" w:sz="0" w:space="0" w:color="auto"/>
                <w:bottom w:val="none" w:sz="0" w:space="0" w:color="auto"/>
                <w:right w:val="none" w:sz="0" w:space="0" w:color="auto"/>
              </w:divBdr>
              <w:divsChild>
                <w:div w:id="1567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3307">
      <w:bodyDiv w:val="1"/>
      <w:marLeft w:val="0"/>
      <w:marRight w:val="0"/>
      <w:marTop w:val="0"/>
      <w:marBottom w:val="0"/>
      <w:divBdr>
        <w:top w:val="none" w:sz="0" w:space="0" w:color="auto"/>
        <w:left w:val="none" w:sz="0" w:space="0" w:color="auto"/>
        <w:bottom w:val="none" w:sz="0" w:space="0" w:color="auto"/>
        <w:right w:val="none" w:sz="0" w:space="0" w:color="auto"/>
      </w:divBdr>
      <w:divsChild>
        <w:div w:id="1798645272">
          <w:marLeft w:val="0"/>
          <w:marRight w:val="0"/>
          <w:marTop w:val="0"/>
          <w:marBottom w:val="0"/>
          <w:divBdr>
            <w:top w:val="none" w:sz="0" w:space="0" w:color="auto"/>
            <w:left w:val="none" w:sz="0" w:space="0" w:color="auto"/>
            <w:bottom w:val="none" w:sz="0" w:space="0" w:color="auto"/>
            <w:right w:val="none" w:sz="0" w:space="0" w:color="auto"/>
          </w:divBdr>
          <w:divsChild>
            <w:div w:id="240598894">
              <w:marLeft w:val="0"/>
              <w:marRight w:val="0"/>
              <w:marTop w:val="0"/>
              <w:marBottom w:val="0"/>
              <w:divBdr>
                <w:top w:val="none" w:sz="0" w:space="0" w:color="auto"/>
                <w:left w:val="none" w:sz="0" w:space="0" w:color="auto"/>
                <w:bottom w:val="none" w:sz="0" w:space="0" w:color="auto"/>
                <w:right w:val="none" w:sz="0" w:space="0" w:color="auto"/>
              </w:divBdr>
              <w:divsChild>
                <w:div w:id="919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0236">
      <w:bodyDiv w:val="1"/>
      <w:marLeft w:val="0"/>
      <w:marRight w:val="0"/>
      <w:marTop w:val="0"/>
      <w:marBottom w:val="0"/>
      <w:divBdr>
        <w:top w:val="none" w:sz="0" w:space="0" w:color="auto"/>
        <w:left w:val="none" w:sz="0" w:space="0" w:color="auto"/>
        <w:bottom w:val="none" w:sz="0" w:space="0" w:color="auto"/>
        <w:right w:val="none" w:sz="0" w:space="0" w:color="auto"/>
      </w:divBdr>
      <w:divsChild>
        <w:div w:id="699934108">
          <w:marLeft w:val="0"/>
          <w:marRight w:val="0"/>
          <w:marTop w:val="0"/>
          <w:marBottom w:val="0"/>
          <w:divBdr>
            <w:top w:val="none" w:sz="0" w:space="0" w:color="auto"/>
            <w:left w:val="none" w:sz="0" w:space="0" w:color="auto"/>
            <w:bottom w:val="none" w:sz="0" w:space="0" w:color="auto"/>
            <w:right w:val="none" w:sz="0" w:space="0" w:color="auto"/>
          </w:divBdr>
          <w:divsChild>
            <w:div w:id="2014523917">
              <w:marLeft w:val="0"/>
              <w:marRight w:val="0"/>
              <w:marTop w:val="0"/>
              <w:marBottom w:val="0"/>
              <w:divBdr>
                <w:top w:val="none" w:sz="0" w:space="0" w:color="auto"/>
                <w:left w:val="none" w:sz="0" w:space="0" w:color="auto"/>
                <w:bottom w:val="none" w:sz="0" w:space="0" w:color="auto"/>
                <w:right w:val="none" w:sz="0" w:space="0" w:color="auto"/>
              </w:divBdr>
              <w:divsChild>
                <w:div w:id="1819683853">
                  <w:marLeft w:val="0"/>
                  <w:marRight w:val="0"/>
                  <w:marTop w:val="0"/>
                  <w:marBottom w:val="0"/>
                  <w:divBdr>
                    <w:top w:val="none" w:sz="0" w:space="0" w:color="auto"/>
                    <w:left w:val="none" w:sz="0" w:space="0" w:color="auto"/>
                    <w:bottom w:val="none" w:sz="0" w:space="0" w:color="auto"/>
                    <w:right w:val="none" w:sz="0" w:space="0" w:color="auto"/>
                  </w:divBdr>
                  <w:divsChild>
                    <w:div w:id="17114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71321">
      <w:bodyDiv w:val="1"/>
      <w:marLeft w:val="0"/>
      <w:marRight w:val="0"/>
      <w:marTop w:val="0"/>
      <w:marBottom w:val="0"/>
      <w:divBdr>
        <w:top w:val="none" w:sz="0" w:space="0" w:color="auto"/>
        <w:left w:val="none" w:sz="0" w:space="0" w:color="auto"/>
        <w:bottom w:val="none" w:sz="0" w:space="0" w:color="auto"/>
        <w:right w:val="none" w:sz="0" w:space="0" w:color="auto"/>
      </w:divBdr>
      <w:divsChild>
        <w:div w:id="1054501294">
          <w:marLeft w:val="0"/>
          <w:marRight w:val="0"/>
          <w:marTop w:val="0"/>
          <w:marBottom w:val="0"/>
          <w:divBdr>
            <w:top w:val="none" w:sz="0" w:space="0" w:color="auto"/>
            <w:left w:val="none" w:sz="0" w:space="0" w:color="auto"/>
            <w:bottom w:val="none" w:sz="0" w:space="0" w:color="auto"/>
            <w:right w:val="none" w:sz="0" w:space="0" w:color="auto"/>
          </w:divBdr>
          <w:divsChild>
            <w:div w:id="1153108974">
              <w:marLeft w:val="0"/>
              <w:marRight w:val="0"/>
              <w:marTop w:val="0"/>
              <w:marBottom w:val="0"/>
              <w:divBdr>
                <w:top w:val="none" w:sz="0" w:space="0" w:color="auto"/>
                <w:left w:val="none" w:sz="0" w:space="0" w:color="auto"/>
                <w:bottom w:val="none" w:sz="0" w:space="0" w:color="auto"/>
                <w:right w:val="none" w:sz="0" w:space="0" w:color="auto"/>
              </w:divBdr>
              <w:divsChild>
                <w:div w:id="1453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473">
      <w:bodyDiv w:val="1"/>
      <w:marLeft w:val="0"/>
      <w:marRight w:val="0"/>
      <w:marTop w:val="0"/>
      <w:marBottom w:val="0"/>
      <w:divBdr>
        <w:top w:val="none" w:sz="0" w:space="0" w:color="auto"/>
        <w:left w:val="none" w:sz="0" w:space="0" w:color="auto"/>
        <w:bottom w:val="none" w:sz="0" w:space="0" w:color="auto"/>
        <w:right w:val="none" w:sz="0" w:space="0" w:color="auto"/>
      </w:divBdr>
      <w:divsChild>
        <w:div w:id="1868523193">
          <w:marLeft w:val="0"/>
          <w:marRight w:val="0"/>
          <w:marTop w:val="0"/>
          <w:marBottom w:val="0"/>
          <w:divBdr>
            <w:top w:val="none" w:sz="0" w:space="0" w:color="auto"/>
            <w:left w:val="none" w:sz="0" w:space="0" w:color="auto"/>
            <w:bottom w:val="none" w:sz="0" w:space="0" w:color="auto"/>
            <w:right w:val="none" w:sz="0" w:space="0" w:color="auto"/>
          </w:divBdr>
          <w:divsChild>
            <w:div w:id="577401960">
              <w:marLeft w:val="0"/>
              <w:marRight w:val="0"/>
              <w:marTop w:val="0"/>
              <w:marBottom w:val="0"/>
              <w:divBdr>
                <w:top w:val="none" w:sz="0" w:space="0" w:color="auto"/>
                <w:left w:val="none" w:sz="0" w:space="0" w:color="auto"/>
                <w:bottom w:val="none" w:sz="0" w:space="0" w:color="auto"/>
                <w:right w:val="none" w:sz="0" w:space="0" w:color="auto"/>
              </w:divBdr>
              <w:divsChild>
                <w:div w:id="2240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88758">
      <w:bodyDiv w:val="1"/>
      <w:marLeft w:val="0"/>
      <w:marRight w:val="0"/>
      <w:marTop w:val="0"/>
      <w:marBottom w:val="0"/>
      <w:divBdr>
        <w:top w:val="none" w:sz="0" w:space="0" w:color="auto"/>
        <w:left w:val="none" w:sz="0" w:space="0" w:color="auto"/>
        <w:bottom w:val="none" w:sz="0" w:space="0" w:color="auto"/>
        <w:right w:val="none" w:sz="0" w:space="0" w:color="auto"/>
      </w:divBdr>
    </w:div>
    <w:div w:id="1822889178">
      <w:bodyDiv w:val="1"/>
      <w:marLeft w:val="0"/>
      <w:marRight w:val="0"/>
      <w:marTop w:val="0"/>
      <w:marBottom w:val="0"/>
      <w:divBdr>
        <w:top w:val="none" w:sz="0" w:space="0" w:color="auto"/>
        <w:left w:val="none" w:sz="0" w:space="0" w:color="auto"/>
        <w:bottom w:val="none" w:sz="0" w:space="0" w:color="auto"/>
        <w:right w:val="none" w:sz="0" w:space="0" w:color="auto"/>
      </w:divBdr>
      <w:divsChild>
        <w:div w:id="903218673">
          <w:marLeft w:val="0"/>
          <w:marRight w:val="0"/>
          <w:marTop w:val="0"/>
          <w:marBottom w:val="0"/>
          <w:divBdr>
            <w:top w:val="none" w:sz="0" w:space="0" w:color="auto"/>
            <w:left w:val="none" w:sz="0" w:space="0" w:color="auto"/>
            <w:bottom w:val="none" w:sz="0" w:space="0" w:color="auto"/>
            <w:right w:val="none" w:sz="0" w:space="0" w:color="auto"/>
          </w:divBdr>
          <w:divsChild>
            <w:div w:id="2043555394">
              <w:marLeft w:val="0"/>
              <w:marRight w:val="0"/>
              <w:marTop w:val="0"/>
              <w:marBottom w:val="0"/>
              <w:divBdr>
                <w:top w:val="none" w:sz="0" w:space="0" w:color="auto"/>
                <w:left w:val="none" w:sz="0" w:space="0" w:color="auto"/>
                <w:bottom w:val="none" w:sz="0" w:space="0" w:color="auto"/>
                <w:right w:val="none" w:sz="0" w:space="0" w:color="auto"/>
              </w:divBdr>
              <w:divsChild>
                <w:div w:id="1231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39153">
      <w:bodyDiv w:val="1"/>
      <w:marLeft w:val="0"/>
      <w:marRight w:val="0"/>
      <w:marTop w:val="0"/>
      <w:marBottom w:val="0"/>
      <w:divBdr>
        <w:top w:val="none" w:sz="0" w:space="0" w:color="auto"/>
        <w:left w:val="none" w:sz="0" w:space="0" w:color="auto"/>
        <w:bottom w:val="none" w:sz="0" w:space="0" w:color="auto"/>
        <w:right w:val="none" w:sz="0" w:space="0" w:color="auto"/>
      </w:divBdr>
      <w:divsChild>
        <w:div w:id="1200051529">
          <w:marLeft w:val="0"/>
          <w:marRight w:val="0"/>
          <w:marTop w:val="0"/>
          <w:marBottom w:val="0"/>
          <w:divBdr>
            <w:top w:val="none" w:sz="0" w:space="0" w:color="auto"/>
            <w:left w:val="none" w:sz="0" w:space="0" w:color="auto"/>
            <w:bottom w:val="none" w:sz="0" w:space="0" w:color="auto"/>
            <w:right w:val="none" w:sz="0" w:space="0" w:color="auto"/>
          </w:divBdr>
          <w:divsChild>
            <w:div w:id="1401292072">
              <w:marLeft w:val="0"/>
              <w:marRight w:val="0"/>
              <w:marTop w:val="0"/>
              <w:marBottom w:val="0"/>
              <w:divBdr>
                <w:top w:val="none" w:sz="0" w:space="0" w:color="auto"/>
                <w:left w:val="none" w:sz="0" w:space="0" w:color="auto"/>
                <w:bottom w:val="none" w:sz="0" w:space="0" w:color="auto"/>
                <w:right w:val="none" w:sz="0" w:space="0" w:color="auto"/>
              </w:divBdr>
              <w:divsChild>
                <w:div w:id="18835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6967">
      <w:bodyDiv w:val="1"/>
      <w:marLeft w:val="0"/>
      <w:marRight w:val="0"/>
      <w:marTop w:val="0"/>
      <w:marBottom w:val="0"/>
      <w:divBdr>
        <w:top w:val="none" w:sz="0" w:space="0" w:color="auto"/>
        <w:left w:val="none" w:sz="0" w:space="0" w:color="auto"/>
        <w:bottom w:val="none" w:sz="0" w:space="0" w:color="auto"/>
        <w:right w:val="none" w:sz="0" w:space="0" w:color="auto"/>
      </w:divBdr>
    </w:div>
    <w:div w:id="1901987447">
      <w:bodyDiv w:val="1"/>
      <w:marLeft w:val="0"/>
      <w:marRight w:val="0"/>
      <w:marTop w:val="0"/>
      <w:marBottom w:val="0"/>
      <w:divBdr>
        <w:top w:val="none" w:sz="0" w:space="0" w:color="auto"/>
        <w:left w:val="none" w:sz="0" w:space="0" w:color="auto"/>
        <w:bottom w:val="none" w:sz="0" w:space="0" w:color="auto"/>
        <w:right w:val="none" w:sz="0" w:space="0" w:color="auto"/>
      </w:divBdr>
      <w:divsChild>
        <w:div w:id="1376929183">
          <w:marLeft w:val="0"/>
          <w:marRight w:val="0"/>
          <w:marTop w:val="0"/>
          <w:marBottom w:val="0"/>
          <w:divBdr>
            <w:top w:val="none" w:sz="0" w:space="0" w:color="auto"/>
            <w:left w:val="none" w:sz="0" w:space="0" w:color="auto"/>
            <w:bottom w:val="none" w:sz="0" w:space="0" w:color="auto"/>
            <w:right w:val="none" w:sz="0" w:space="0" w:color="auto"/>
          </w:divBdr>
          <w:divsChild>
            <w:div w:id="1478834893">
              <w:marLeft w:val="0"/>
              <w:marRight w:val="0"/>
              <w:marTop w:val="0"/>
              <w:marBottom w:val="0"/>
              <w:divBdr>
                <w:top w:val="none" w:sz="0" w:space="0" w:color="auto"/>
                <w:left w:val="none" w:sz="0" w:space="0" w:color="auto"/>
                <w:bottom w:val="none" w:sz="0" w:space="0" w:color="auto"/>
                <w:right w:val="none" w:sz="0" w:space="0" w:color="auto"/>
              </w:divBdr>
              <w:divsChild>
                <w:div w:id="4992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03166">
      <w:bodyDiv w:val="1"/>
      <w:marLeft w:val="0"/>
      <w:marRight w:val="0"/>
      <w:marTop w:val="0"/>
      <w:marBottom w:val="0"/>
      <w:divBdr>
        <w:top w:val="none" w:sz="0" w:space="0" w:color="auto"/>
        <w:left w:val="none" w:sz="0" w:space="0" w:color="auto"/>
        <w:bottom w:val="none" w:sz="0" w:space="0" w:color="auto"/>
        <w:right w:val="none" w:sz="0" w:space="0" w:color="auto"/>
      </w:divBdr>
      <w:divsChild>
        <w:div w:id="445582867">
          <w:marLeft w:val="0"/>
          <w:marRight w:val="0"/>
          <w:marTop w:val="0"/>
          <w:marBottom w:val="0"/>
          <w:divBdr>
            <w:top w:val="none" w:sz="0" w:space="0" w:color="auto"/>
            <w:left w:val="none" w:sz="0" w:space="0" w:color="auto"/>
            <w:bottom w:val="none" w:sz="0" w:space="0" w:color="auto"/>
            <w:right w:val="none" w:sz="0" w:space="0" w:color="auto"/>
          </w:divBdr>
          <w:divsChild>
            <w:div w:id="262156769">
              <w:marLeft w:val="0"/>
              <w:marRight w:val="0"/>
              <w:marTop w:val="0"/>
              <w:marBottom w:val="0"/>
              <w:divBdr>
                <w:top w:val="none" w:sz="0" w:space="0" w:color="auto"/>
                <w:left w:val="none" w:sz="0" w:space="0" w:color="auto"/>
                <w:bottom w:val="none" w:sz="0" w:space="0" w:color="auto"/>
                <w:right w:val="none" w:sz="0" w:space="0" w:color="auto"/>
              </w:divBdr>
              <w:divsChild>
                <w:div w:id="4699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3502">
      <w:bodyDiv w:val="1"/>
      <w:marLeft w:val="0"/>
      <w:marRight w:val="0"/>
      <w:marTop w:val="0"/>
      <w:marBottom w:val="0"/>
      <w:divBdr>
        <w:top w:val="none" w:sz="0" w:space="0" w:color="auto"/>
        <w:left w:val="none" w:sz="0" w:space="0" w:color="auto"/>
        <w:bottom w:val="none" w:sz="0" w:space="0" w:color="auto"/>
        <w:right w:val="none" w:sz="0" w:space="0" w:color="auto"/>
      </w:divBdr>
      <w:divsChild>
        <w:div w:id="1144929681">
          <w:marLeft w:val="0"/>
          <w:marRight w:val="0"/>
          <w:marTop w:val="0"/>
          <w:marBottom w:val="0"/>
          <w:divBdr>
            <w:top w:val="none" w:sz="0" w:space="0" w:color="auto"/>
            <w:left w:val="none" w:sz="0" w:space="0" w:color="auto"/>
            <w:bottom w:val="none" w:sz="0" w:space="0" w:color="auto"/>
            <w:right w:val="none" w:sz="0" w:space="0" w:color="auto"/>
          </w:divBdr>
          <w:divsChild>
            <w:div w:id="1995258209">
              <w:marLeft w:val="0"/>
              <w:marRight w:val="0"/>
              <w:marTop w:val="0"/>
              <w:marBottom w:val="0"/>
              <w:divBdr>
                <w:top w:val="none" w:sz="0" w:space="0" w:color="auto"/>
                <w:left w:val="none" w:sz="0" w:space="0" w:color="auto"/>
                <w:bottom w:val="none" w:sz="0" w:space="0" w:color="auto"/>
                <w:right w:val="none" w:sz="0" w:space="0" w:color="auto"/>
              </w:divBdr>
              <w:divsChild>
                <w:div w:id="1648128988">
                  <w:marLeft w:val="0"/>
                  <w:marRight w:val="0"/>
                  <w:marTop w:val="0"/>
                  <w:marBottom w:val="0"/>
                  <w:divBdr>
                    <w:top w:val="none" w:sz="0" w:space="0" w:color="auto"/>
                    <w:left w:val="none" w:sz="0" w:space="0" w:color="auto"/>
                    <w:bottom w:val="none" w:sz="0" w:space="0" w:color="auto"/>
                    <w:right w:val="none" w:sz="0" w:space="0" w:color="auto"/>
                  </w:divBdr>
                  <w:divsChild>
                    <w:div w:id="1347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66997">
      <w:bodyDiv w:val="1"/>
      <w:marLeft w:val="0"/>
      <w:marRight w:val="0"/>
      <w:marTop w:val="0"/>
      <w:marBottom w:val="0"/>
      <w:divBdr>
        <w:top w:val="none" w:sz="0" w:space="0" w:color="auto"/>
        <w:left w:val="none" w:sz="0" w:space="0" w:color="auto"/>
        <w:bottom w:val="none" w:sz="0" w:space="0" w:color="auto"/>
        <w:right w:val="none" w:sz="0" w:space="0" w:color="auto"/>
      </w:divBdr>
      <w:divsChild>
        <w:div w:id="2014411060">
          <w:marLeft w:val="0"/>
          <w:marRight w:val="0"/>
          <w:marTop w:val="0"/>
          <w:marBottom w:val="0"/>
          <w:divBdr>
            <w:top w:val="none" w:sz="0" w:space="0" w:color="auto"/>
            <w:left w:val="none" w:sz="0" w:space="0" w:color="auto"/>
            <w:bottom w:val="none" w:sz="0" w:space="0" w:color="auto"/>
            <w:right w:val="none" w:sz="0" w:space="0" w:color="auto"/>
          </w:divBdr>
          <w:divsChild>
            <w:div w:id="1079785756">
              <w:marLeft w:val="0"/>
              <w:marRight w:val="0"/>
              <w:marTop w:val="0"/>
              <w:marBottom w:val="0"/>
              <w:divBdr>
                <w:top w:val="none" w:sz="0" w:space="0" w:color="auto"/>
                <w:left w:val="none" w:sz="0" w:space="0" w:color="auto"/>
                <w:bottom w:val="none" w:sz="0" w:space="0" w:color="auto"/>
                <w:right w:val="none" w:sz="0" w:space="0" w:color="auto"/>
              </w:divBdr>
              <w:divsChild>
                <w:div w:id="1211384571">
                  <w:marLeft w:val="0"/>
                  <w:marRight w:val="0"/>
                  <w:marTop w:val="0"/>
                  <w:marBottom w:val="0"/>
                  <w:divBdr>
                    <w:top w:val="none" w:sz="0" w:space="0" w:color="auto"/>
                    <w:left w:val="none" w:sz="0" w:space="0" w:color="auto"/>
                    <w:bottom w:val="none" w:sz="0" w:space="0" w:color="auto"/>
                    <w:right w:val="none" w:sz="0" w:space="0" w:color="auto"/>
                  </w:divBdr>
                  <w:divsChild>
                    <w:div w:id="8819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2248">
      <w:bodyDiv w:val="1"/>
      <w:marLeft w:val="0"/>
      <w:marRight w:val="0"/>
      <w:marTop w:val="0"/>
      <w:marBottom w:val="0"/>
      <w:divBdr>
        <w:top w:val="none" w:sz="0" w:space="0" w:color="auto"/>
        <w:left w:val="none" w:sz="0" w:space="0" w:color="auto"/>
        <w:bottom w:val="none" w:sz="0" w:space="0" w:color="auto"/>
        <w:right w:val="none" w:sz="0" w:space="0" w:color="auto"/>
      </w:divBdr>
      <w:divsChild>
        <w:div w:id="573316925">
          <w:marLeft w:val="0"/>
          <w:marRight w:val="0"/>
          <w:marTop w:val="0"/>
          <w:marBottom w:val="0"/>
          <w:divBdr>
            <w:top w:val="none" w:sz="0" w:space="0" w:color="auto"/>
            <w:left w:val="none" w:sz="0" w:space="0" w:color="auto"/>
            <w:bottom w:val="none" w:sz="0" w:space="0" w:color="auto"/>
            <w:right w:val="none" w:sz="0" w:space="0" w:color="auto"/>
          </w:divBdr>
          <w:divsChild>
            <w:div w:id="1767075705">
              <w:marLeft w:val="0"/>
              <w:marRight w:val="0"/>
              <w:marTop w:val="0"/>
              <w:marBottom w:val="0"/>
              <w:divBdr>
                <w:top w:val="none" w:sz="0" w:space="0" w:color="auto"/>
                <w:left w:val="none" w:sz="0" w:space="0" w:color="auto"/>
                <w:bottom w:val="none" w:sz="0" w:space="0" w:color="auto"/>
                <w:right w:val="none" w:sz="0" w:space="0" w:color="auto"/>
              </w:divBdr>
              <w:divsChild>
                <w:div w:id="1941713616">
                  <w:marLeft w:val="0"/>
                  <w:marRight w:val="0"/>
                  <w:marTop w:val="0"/>
                  <w:marBottom w:val="0"/>
                  <w:divBdr>
                    <w:top w:val="none" w:sz="0" w:space="0" w:color="auto"/>
                    <w:left w:val="none" w:sz="0" w:space="0" w:color="auto"/>
                    <w:bottom w:val="none" w:sz="0" w:space="0" w:color="auto"/>
                    <w:right w:val="none" w:sz="0" w:space="0" w:color="auto"/>
                  </w:divBdr>
                  <w:divsChild>
                    <w:div w:id="13115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4084">
      <w:bodyDiv w:val="1"/>
      <w:marLeft w:val="0"/>
      <w:marRight w:val="0"/>
      <w:marTop w:val="0"/>
      <w:marBottom w:val="0"/>
      <w:divBdr>
        <w:top w:val="none" w:sz="0" w:space="0" w:color="auto"/>
        <w:left w:val="none" w:sz="0" w:space="0" w:color="auto"/>
        <w:bottom w:val="none" w:sz="0" w:space="0" w:color="auto"/>
        <w:right w:val="none" w:sz="0" w:space="0" w:color="auto"/>
      </w:divBdr>
      <w:divsChild>
        <w:div w:id="1730303695">
          <w:marLeft w:val="0"/>
          <w:marRight w:val="0"/>
          <w:marTop w:val="0"/>
          <w:marBottom w:val="0"/>
          <w:divBdr>
            <w:top w:val="none" w:sz="0" w:space="0" w:color="auto"/>
            <w:left w:val="none" w:sz="0" w:space="0" w:color="auto"/>
            <w:bottom w:val="none" w:sz="0" w:space="0" w:color="auto"/>
            <w:right w:val="none" w:sz="0" w:space="0" w:color="auto"/>
          </w:divBdr>
          <w:divsChild>
            <w:div w:id="1910655938">
              <w:marLeft w:val="0"/>
              <w:marRight w:val="0"/>
              <w:marTop w:val="0"/>
              <w:marBottom w:val="0"/>
              <w:divBdr>
                <w:top w:val="none" w:sz="0" w:space="0" w:color="auto"/>
                <w:left w:val="none" w:sz="0" w:space="0" w:color="auto"/>
                <w:bottom w:val="none" w:sz="0" w:space="0" w:color="auto"/>
                <w:right w:val="none" w:sz="0" w:space="0" w:color="auto"/>
              </w:divBdr>
              <w:divsChild>
                <w:div w:id="18593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2694">
      <w:bodyDiv w:val="1"/>
      <w:marLeft w:val="0"/>
      <w:marRight w:val="0"/>
      <w:marTop w:val="0"/>
      <w:marBottom w:val="0"/>
      <w:divBdr>
        <w:top w:val="none" w:sz="0" w:space="0" w:color="auto"/>
        <w:left w:val="none" w:sz="0" w:space="0" w:color="auto"/>
        <w:bottom w:val="none" w:sz="0" w:space="0" w:color="auto"/>
        <w:right w:val="none" w:sz="0" w:space="0" w:color="auto"/>
      </w:divBdr>
      <w:divsChild>
        <w:div w:id="330792528">
          <w:marLeft w:val="0"/>
          <w:marRight w:val="0"/>
          <w:marTop w:val="0"/>
          <w:marBottom w:val="0"/>
          <w:divBdr>
            <w:top w:val="none" w:sz="0" w:space="0" w:color="auto"/>
            <w:left w:val="none" w:sz="0" w:space="0" w:color="auto"/>
            <w:bottom w:val="none" w:sz="0" w:space="0" w:color="auto"/>
            <w:right w:val="none" w:sz="0" w:space="0" w:color="auto"/>
          </w:divBdr>
          <w:divsChild>
            <w:div w:id="1399131197">
              <w:marLeft w:val="0"/>
              <w:marRight w:val="0"/>
              <w:marTop w:val="0"/>
              <w:marBottom w:val="0"/>
              <w:divBdr>
                <w:top w:val="none" w:sz="0" w:space="0" w:color="auto"/>
                <w:left w:val="none" w:sz="0" w:space="0" w:color="auto"/>
                <w:bottom w:val="none" w:sz="0" w:space="0" w:color="auto"/>
                <w:right w:val="none" w:sz="0" w:space="0" w:color="auto"/>
              </w:divBdr>
              <w:divsChild>
                <w:div w:id="554004200">
                  <w:marLeft w:val="0"/>
                  <w:marRight w:val="0"/>
                  <w:marTop w:val="0"/>
                  <w:marBottom w:val="0"/>
                  <w:divBdr>
                    <w:top w:val="none" w:sz="0" w:space="0" w:color="auto"/>
                    <w:left w:val="none" w:sz="0" w:space="0" w:color="auto"/>
                    <w:bottom w:val="none" w:sz="0" w:space="0" w:color="auto"/>
                    <w:right w:val="none" w:sz="0" w:space="0" w:color="auto"/>
                  </w:divBdr>
                  <w:divsChild>
                    <w:div w:id="19737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2080">
      <w:bodyDiv w:val="1"/>
      <w:marLeft w:val="0"/>
      <w:marRight w:val="0"/>
      <w:marTop w:val="0"/>
      <w:marBottom w:val="0"/>
      <w:divBdr>
        <w:top w:val="none" w:sz="0" w:space="0" w:color="auto"/>
        <w:left w:val="none" w:sz="0" w:space="0" w:color="auto"/>
        <w:bottom w:val="none" w:sz="0" w:space="0" w:color="auto"/>
        <w:right w:val="none" w:sz="0" w:space="0" w:color="auto"/>
      </w:divBdr>
      <w:divsChild>
        <w:div w:id="1504930633">
          <w:marLeft w:val="0"/>
          <w:marRight w:val="0"/>
          <w:marTop w:val="0"/>
          <w:marBottom w:val="0"/>
          <w:divBdr>
            <w:top w:val="none" w:sz="0" w:space="0" w:color="auto"/>
            <w:left w:val="none" w:sz="0" w:space="0" w:color="auto"/>
            <w:bottom w:val="none" w:sz="0" w:space="0" w:color="auto"/>
            <w:right w:val="none" w:sz="0" w:space="0" w:color="auto"/>
          </w:divBdr>
          <w:divsChild>
            <w:div w:id="234514522">
              <w:marLeft w:val="0"/>
              <w:marRight w:val="0"/>
              <w:marTop w:val="0"/>
              <w:marBottom w:val="0"/>
              <w:divBdr>
                <w:top w:val="none" w:sz="0" w:space="0" w:color="auto"/>
                <w:left w:val="none" w:sz="0" w:space="0" w:color="auto"/>
                <w:bottom w:val="none" w:sz="0" w:space="0" w:color="auto"/>
                <w:right w:val="none" w:sz="0" w:space="0" w:color="auto"/>
              </w:divBdr>
              <w:divsChild>
                <w:div w:id="1877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7992">
      <w:bodyDiv w:val="1"/>
      <w:marLeft w:val="0"/>
      <w:marRight w:val="0"/>
      <w:marTop w:val="0"/>
      <w:marBottom w:val="0"/>
      <w:divBdr>
        <w:top w:val="none" w:sz="0" w:space="0" w:color="auto"/>
        <w:left w:val="none" w:sz="0" w:space="0" w:color="auto"/>
        <w:bottom w:val="none" w:sz="0" w:space="0" w:color="auto"/>
        <w:right w:val="none" w:sz="0" w:space="0" w:color="auto"/>
      </w:divBdr>
      <w:divsChild>
        <w:div w:id="1620868168">
          <w:marLeft w:val="0"/>
          <w:marRight w:val="0"/>
          <w:marTop w:val="0"/>
          <w:marBottom w:val="0"/>
          <w:divBdr>
            <w:top w:val="none" w:sz="0" w:space="0" w:color="auto"/>
            <w:left w:val="none" w:sz="0" w:space="0" w:color="auto"/>
            <w:bottom w:val="none" w:sz="0" w:space="0" w:color="auto"/>
            <w:right w:val="none" w:sz="0" w:space="0" w:color="auto"/>
          </w:divBdr>
          <w:divsChild>
            <w:div w:id="858543436">
              <w:marLeft w:val="0"/>
              <w:marRight w:val="0"/>
              <w:marTop w:val="0"/>
              <w:marBottom w:val="0"/>
              <w:divBdr>
                <w:top w:val="none" w:sz="0" w:space="0" w:color="auto"/>
                <w:left w:val="none" w:sz="0" w:space="0" w:color="auto"/>
                <w:bottom w:val="none" w:sz="0" w:space="0" w:color="auto"/>
                <w:right w:val="none" w:sz="0" w:space="0" w:color="auto"/>
              </w:divBdr>
              <w:divsChild>
                <w:div w:id="7978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9204">
      <w:bodyDiv w:val="1"/>
      <w:marLeft w:val="0"/>
      <w:marRight w:val="0"/>
      <w:marTop w:val="0"/>
      <w:marBottom w:val="0"/>
      <w:divBdr>
        <w:top w:val="none" w:sz="0" w:space="0" w:color="auto"/>
        <w:left w:val="none" w:sz="0" w:space="0" w:color="auto"/>
        <w:bottom w:val="none" w:sz="0" w:space="0" w:color="auto"/>
        <w:right w:val="none" w:sz="0" w:space="0" w:color="auto"/>
      </w:divBdr>
      <w:divsChild>
        <w:div w:id="994994473">
          <w:marLeft w:val="0"/>
          <w:marRight w:val="0"/>
          <w:marTop w:val="0"/>
          <w:marBottom w:val="0"/>
          <w:divBdr>
            <w:top w:val="none" w:sz="0" w:space="0" w:color="auto"/>
            <w:left w:val="none" w:sz="0" w:space="0" w:color="auto"/>
            <w:bottom w:val="none" w:sz="0" w:space="0" w:color="auto"/>
            <w:right w:val="none" w:sz="0" w:space="0" w:color="auto"/>
          </w:divBdr>
          <w:divsChild>
            <w:div w:id="454637713">
              <w:marLeft w:val="0"/>
              <w:marRight w:val="0"/>
              <w:marTop w:val="0"/>
              <w:marBottom w:val="0"/>
              <w:divBdr>
                <w:top w:val="none" w:sz="0" w:space="0" w:color="auto"/>
                <w:left w:val="none" w:sz="0" w:space="0" w:color="auto"/>
                <w:bottom w:val="none" w:sz="0" w:space="0" w:color="auto"/>
                <w:right w:val="none" w:sz="0" w:space="0" w:color="auto"/>
              </w:divBdr>
              <w:divsChild>
                <w:div w:id="1962684273">
                  <w:marLeft w:val="0"/>
                  <w:marRight w:val="0"/>
                  <w:marTop w:val="0"/>
                  <w:marBottom w:val="0"/>
                  <w:divBdr>
                    <w:top w:val="none" w:sz="0" w:space="0" w:color="auto"/>
                    <w:left w:val="none" w:sz="0" w:space="0" w:color="auto"/>
                    <w:bottom w:val="none" w:sz="0" w:space="0" w:color="auto"/>
                    <w:right w:val="none" w:sz="0" w:space="0" w:color="auto"/>
                  </w:divBdr>
                  <w:divsChild>
                    <w:div w:id="18633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change.umd.edu/gcamrcp/" TargetMode="External"/><Relationship Id="rId13" Type="http://schemas.openxmlformats.org/officeDocument/2006/relationships/hyperlink" Target="https://uscode.house.gov/view.xhtml?req=(title:26%20section:45Q%20edition:preli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b.stanford.edu/group/emf-research/docs/emf34/Design2.pdf" TargetMode="External"/><Relationship Id="rId12" Type="http://schemas.openxmlformats.org/officeDocument/2006/relationships/hyperlink" Target="http://www.ipcc-data.org/guidelines/pages/glossary/glossary_l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nature.com/articles/s41558-018-0091-3" TargetMode="External"/><Relationship Id="rId11" Type="http://schemas.openxmlformats.org/officeDocument/2006/relationships/hyperlink" Target="http://www.globalchange.umd.edu/data-product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secure.iiasa.ac.at/web-apps/ene/SspDb/dsd?Action=htmlpage&amp;page=about" TargetMode="External"/><Relationship Id="rId4" Type="http://schemas.openxmlformats.org/officeDocument/2006/relationships/settings" Target="settings.xml"/><Relationship Id="rId9" Type="http://schemas.openxmlformats.org/officeDocument/2006/relationships/hyperlink" Target="https://secure.iiasa.ac.at/web-apps/ene/SspDb/dsd?Action=htmlpage&amp;page=about" TargetMode="External"/><Relationship Id="rId14" Type="http://schemas.openxmlformats.org/officeDocument/2006/relationships/hyperlink" Target="https://www.betterenergy.org/blog/primer-section-45q-tax-credit-for-carbon-captur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B70B-DBC4-8044-AAA6-7C8B8CCA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30</Pages>
  <Words>10232</Words>
  <Characters>58327</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Tsiryapkina, Irina</dc:creator>
  <cp:keywords/>
  <dc:description/>
  <cp:lastModifiedBy>Tsiryapkina, Irina</cp:lastModifiedBy>
  <cp:revision>6</cp:revision>
  <dcterms:created xsi:type="dcterms:W3CDTF">2019-10-10T19:36:00Z</dcterms:created>
  <dcterms:modified xsi:type="dcterms:W3CDTF">2019-10-22T19:07:00Z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id="H0Zogbkz"/&gt;&lt;style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