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15" w:type="dxa"/>
        <w:tblLayout w:type="fixed"/>
        <w:tblCellMar>
          <w:left w:w="0" w:type="dxa"/>
          <w:right w:w="0" w:type="dxa"/>
        </w:tblCellMar>
        <w:tblLook w:val="0420" w:firstRow="1" w:lastRow="0" w:firstColumn="0" w:lastColumn="0" w:noHBand="0" w:noVBand="1"/>
      </w:tblPr>
      <w:tblGrid>
        <w:gridCol w:w="894"/>
        <w:gridCol w:w="3316"/>
        <w:gridCol w:w="1810"/>
        <w:gridCol w:w="1549"/>
        <w:gridCol w:w="1053"/>
        <w:gridCol w:w="999"/>
        <w:gridCol w:w="1923"/>
        <w:gridCol w:w="1150"/>
        <w:gridCol w:w="991"/>
        <w:gridCol w:w="530"/>
      </w:tblGrid>
      <w:tr w:rsidR="005F7ACB" w:rsidRPr="005F7ACB" w:rsidTr="00B70622">
        <w:trPr>
          <w:trHeight w:val="584"/>
        </w:trPr>
        <w:tc>
          <w:tcPr>
            <w:tcW w:w="894"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Scenario name</w:t>
            </w:r>
          </w:p>
        </w:tc>
        <w:tc>
          <w:tcPr>
            <w:tcW w:w="3316"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Description</w:t>
            </w:r>
          </w:p>
        </w:tc>
        <w:tc>
          <w:tcPr>
            <w:tcW w:w="1810"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Degrees of warming/ forcing/ emissions</w:t>
            </w:r>
          </w:p>
        </w:tc>
        <w:tc>
          <w:tcPr>
            <w:tcW w:w="1549"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Base carbon tax</w:t>
            </w:r>
          </w:p>
        </w:tc>
        <w:tc>
          <w:tcPr>
            <w:tcW w:w="1053"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Timeframe</w:t>
            </w:r>
          </w:p>
        </w:tc>
        <w:tc>
          <w:tcPr>
            <w:tcW w:w="999"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Carbon tax escalation rate</w:t>
            </w:r>
          </w:p>
        </w:tc>
        <w:tc>
          <w:tcPr>
            <w:tcW w:w="1923"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 xml:space="preserve">With &amp; </w:t>
            </w:r>
            <w:proofErr w:type="gramStart"/>
            <w:r w:rsidRPr="005F7ACB">
              <w:rPr>
                <w:b/>
                <w:bCs/>
                <w:sz w:val="16"/>
                <w:szCs w:val="16"/>
              </w:rPr>
              <w:t>Without  BECCS</w:t>
            </w:r>
            <w:proofErr w:type="gramEnd"/>
          </w:p>
        </w:tc>
        <w:tc>
          <w:tcPr>
            <w:tcW w:w="1150"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GCAM</w:t>
            </w:r>
          </w:p>
        </w:tc>
        <w:tc>
          <w:tcPr>
            <w:tcW w:w="991"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b/>
                <w:bCs/>
                <w:sz w:val="16"/>
                <w:szCs w:val="16"/>
              </w:rPr>
              <w:t>GCAM-USA</w:t>
            </w:r>
          </w:p>
        </w:tc>
        <w:tc>
          <w:tcPr>
            <w:tcW w:w="530"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b/>
                <w:bCs/>
                <w:sz w:val="16"/>
                <w:szCs w:val="16"/>
              </w:rPr>
              <w:t>Ref</w:t>
            </w:r>
          </w:p>
        </w:tc>
      </w:tr>
      <w:tr w:rsidR="005F7ACB" w:rsidRPr="005F7ACB" w:rsidTr="00B70622">
        <w:trPr>
          <w:trHeight w:val="584"/>
        </w:trPr>
        <w:tc>
          <w:tcPr>
            <w:tcW w:w="894"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SSP1</w:t>
            </w:r>
          </w:p>
        </w:tc>
        <w:tc>
          <w:tcPr>
            <w:tcW w:w="3316"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ind w:left="167"/>
              <w:rPr>
                <w:sz w:val="16"/>
                <w:szCs w:val="16"/>
              </w:rPr>
            </w:pPr>
            <w:r w:rsidRPr="005F7ACB">
              <w:rPr>
                <w:sz w:val="16"/>
                <w:szCs w:val="16"/>
              </w:rPr>
              <w:t>Sustainability</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Good progress towards sustainable development</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Stabilizing population – 6.9 </w:t>
            </w:r>
            <w:proofErr w:type="spellStart"/>
            <w:r w:rsidRPr="005F7ACB">
              <w:rPr>
                <w:sz w:val="16"/>
                <w:szCs w:val="16"/>
              </w:rPr>
              <w:t>bln</w:t>
            </w:r>
            <w:proofErr w:type="spellEnd"/>
            <w:r w:rsidRPr="005F7ACB">
              <w:rPr>
                <w:sz w:val="16"/>
                <w:szCs w:val="16"/>
              </w:rPr>
              <w:t xml:space="preserve"> in 2100</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Decreasing income inequality ($46,306)</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Early MDG achievement</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Low resource intensity and fossil fuel dependency; High renewables preference</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Strong int’l governance and local institutions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Well managed urbanization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Environmentalism</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Technical change on extraction cost (% per year): Coal - 0.5%, Gas - 0.5%, Conv. oil - 0.5%, </w:t>
            </w:r>
            <w:proofErr w:type="spellStart"/>
            <w:r w:rsidRPr="005F7ACB">
              <w:rPr>
                <w:sz w:val="16"/>
                <w:szCs w:val="16"/>
              </w:rPr>
              <w:t>Unconv</w:t>
            </w:r>
            <w:proofErr w:type="spellEnd"/>
            <w:r w:rsidRPr="005F7ACB">
              <w:rPr>
                <w:sz w:val="16"/>
                <w:szCs w:val="16"/>
              </w:rPr>
              <w:t>. Oil - 0%.</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Cost Adder in 2100 ($/GJ): Coal - $1.37, Gas - $0.14, Conv. oil - $0.20, </w:t>
            </w:r>
            <w:proofErr w:type="spellStart"/>
            <w:r w:rsidRPr="005F7ACB">
              <w:rPr>
                <w:sz w:val="16"/>
                <w:szCs w:val="16"/>
              </w:rPr>
              <w:t>Unconv</w:t>
            </w:r>
            <w:proofErr w:type="spellEnd"/>
            <w:r w:rsidRPr="005F7ACB">
              <w:rPr>
                <w:sz w:val="16"/>
                <w:szCs w:val="16"/>
              </w:rPr>
              <w:t xml:space="preserve">. Oil - $0.21. </w:t>
            </w:r>
          </w:p>
          <w:p w:rsidR="005F7ACB" w:rsidRDefault="005F7ACB" w:rsidP="005F7ACB">
            <w:pPr>
              <w:pStyle w:val="NormalWeb"/>
              <w:spacing w:before="0" w:beforeAutospacing="0" w:after="0" w:afterAutospacing="0"/>
              <w:rPr>
                <w:sz w:val="16"/>
                <w:szCs w:val="16"/>
              </w:rPr>
            </w:pPr>
          </w:p>
          <w:p w:rsidR="00F62E7C" w:rsidRDefault="00F62E7C" w:rsidP="005F7ACB">
            <w:pPr>
              <w:pStyle w:val="NormalWeb"/>
              <w:spacing w:before="0" w:beforeAutospacing="0" w:after="0" w:afterAutospacing="0"/>
              <w:rPr>
                <w:sz w:val="16"/>
                <w:szCs w:val="16"/>
              </w:rPr>
            </w:pPr>
            <w:r>
              <w:rPr>
                <w:sz w:val="16"/>
                <w:szCs w:val="16"/>
              </w:rPr>
              <w:t>F</w:t>
            </w:r>
            <w:r w:rsidRPr="00F62E7C">
              <w:rPr>
                <w:sz w:val="16"/>
                <w:szCs w:val="16"/>
              </w:rPr>
              <w:t>inal energy demand in 2050 is limited to 10–</w:t>
            </w:r>
            <w:r>
              <w:rPr>
                <w:sz w:val="16"/>
                <w:szCs w:val="16"/>
              </w:rPr>
              <w:t>3</w:t>
            </w:r>
            <w:r w:rsidRPr="00F62E7C">
              <w:rPr>
                <w:sz w:val="16"/>
                <w:szCs w:val="16"/>
              </w:rPr>
              <w:t>0% above 2010 levels</w:t>
            </w:r>
          </w:p>
          <w:p w:rsidR="00B41ECD" w:rsidRDefault="00B41ECD" w:rsidP="005F7ACB">
            <w:pPr>
              <w:pStyle w:val="NormalWeb"/>
              <w:spacing w:before="0" w:beforeAutospacing="0" w:after="0" w:afterAutospacing="0"/>
              <w:rPr>
                <w:sz w:val="16"/>
                <w:szCs w:val="16"/>
              </w:rPr>
            </w:pPr>
          </w:p>
          <w:p w:rsidR="00B41ECD" w:rsidRPr="005F7ACB" w:rsidRDefault="00B41ECD" w:rsidP="005F7ACB">
            <w:pPr>
              <w:pStyle w:val="NormalWeb"/>
              <w:spacing w:before="0" w:beforeAutospacing="0" w:after="0" w:afterAutospacing="0"/>
              <w:rPr>
                <w:sz w:val="16"/>
                <w:szCs w:val="16"/>
              </w:rPr>
            </w:pPr>
            <w:r w:rsidRPr="00B41ECD">
              <w:rPr>
                <w:sz w:val="16"/>
                <w:szCs w:val="16"/>
              </w:rPr>
              <w:t>Bioenergy use is increased by 1–5% per year between 2020 and 2050 in 1.9 W m−2 scenarios</w:t>
            </w:r>
          </w:p>
          <w:p w:rsidR="005F7ACB" w:rsidRPr="005F7ACB" w:rsidRDefault="005F7ACB" w:rsidP="005F7ACB">
            <w:pPr>
              <w:pStyle w:val="NormalWeb"/>
              <w:spacing w:before="0" w:beforeAutospacing="0" w:after="0" w:afterAutospacing="0"/>
              <w:rPr>
                <w:sz w:val="16"/>
                <w:szCs w:val="16"/>
              </w:rPr>
            </w:pPr>
          </w:p>
        </w:tc>
        <w:tc>
          <w:tcPr>
            <w:tcW w:w="1810"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F592F" w:rsidRPr="00B70622" w:rsidRDefault="0082524A" w:rsidP="005F7ACB">
            <w:pPr>
              <w:pStyle w:val="NormalWeb"/>
              <w:spacing w:before="0" w:beforeAutospacing="0" w:after="0" w:afterAutospacing="0"/>
              <w:rPr>
                <w:b/>
                <w:bCs/>
                <w:sz w:val="16"/>
                <w:szCs w:val="16"/>
              </w:rPr>
            </w:pPr>
            <w:r w:rsidRPr="00B70622">
              <w:rPr>
                <w:b/>
                <w:bCs/>
                <w:sz w:val="16"/>
                <w:szCs w:val="16"/>
              </w:rPr>
              <w:t>Radiative forcing n 2100 - 1.9 W m</w:t>
            </w:r>
            <w:r w:rsidRPr="00B70622">
              <w:rPr>
                <w:b/>
                <w:bCs/>
                <w:sz w:val="16"/>
                <w:szCs w:val="16"/>
                <w:vertAlign w:val="superscript"/>
              </w:rPr>
              <w:t xml:space="preserve">−2 </w:t>
            </w:r>
          </w:p>
          <w:p w:rsidR="00B70622" w:rsidRDefault="00B70622" w:rsidP="005F7ACB">
            <w:pPr>
              <w:pStyle w:val="NormalWeb"/>
              <w:spacing w:before="0" w:beforeAutospacing="0" w:after="0" w:afterAutospacing="0"/>
              <w:rPr>
                <w:sz w:val="16"/>
                <w:szCs w:val="16"/>
              </w:rPr>
            </w:pPr>
          </w:p>
          <w:p w:rsidR="00B70622" w:rsidRDefault="00B70622" w:rsidP="005F7ACB">
            <w:pPr>
              <w:pStyle w:val="NormalWeb"/>
              <w:spacing w:before="0" w:beforeAutospacing="0" w:after="0" w:afterAutospacing="0"/>
              <w:rPr>
                <w:sz w:val="16"/>
                <w:szCs w:val="16"/>
              </w:rPr>
            </w:pPr>
            <w:r w:rsidRPr="00B70622">
              <w:rPr>
                <w:sz w:val="16"/>
                <w:szCs w:val="16"/>
              </w:rPr>
              <w:t>GHG emissions peak before 2030</w:t>
            </w:r>
          </w:p>
          <w:p w:rsidR="00B70622" w:rsidRDefault="00B70622" w:rsidP="005F7ACB">
            <w:pPr>
              <w:pStyle w:val="NormalWeb"/>
              <w:spacing w:before="0" w:beforeAutospacing="0" w:after="0" w:afterAutospacing="0"/>
              <w:rPr>
                <w:sz w:val="16"/>
                <w:szCs w:val="16"/>
              </w:rPr>
            </w:pPr>
          </w:p>
          <w:p w:rsidR="001F592F" w:rsidRDefault="001F592F" w:rsidP="005F7ACB">
            <w:pPr>
              <w:pStyle w:val="NormalWeb"/>
              <w:spacing w:before="0" w:beforeAutospacing="0" w:after="0" w:afterAutospacing="0"/>
              <w:rPr>
                <w:sz w:val="16"/>
                <w:szCs w:val="16"/>
              </w:rPr>
            </w:pPr>
            <w:r>
              <w:rPr>
                <w:sz w:val="16"/>
                <w:szCs w:val="16"/>
              </w:rPr>
              <w:t>Degrees of warming – 1.5C in 2100, E</w:t>
            </w:r>
            <w:r w:rsidRPr="001F592F">
              <w:rPr>
                <w:sz w:val="16"/>
                <w:szCs w:val="16"/>
              </w:rPr>
              <w:t>xceedance probability</w:t>
            </w:r>
            <w:r w:rsidR="00B70622">
              <w:rPr>
                <w:sz w:val="16"/>
                <w:szCs w:val="16"/>
              </w:rPr>
              <w:t xml:space="preserve"> in 2100</w:t>
            </w:r>
            <w:r w:rsidRPr="001F592F">
              <w:rPr>
                <w:sz w:val="16"/>
                <w:szCs w:val="16"/>
              </w:rPr>
              <w:t xml:space="preserve"> (%)</w:t>
            </w:r>
            <w:r>
              <w:rPr>
                <w:sz w:val="16"/>
                <w:szCs w:val="16"/>
              </w:rPr>
              <w:t xml:space="preserve"> – 28 (GCAM4)</w:t>
            </w:r>
          </w:p>
          <w:p w:rsidR="00B70622" w:rsidRDefault="00B70622" w:rsidP="001F592F">
            <w:pPr>
              <w:pStyle w:val="NormalWeb"/>
              <w:spacing w:before="0" w:beforeAutospacing="0" w:after="0" w:afterAutospacing="0"/>
              <w:rPr>
                <w:sz w:val="16"/>
                <w:szCs w:val="16"/>
              </w:rPr>
            </w:pPr>
            <w:r>
              <w:rPr>
                <w:sz w:val="16"/>
                <w:szCs w:val="16"/>
              </w:rPr>
              <w:t>E</w:t>
            </w:r>
            <w:r w:rsidRPr="001F592F">
              <w:rPr>
                <w:sz w:val="16"/>
                <w:szCs w:val="16"/>
              </w:rPr>
              <w:t>xceedance probability</w:t>
            </w:r>
            <w:r>
              <w:rPr>
                <w:sz w:val="16"/>
                <w:szCs w:val="16"/>
              </w:rPr>
              <w:t xml:space="preserve"> over 21</w:t>
            </w:r>
            <w:r w:rsidRPr="00B70622">
              <w:rPr>
                <w:sz w:val="16"/>
                <w:szCs w:val="16"/>
                <w:vertAlign w:val="superscript"/>
              </w:rPr>
              <w:t>st</w:t>
            </w:r>
            <w:r>
              <w:rPr>
                <w:sz w:val="16"/>
                <w:szCs w:val="16"/>
              </w:rPr>
              <w:t xml:space="preserve"> century</w:t>
            </w:r>
            <w:r w:rsidRPr="001F592F">
              <w:rPr>
                <w:sz w:val="16"/>
                <w:szCs w:val="16"/>
              </w:rPr>
              <w:t xml:space="preserve"> (%)</w:t>
            </w:r>
            <w:r>
              <w:rPr>
                <w:sz w:val="16"/>
                <w:szCs w:val="16"/>
              </w:rPr>
              <w:t xml:space="preserve"> – 57 (GCAM4)</w:t>
            </w:r>
          </w:p>
          <w:p w:rsidR="001F592F" w:rsidRDefault="001F592F" w:rsidP="001F592F">
            <w:pPr>
              <w:pStyle w:val="NormalWeb"/>
              <w:spacing w:before="0" w:beforeAutospacing="0" w:after="0" w:afterAutospacing="0"/>
              <w:rPr>
                <w:sz w:val="16"/>
                <w:szCs w:val="16"/>
              </w:rPr>
            </w:pPr>
            <w:r>
              <w:rPr>
                <w:sz w:val="16"/>
                <w:szCs w:val="16"/>
              </w:rPr>
              <w:t xml:space="preserve">Degrees of warming – 2C in 2100, </w:t>
            </w:r>
            <w:r w:rsidR="00B70622">
              <w:rPr>
                <w:sz w:val="16"/>
                <w:szCs w:val="16"/>
              </w:rPr>
              <w:t>E</w:t>
            </w:r>
            <w:r w:rsidR="00B70622" w:rsidRPr="001F592F">
              <w:rPr>
                <w:sz w:val="16"/>
                <w:szCs w:val="16"/>
              </w:rPr>
              <w:t>xceedance probability</w:t>
            </w:r>
            <w:r w:rsidR="00B70622">
              <w:rPr>
                <w:sz w:val="16"/>
                <w:szCs w:val="16"/>
              </w:rPr>
              <w:t xml:space="preserve"> over 21</w:t>
            </w:r>
            <w:r w:rsidR="00B70622" w:rsidRPr="00B70622">
              <w:rPr>
                <w:sz w:val="16"/>
                <w:szCs w:val="16"/>
                <w:vertAlign w:val="superscript"/>
              </w:rPr>
              <w:t>st</w:t>
            </w:r>
            <w:r w:rsidR="00B70622">
              <w:rPr>
                <w:sz w:val="16"/>
                <w:szCs w:val="16"/>
              </w:rPr>
              <w:t xml:space="preserve"> century</w:t>
            </w:r>
            <w:r w:rsidR="00B70622" w:rsidRPr="001F592F">
              <w:rPr>
                <w:sz w:val="16"/>
                <w:szCs w:val="16"/>
              </w:rPr>
              <w:t xml:space="preserve"> </w:t>
            </w:r>
            <w:r w:rsidRPr="001F592F">
              <w:rPr>
                <w:sz w:val="16"/>
                <w:szCs w:val="16"/>
              </w:rPr>
              <w:t>(%)</w:t>
            </w:r>
            <w:r>
              <w:rPr>
                <w:sz w:val="16"/>
                <w:szCs w:val="16"/>
              </w:rPr>
              <w:t xml:space="preserve"> – 11 (GCAM4)</w:t>
            </w:r>
          </w:p>
          <w:p w:rsidR="001F592F" w:rsidRDefault="001F592F" w:rsidP="005F7ACB">
            <w:pPr>
              <w:pStyle w:val="NormalWeb"/>
              <w:spacing w:before="0" w:beforeAutospacing="0" w:after="0" w:afterAutospacing="0"/>
              <w:rPr>
                <w:sz w:val="16"/>
                <w:szCs w:val="16"/>
              </w:rPr>
            </w:pPr>
          </w:p>
          <w:p w:rsidR="00DB66A8" w:rsidRDefault="00F62E7C" w:rsidP="005F7ACB">
            <w:pPr>
              <w:pStyle w:val="NormalWeb"/>
              <w:spacing w:before="0" w:beforeAutospacing="0" w:after="0" w:afterAutospacing="0"/>
              <w:rPr>
                <w:sz w:val="16"/>
                <w:szCs w:val="16"/>
              </w:rPr>
            </w:pPr>
            <w:r w:rsidRPr="00F62E7C">
              <w:rPr>
                <w:sz w:val="16"/>
                <w:szCs w:val="16"/>
              </w:rPr>
              <w:t xml:space="preserve">Global non-CO2 emissions in 2100 (GtCO2-eq </w:t>
            </w:r>
            <w:proofErr w:type="spellStart"/>
            <w:r w:rsidRPr="00F62E7C">
              <w:rPr>
                <w:sz w:val="16"/>
                <w:szCs w:val="16"/>
              </w:rPr>
              <w:t>yr</w:t>
            </w:r>
            <w:proofErr w:type="spellEnd"/>
            <w:r w:rsidRPr="00F62E7C">
              <w:rPr>
                <w:sz w:val="16"/>
                <w:szCs w:val="16"/>
              </w:rPr>
              <w:t>–1)</w:t>
            </w:r>
            <w:r>
              <w:rPr>
                <w:sz w:val="16"/>
                <w:szCs w:val="16"/>
              </w:rPr>
              <w:t>:</w:t>
            </w:r>
          </w:p>
          <w:p w:rsidR="00F62E7C" w:rsidRDefault="00F62E7C" w:rsidP="005F7ACB">
            <w:pPr>
              <w:pStyle w:val="NormalWeb"/>
              <w:spacing w:before="0" w:beforeAutospacing="0" w:after="0" w:afterAutospacing="0"/>
              <w:rPr>
                <w:sz w:val="16"/>
                <w:szCs w:val="16"/>
              </w:rPr>
            </w:pPr>
            <w:r>
              <w:rPr>
                <w:sz w:val="16"/>
                <w:szCs w:val="16"/>
              </w:rPr>
              <w:t>1) N2O – 1 (GCAM)</w:t>
            </w:r>
          </w:p>
          <w:p w:rsidR="00F62E7C" w:rsidRDefault="00F62E7C" w:rsidP="005F7ACB">
            <w:pPr>
              <w:pStyle w:val="NormalWeb"/>
              <w:spacing w:before="0" w:beforeAutospacing="0" w:after="0" w:afterAutospacing="0"/>
              <w:rPr>
                <w:sz w:val="16"/>
                <w:szCs w:val="16"/>
              </w:rPr>
            </w:pPr>
            <w:r>
              <w:rPr>
                <w:sz w:val="16"/>
                <w:szCs w:val="16"/>
              </w:rPr>
              <w:t>2) CH4 – 3 (GCAM)</w:t>
            </w:r>
          </w:p>
          <w:p w:rsidR="00F62E7C" w:rsidRDefault="00F62E7C" w:rsidP="00F62E7C">
            <w:pPr>
              <w:pStyle w:val="NormalWeb"/>
              <w:spacing w:before="0" w:beforeAutospacing="0" w:after="0" w:afterAutospacing="0"/>
              <w:rPr>
                <w:sz w:val="16"/>
                <w:szCs w:val="16"/>
              </w:rPr>
            </w:pPr>
            <w:r>
              <w:rPr>
                <w:sz w:val="16"/>
                <w:szCs w:val="16"/>
              </w:rPr>
              <w:t>Mainly from agriculture</w:t>
            </w:r>
          </w:p>
          <w:p w:rsidR="00F62E7C" w:rsidRDefault="00F62E7C" w:rsidP="005F7ACB">
            <w:pPr>
              <w:pStyle w:val="NormalWeb"/>
              <w:spacing w:before="0" w:beforeAutospacing="0" w:after="0" w:afterAutospacing="0"/>
              <w:rPr>
                <w:sz w:val="16"/>
                <w:szCs w:val="16"/>
              </w:rPr>
            </w:pPr>
          </w:p>
          <w:p w:rsidR="00B41ECD" w:rsidRPr="005F7ACB" w:rsidRDefault="00F62E7C" w:rsidP="00B41ECD">
            <w:pPr>
              <w:pStyle w:val="NormalWeb"/>
              <w:spacing w:before="0" w:beforeAutospacing="0" w:after="0" w:afterAutospacing="0"/>
              <w:rPr>
                <w:sz w:val="16"/>
                <w:szCs w:val="16"/>
              </w:rPr>
            </w:pPr>
            <w:r w:rsidRPr="00F62E7C">
              <w:rPr>
                <w:sz w:val="16"/>
                <w:szCs w:val="16"/>
              </w:rPr>
              <w:t>Bioenergy is used in large amounts and this can raise concerns for food security or biodiversity</w:t>
            </w:r>
            <w:r w:rsidR="00B41ECD">
              <w:rPr>
                <w:sz w:val="16"/>
                <w:szCs w:val="16"/>
              </w:rPr>
              <w:t xml:space="preserve">. </w:t>
            </w:r>
            <w:r w:rsidR="00B41ECD" w:rsidRPr="00B41ECD">
              <w:rPr>
                <w:sz w:val="16"/>
                <w:szCs w:val="16"/>
              </w:rPr>
              <w:t>Bioenergy use is increased by 1–5% per year between 2020 and 2050</w:t>
            </w:r>
          </w:p>
          <w:p w:rsidR="00F62E7C" w:rsidRDefault="00F62E7C" w:rsidP="005F7ACB">
            <w:pPr>
              <w:pStyle w:val="NormalWeb"/>
              <w:spacing w:before="0" w:beforeAutospacing="0" w:after="0" w:afterAutospacing="0"/>
              <w:rPr>
                <w:sz w:val="16"/>
                <w:szCs w:val="16"/>
              </w:rPr>
            </w:pPr>
          </w:p>
          <w:p w:rsidR="00F62E7C" w:rsidRDefault="00452D79" w:rsidP="005F7ACB">
            <w:pPr>
              <w:pStyle w:val="NormalWeb"/>
              <w:spacing w:before="0" w:beforeAutospacing="0" w:after="0" w:afterAutospacing="0"/>
              <w:rPr>
                <w:sz w:val="16"/>
                <w:szCs w:val="16"/>
              </w:rPr>
            </w:pPr>
            <w:r w:rsidRPr="00452D79">
              <w:rPr>
                <w:sz w:val="16"/>
                <w:szCs w:val="16"/>
              </w:rPr>
              <w:t>Cumulative CO2 emission reduction from baseline in the 2020–2100 period for the 1.9 W m–2 scenarios (GtCO2)</w:t>
            </w:r>
            <w:r>
              <w:rPr>
                <w:sz w:val="16"/>
                <w:szCs w:val="16"/>
              </w:rPr>
              <w:t xml:space="preserve"> – 3,400 (GCAM)</w:t>
            </w:r>
          </w:p>
          <w:p w:rsidR="00452D79" w:rsidRDefault="00452D79" w:rsidP="005F7ACB">
            <w:pPr>
              <w:pStyle w:val="NormalWeb"/>
              <w:spacing w:before="0" w:beforeAutospacing="0" w:after="0" w:afterAutospacing="0"/>
              <w:rPr>
                <w:sz w:val="16"/>
                <w:szCs w:val="16"/>
              </w:rPr>
            </w:pPr>
          </w:p>
          <w:p w:rsidR="00452D79" w:rsidRDefault="00452D79" w:rsidP="005F7ACB">
            <w:pPr>
              <w:pStyle w:val="NormalWeb"/>
              <w:spacing w:before="0" w:beforeAutospacing="0" w:after="0" w:afterAutospacing="0"/>
              <w:rPr>
                <w:sz w:val="16"/>
                <w:szCs w:val="16"/>
              </w:rPr>
            </w:pPr>
          </w:p>
          <w:p w:rsidR="00DB66A8" w:rsidRPr="00B41ECD" w:rsidRDefault="00DB66A8" w:rsidP="005F7ACB">
            <w:pPr>
              <w:pStyle w:val="NormalWeb"/>
              <w:spacing w:before="0" w:beforeAutospacing="0" w:after="0" w:afterAutospacing="0"/>
              <w:rPr>
                <w:b/>
                <w:bCs/>
                <w:sz w:val="16"/>
                <w:szCs w:val="16"/>
              </w:rPr>
            </w:pPr>
            <w:r w:rsidRPr="00B41ECD">
              <w:rPr>
                <w:b/>
                <w:bCs/>
                <w:sz w:val="16"/>
                <w:szCs w:val="16"/>
              </w:rPr>
              <w:t>Global CO2 emissions and radiative forcing of SSP scenarios with the selected CMIP6 Scenario MIP subset in 2100:</w:t>
            </w:r>
          </w:p>
          <w:p w:rsidR="00DB66A8" w:rsidRDefault="00DB66A8" w:rsidP="005F7ACB">
            <w:pPr>
              <w:pStyle w:val="NormalWeb"/>
              <w:spacing w:before="0" w:beforeAutospacing="0" w:after="0" w:afterAutospacing="0"/>
              <w:rPr>
                <w:sz w:val="16"/>
                <w:szCs w:val="16"/>
              </w:rPr>
            </w:pPr>
          </w:p>
          <w:p w:rsidR="00DB66A8" w:rsidRDefault="00F62E7C" w:rsidP="00F62E7C">
            <w:pPr>
              <w:pStyle w:val="NormalWeb"/>
              <w:spacing w:before="0" w:beforeAutospacing="0" w:after="0" w:afterAutospacing="0"/>
              <w:rPr>
                <w:sz w:val="16"/>
                <w:szCs w:val="16"/>
              </w:rPr>
            </w:pPr>
            <w:r>
              <w:rPr>
                <w:sz w:val="16"/>
                <w:szCs w:val="16"/>
              </w:rPr>
              <w:t>1)</w:t>
            </w:r>
            <w:r w:rsidR="00DB66A8">
              <w:rPr>
                <w:sz w:val="16"/>
                <w:szCs w:val="16"/>
              </w:rPr>
              <w:t>R</w:t>
            </w:r>
            <w:r w:rsidR="00DB66A8" w:rsidRPr="0082524A">
              <w:rPr>
                <w:sz w:val="16"/>
                <w:szCs w:val="16"/>
              </w:rPr>
              <w:t xml:space="preserve">adiative forcing </w:t>
            </w:r>
            <w:r w:rsidR="00DB66A8">
              <w:rPr>
                <w:sz w:val="16"/>
                <w:szCs w:val="16"/>
              </w:rPr>
              <w:t xml:space="preserve">n 2100 </w:t>
            </w:r>
            <w:r w:rsidR="00B70622">
              <w:rPr>
                <w:sz w:val="16"/>
                <w:szCs w:val="16"/>
              </w:rPr>
              <w:t>–</w:t>
            </w:r>
            <w:r w:rsidR="00DB66A8">
              <w:rPr>
                <w:sz w:val="16"/>
                <w:szCs w:val="16"/>
              </w:rPr>
              <w:t xml:space="preserve"> </w:t>
            </w:r>
            <w:r w:rsidR="00DB66A8" w:rsidRPr="0082524A">
              <w:rPr>
                <w:sz w:val="16"/>
                <w:szCs w:val="16"/>
              </w:rPr>
              <w:t>1.9 W m</w:t>
            </w:r>
            <w:r w:rsidR="00DB66A8" w:rsidRPr="0082524A">
              <w:rPr>
                <w:sz w:val="16"/>
                <w:szCs w:val="16"/>
                <w:vertAlign w:val="superscript"/>
              </w:rPr>
              <w:t>−2</w:t>
            </w:r>
            <w:r w:rsidR="00DB66A8">
              <w:rPr>
                <w:sz w:val="16"/>
                <w:szCs w:val="16"/>
                <w:vertAlign w:val="superscript"/>
              </w:rPr>
              <w:t xml:space="preserve"> </w:t>
            </w:r>
          </w:p>
          <w:p w:rsidR="00DB66A8" w:rsidRDefault="00DB66A8" w:rsidP="00DB66A8">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(-19)</w:t>
            </w:r>
          </w:p>
          <w:p w:rsidR="00DB66A8" w:rsidRDefault="00DB66A8" w:rsidP="005F7ACB">
            <w:pPr>
              <w:pStyle w:val="NormalWeb"/>
              <w:spacing w:before="0" w:beforeAutospacing="0" w:after="0" w:afterAutospacing="0"/>
              <w:rPr>
                <w:sz w:val="16"/>
                <w:szCs w:val="16"/>
              </w:rPr>
            </w:pPr>
          </w:p>
          <w:p w:rsidR="001F592F" w:rsidRDefault="00DB66A8" w:rsidP="001F592F">
            <w:pPr>
              <w:pStyle w:val="NormalWeb"/>
              <w:spacing w:before="0" w:beforeAutospacing="0" w:after="0" w:afterAutospacing="0"/>
              <w:rPr>
                <w:sz w:val="16"/>
                <w:szCs w:val="16"/>
                <w:vertAlign w:val="superscript"/>
              </w:rPr>
            </w:pPr>
            <w:r>
              <w:rPr>
                <w:sz w:val="16"/>
                <w:szCs w:val="16"/>
              </w:rPr>
              <w:t xml:space="preserve">2) </w:t>
            </w:r>
            <w:r w:rsidR="001F592F">
              <w:rPr>
                <w:sz w:val="16"/>
                <w:szCs w:val="16"/>
              </w:rPr>
              <w:t>R</w:t>
            </w:r>
            <w:r w:rsidR="001F592F" w:rsidRPr="0082524A">
              <w:rPr>
                <w:sz w:val="16"/>
                <w:szCs w:val="16"/>
              </w:rPr>
              <w:t xml:space="preserve">adiative forcing </w:t>
            </w:r>
            <w:r w:rsidR="001F592F">
              <w:rPr>
                <w:sz w:val="16"/>
                <w:szCs w:val="16"/>
              </w:rPr>
              <w:t xml:space="preserve">n 2100 </w:t>
            </w:r>
            <w:r w:rsidR="00B70622">
              <w:rPr>
                <w:sz w:val="16"/>
                <w:szCs w:val="16"/>
              </w:rPr>
              <w:t>–</w:t>
            </w:r>
            <w:r w:rsidR="001F592F">
              <w:rPr>
                <w:sz w:val="16"/>
                <w:szCs w:val="16"/>
              </w:rPr>
              <w:t xml:space="preserve"> 2</w:t>
            </w:r>
            <w:r w:rsidR="001F592F" w:rsidRPr="0082524A">
              <w:rPr>
                <w:sz w:val="16"/>
                <w:szCs w:val="16"/>
              </w:rPr>
              <w:t>.</w:t>
            </w:r>
            <w:r w:rsidR="001F592F">
              <w:rPr>
                <w:sz w:val="16"/>
                <w:szCs w:val="16"/>
              </w:rPr>
              <w:t>6</w:t>
            </w:r>
            <w:r w:rsidR="001F592F" w:rsidRPr="0082524A">
              <w:rPr>
                <w:sz w:val="16"/>
                <w:szCs w:val="16"/>
              </w:rPr>
              <w:t xml:space="preserve"> W m</w:t>
            </w:r>
            <w:r w:rsidR="001F592F" w:rsidRPr="0082524A">
              <w:rPr>
                <w:sz w:val="16"/>
                <w:szCs w:val="16"/>
                <w:vertAlign w:val="superscript"/>
              </w:rPr>
              <w:t>−2</w:t>
            </w:r>
          </w:p>
          <w:p w:rsidR="001F592F" w:rsidRDefault="001F592F" w:rsidP="001F592F">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(-8)</w:t>
            </w:r>
          </w:p>
          <w:p w:rsidR="001F592F" w:rsidRDefault="001F592F" w:rsidP="005F7ACB">
            <w:pPr>
              <w:pStyle w:val="NormalWeb"/>
              <w:spacing w:before="0" w:beforeAutospacing="0" w:after="0" w:afterAutospacing="0"/>
              <w:rPr>
                <w:sz w:val="16"/>
                <w:szCs w:val="16"/>
              </w:rPr>
            </w:pPr>
          </w:p>
          <w:p w:rsidR="001F592F" w:rsidRPr="0082524A" w:rsidRDefault="001F592F" w:rsidP="005F7ACB">
            <w:pPr>
              <w:pStyle w:val="NormalWeb"/>
              <w:spacing w:before="0" w:beforeAutospacing="0" w:after="0" w:afterAutospacing="0"/>
              <w:rPr>
                <w:sz w:val="16"/>
                <w:szCs w:val="16"/>
              </w:rPr>
            </w:pPr>
          </w:p>
        </w:tc>
        <w:tc>
          <w:tcPr>
            <w:tcW w:w="1549"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B41ECD" w:rsidRDefault="00B41ECD" w:rsidP="005F7ACB">
            <w:pPr>
              <w:pStyle w:val="NormalWeb"/>
              <w:spacing w:before="0" w:beforeAutospacing="0" w:after="0" w:afterAutospacing="0"/>
              <w:rPr>
                <w:sz w:val="16"/>
                <w:szCs w:val="16"/>
              </w:rPr>
            </w:pPr>
            <w:r>
              <w:rPr>
                <w:sz w:val="16"/>
                <w:szCs w:val="16"/>
              </w:rPr>
              <w:lastRenderedPageBreak/>
              <w:t>P</w:t>
            </w:r>
            <w:r w:rsidRPr="00B41ECD">
              <w:rPr>
                <w:sz w:val="16"/>
                <w:szCs w:val="16"/>
              </w:rPr>
              <w:t>rices over the 2020–2100 period discounted to 2010 with a 5% discount rate</w:t>
            </w:r>
          </w:p>
          <w:p w:rsidR="00B41ECD" w:rsidRDefault="00B41ECD" w:rsidP="005F7ACB">
            <w:pPr>
              <w:pStyle w:val="NormalWeb"/>
              <w:spacing w:before="0" w:beforeAutospacing="0" w:after="0" w:afterAutospacing="0"/>
              <w:rPr>
                <w:sz w:val="16"/>
                <w:szCs w:val="16"/>
              </w:rPr>
            </w:pPr>
          </w:p>
          <w:p w:rsidR="00B41ECD" w:rsidRPr="00B70622" w:rsidRDefault="00B41ECD" w:rsidP="00B41ECD">
            <w:pPr>
              <w:pStyle w:val="NormalWeb"/>
              <w:spacing w:before="0" w:beforeAutospacing="0" w:after="0" w:afterAutospacing="0"/>
              <w:rPr>
                <w:b/>
                <w:bCs/>
                <w:sz w:val="16"/>
                <w:szCs w:val="16"/>
              </w:rPr>
            </w:pPr>
            <w:r w:rsidRPr="00B70622">
              <w:rPr>
                <w:b/>
                <w:bCs/>
                <w:sz w:val="16"/>
                <w:szCs w:val="16"/>
              </w:rPr>
              <w:t>Radiative forcing n 2100 - 1.9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20-30$/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2</w:t>
            </w:r>
            <w:r w:rsidRPr="00B70622">
              <w:rPr>
                <w:b/>
                <w:bCs/>
                <w:sz w:val="16"/>
                <w:szCs w:val="16"/>
              </w:rPr>
              <w:t>.</w:t>
            </w:r>
            <w:r>
              <w:rPr>
                <w:b/>
                <w:bCs/>
                <w:sz w:val="16"/>
                <w:szCs w:val="16"/>
              </w:rPr>
              <w:t>6</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5</w:t>
            </w:r>
            <w:r>
              <w:rPr>
                <w:sz w:val="16"/>
                <w:szCs w:val="16"/>
              </w:rPr>
              <w:t>-</w:t>
            </w:r>
            <w:r>
              <w:rPr>
                <w:sz w:val="16"/>
                <w:szCs w:val="16"/>
              </w:rPr>
              <w:t>1</w:t>
            </w:r>
            <w:r>
              <w:rPr>
                <w:sz w:val="16"/>
                <w:szCs w:val="16"/>
              </w:rPr>
              <w:t>0$/</w:t>
            </w:r>
            <w:r w:rsidRPr="00A503AB">
              <w:rPr>
                <w:sz w:val="16"/>
                <w:szCs w:val="16"/>
              </w:rPr>
              <w:t>tCO2</w:t>
            </w:r>
            <w:r>
              <w:rPr>
                <w:sz w:val="16"/>
                <w:szCs w:val="16"/>
              </w:rPr>
              <w:t xml:space="preserve"> (</w:t>
            </w:r>
            <w:r>
              <w:rPr>
                <w:sz w:val="16"/>
                <w:szCs w:val="16"/>
              </w:rPr>
              <w:t>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3</w:t>
            </w:r>
            <w:r w:rsidRPr="00B70622">
              <w:rPr>
                <w:b/>
                <w:bCs/>
                <w:sz w:val="16"/>
                <w:szCs w:val="16"/>
              </w:rPr>
              <w:t>.</w:t>
            </w:r>
            <w:r>
              <w:rPr>
                <w:b/>
                <w:bCs/>
                <w:sz w:val="16"/>
                <w:szCs w:val="16"/>
              </w:rPr>
              <w:t>4</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- 2-</w:t>
            </w:r>
            <w:r>
              <w:rPr>
                <w:sz w:val="16"/>
                <w:szCs w:val="16"/>
              </w:rPr>
              <w:t>5</w:t>
            </w:r>
            <w:r>
              <w:rPr>
                <w:sz w:val="16"/>
                <w:szCs w:val="16"/>
              </w:rPr>
              <w:t>$/</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4</w:t>
            </w:r>
            <w:r w:rsidRPr="00B70622">
              <w:rPr>
                <w:b/>
                <w:bCs/>
                <w:sz w:val="16"/>
                <w:szCs w:val="16"/>
              </w:rPr>
              <w:t>.</w:t>
            </w:r>
            <w:r>
              <w:rPr>
                <w:b/>
                <w:bCs/>
                <w:sz w:val="16"/>
                <w:szCs w:val="16"/>
              </w:rPr>
              <w:t>5</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1</w:t>
            </w:r>
            <w:r>
              <w:rPr>
                <w:sz w:val="16"/>
                <w:szCs w:val="16"/>
              </w:rPr>
              <w:t>-</w:t>
            </w:r>
            <w:r>
              <w:rPr>
                <w:sz w:val="16"/>
                <w:szCs w:val="16"/>
              </w:rPr>
              <w:t>2</w:t>
            </w:r>
            <w:r>
              <w:rPr>
                <w:sz w:val="16"/>
                <w:szCs w:val="16"/>
              </w:rPr>
              <w:t>$/</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p>
          <w:p w:rsidR="00B41ECD" w:rsidRPr="005F7ACB" w:rsidRDefault="00B41ECD" w:rsidP="005F7ACB">
            <w:pPr>
              <w:pStyle w:val="NormalWeb"/>
              <w:spacing w:before="0" w:beforeAutospacing="0" w:after="0" w:afterAutospacing="0"/>
              <w:rPr>
                <w:sz w:val="16"/>
                <w:szCs w:val="16"/>
              </w:rPr>
            </w:pPr>
          </w:p>
        </w:tc>
        <w:tc>
          <w:tcPr>
            <w:tcW w:w="1053"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B41ECD" w:rsidP="005F7ACB">
            <w:pPr>
              <w:pStyle w:val="NormalWeb"/>
              <w:spacing w:before="0" w:beforeAutospacing="0" w:after="0" w:afterAutospacing="0"/>
              <w:rPr>
                <w:sz w:val="16"/>
                <w:szCs w:val="16"/>
              </w:rPr>
            </w:pPr>
            <w:r w:rsidRPr="00B41ECD">
              <w:rPr>
                <w:sz w:val="16"/>
                <w:szCs w:val="16"/>
              </w:rPr>
              <w:t>2020–2100</w:t>
            </w:r>
          </w:p>
        </w:tc>
        <w:tc>
          <w:tcPr>
            <w:tcW w:w="999"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Default="00B41ECD" w:rsidP="005F7ACB">
            <w:pPr>
              <w:pStyle w:val="NormalWeb"/>
              <w:spacing w:before="0" w:beforeAutospacing="0" w:after="0" w:afterAutospacing="0"/>
              <w:rPr>
                <w:sz w:val="16"/>
                <w:szCs w:val="16"/>
              </w:rPr>
            </w:pPr>
            <w:r w:rsidRPr="00B41ECD">
              <w:rPr>
                <w:sz w:val="16"/>
                <w:szCs w:val="16"/>
              </w:rPr>
              <w:t xml:space="preserve">BECCS deployment over the twenty-first century </w:t>
            </w:r>
            <w:r>
              <w:rPr>
                <w:sz w:val="16"/>
                <w:szCs w:val="16"/>
              </w:rPr>
              <w:t xml:space="preserve">- </w:t>
            </w:r>
            <w:r w:rsidRPr="00B41ECD">
              <w:rPr>
                <w:sz w:val="16"/>
                <w:szCs w:val="16"/>
              </w:rPr>
              <w:t>150–700GtCO2</w:t>
            </w:r>
          </w:p>
          <w:p w:rsidR="00452D79" w:rsidRDefault="00452D79" w:rsidP="005F7ACB">
            <w:pPr>
              <w:pStyle w:val="NormalWeb"/>
              <w:spacing w:before="0" w:beforeAutospacing="0" w:after="0" w:afterAutospacing="0"/>
              <w:rPr>
                <w:sz w:val="16"/>
                <w:szCs w:val="16"/>
              </w:rPr>
            </w:pPr>
          </w:p>
          <w:p w:rsidR="00452D79" w:rsidRPr="005F7ACB" w:rsidRDefault="00452D79" w:rsidP="005F7ACB">
            <w:pPr>
              <w:pStyle w:val="NormalWeb"/>
              <w:spacing w:before="0" w:beforeAutospacing="0" w:after="0" w:afterAutospacing="0"/>
              <w:rPr>
                <w:sz w:val="16"/>
                <w:szCs w:val="16"/>
              </w:rPr>
            </w:pPr>
            <w:r w:rsidRPr="00452D79">
              <w:rPr>
                <w:sz w:val="16"/>
                <w:szCs w:val="16"/>
              </w:rPr>
              <w:t xml:space="preserve">Average annual CO2 storage from BECCS for the 1.9 W m–2 scenarios for the 2020–2100 period (GtCO2 </w:t>
            </w:r>
            <w:proofErr w:type="spellStart"/>
            <w:r w:rsidRPr="00452D79">
              <w:rPr>
                <w:sz w:val="16"/>
                <w:szCs w:val="16"/>
              </w:rPr>
              <w:t>yr</w:t>
            </w:r>
            <w:proofErr w:type="spellEnd"/>
            <w:r w:rsidRPr="00452D79">
              <w:rPr>
                <w:sz w:val="16"/>
                <w:szCs w:val="16"/>
              </w:rPr>
              <w:t>–1)</w:t>
            </w:r>
            <w:r>
              <w:rPr>
                <w:sz w:val="16"/>
                <w:szCs w:val="16"/>
              </w:rPr>
              <w:t xml:space="preserve"> – 5.5 (GCAM)</w:t>
            </w:r>
          </w:p>
        </w:tc>
        <w:tc>
          <w:tcPr>
            <w:tcW w:w="1150"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The GCAM SSPs will be released as part of the core in a few months</w:t>
            </w:r>
            <w:proofErr w:type="gramStart"/>
            <w:r w:rsidRPr="005F7ACB">
              <w:rPr>
                <w:sz w:val="16"/>
                <w:szCs w:val="16"/>
              </w:rPr>
              <w:t>. !</w:t>
            </w:r>
            <w:proofErr w:type="gramEnd"/>
            <w:r w:rsidRPr="005F7ACB">
              <w:rPr>
                <w:sz w:val="16"/>
                <w:szCs w:val="16"/>
              </w:rPr>
              <w:t xml:space="preserve">   This release will include input and configuration files to generate</w:t>
            </w:r>
          </w:p>
          <w:p w:rsidR="005F7ACB" w:rsidRPr="005F7ACB" w:rsidRDefault="005F7ACB" w:rsidP="005F7ACB">
            <w:pPr>
              <w:pStyle w:val="NormalWeb"/>
              <w:spacing w:before="0" w:beforeAutospacing="0" w:after="0" w:afterAutospacing="0"/>
              <w:rPr>
                <w:sz w:val="16"/>
                <w:szCs w:val="16"/>
              </w:rPr>
            </w:pPr>
            <w:r w:rsidRPr="005F7ACB">
              <w:rPr>
                <w:sz w:val="16"/>
                <w:szCs w:val="16"/>
              </w:rPr>
              <w:t>reference cases for all 5 SSPs and policy cases for 4 of 5 SSPs.</w:t>
            </w:r>
          </w:p>
          <w:p w:rsidR="005F7ACB" w:rsidRPr="005F7ACB" w:rsidRDefault="005F7ACB" w:rsidP="005F7ACB">
            <w:pPr>
              <w:pStyle w:val="NormalWeb"/>
              <w:spacing w:before="0" w:beforeAutospacing="0" w:after="0" w:afterAutospacing="0"/>
              <w:rPr>
                <w:sz w:val="16"/>
                <w:szCs w:val="16"/>
              </w:rPr>
            </w:pPr>
            <w:r w:rsidRPr="005F7ACB">
              <w:rPr>
                <w:sz w:val="16"/>
                <w:szCs w:val="16"/>
              </w:rPr>
              <w:t>!   However, the results using this release will not exactly match the official SSPs because the new release will use the most updated version of GCAM. The official SSPs branched from the core in December 2014 and include only limited updates to the model since that point.</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   We do plan to </w:t>
            </w:r>
            <w:r w:rsidRPr="005F7ACB">
              <w:rPr>
                <w:sz w:val="16"/>
                <w:szCs w:val="16"/>
              </w:rPr>
              <w:lastRenderedPageBreak/>
              <w:t>document the differences between the official GCAM SSPs and this release.</w:t>
            </w:r>
            <w:r w:rsidRPr="005F7ACB">
              <w:rPr>
                <w:sz w:val="16"/>
                <w:szCs w:val="16"/>
              </w:rPr>
              <w:fldChar w:fldCharType="begin"/>
            </w:r>
            <w:r w:rsidRPr="005F7ACB">
              <w:rPr>
                <w:sz w:val="16"/>
                <w:szCs w:val="16"/>
              </w:rPr>
              <w:instrText xml:space="preserve"> ADDIN ZOTERO_ITEM CSL_CITATION {"citationID":"zrEqfXw0","properties":{"formattedCitation":"\\super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p>
        </w:tc>
        <w:tc>
          <w:tcPr>
            <w:tcW w:w="991"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2524A" w:rsidRPr="00CA1D7D" w:rsidRDefault="0082524A" w:rsidP="0082524A">
            <w:pPr>
              <w:pStyle w:val="NormalWeb"/>
              <w:rPr>
                <w:sz w:val="16"/>
                <w:szCs w:val="16"/>
              </w:rPr>
            </w:pPr>
            <w:r w:rsidRPr="00CA1D7D">
              <w:rPr>
                <w:sz w:val="16"/>
                <w:szCs w:val="16"/>
              </w:rPr>
              <w:lastRenderedPageBreak/>
              <w:t xml:space="preserve">GCAM4 </w:t>
            </w:r>
          </w:p>
          <w:p w:rsidR="005F7ACB" w:rsidRPr="005F7ACB" w:rsidRDefault="005F7ACB" w:rsidP="005F7ACB">
            <w:pPr>
              <w:pStyle w:val="NormalWeb"/>
              <w:spacing w:before="0" w:beforeAutospacing="0" w:after="0" w:afterAutospacing="0"/>
              <w:rPr>
                <w:sz w:val="16"/>
                <w:szCs w:val="16"/>
              </w:rPr>
            </w:pPr>
          </w:p>
        </w:tc>
        <w:tc>
          <w:tcPr>
            <w:tcW w:w="530"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Pr="005F7ACB">
              <w:rPr>
                <w:sz w:val="16"/>
                <w:szCs w:val="16"/>
              </w:rPr>
              <w:instrText xml:space="preserve"> ADDIN ZOTERO_ITEM CSL_CITATION {"citationID":"UYedVd6f","properties":{"formattedCitation":"\\super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r w:rsidR="0082524A">
              <w:rPr>
                <w:sz w:val="16"/>
                <w:szCs w:val="16"/>
              </w:rPr>
              <w:t>,</w:t>
            </w:r>
            <w:r w:rsidR="0082524A">
              <w:rPr>
                <w:sz w:val="16"/>
                <w:szCs w:val="16"/>
              </w:rPr>
              <w:fldChar w:fldCharType="begin"/>
            </w:r>
            <w:r w:rsidR="0082524A">
              <w:rPr>
                <w:sz w:val="16"/>
                <w:szCs w:val="16"/>
              </w:rPr>
              <w:instrText xml:space="preserve"> ADDIN ZOTERO_ITEM CSL_CITATION {"citationID":"sd6GKFCT","properties":{"formattedCitation":"\\super 2\\nosupersub{}","plainCitation":"2","noteIndex":0},"citationItems":[{"id":464,"uris":["http://zotero.org/groups/2384940/items/6IMJZ2QL"],"uri":["http://zotero.org/groups/2384940/items/6IMJZ2QL"],"itemData":{"id":464,"type":"article-journal","title":"Scenarios towards limiting global mean temperature increase below 1.5 °C","container-title":"Nature Climate Change","page":"325-332","volume":"8","issue":"4","source":"DOI.org (Crossref)","DOI":"10.1038/s41558-018-0091-3","ISSN":"1758-678X, 1758-6798","journalAbbreviation":"Nature Clim Change","language":"en","author":[{"family":"Rogelj","given":"Joeri"},{"family":"Popp","given":"Alexander"},{"family":"Calvin","given":"Katherine V."},{"family":"Luderer","given":"Gunnar"},{"family":"Emmerling","given":"Johannes"},{"family":"Gernaat","given":"David"},{"family":"Fujimori","given":"Shinichiro"},{"family":"Strefler","given":"Jessica"},{"family":"Hasegawa","given":"Tomoko"},{"family":"Marangoni","given":"Giacomo"},{"family":"Krey","given":"Volker"},{"family":"Kriegler","given":"Elmar"},{"family":"Riahi","given":"Keywan"},{"family":"Vuuren","given":"Detlef P.","non-dropping-particle":"van"},{"family":"Doelman","given":"Jonathan"},{"family":"Drouet","given":"Laurent"},{"family":"Edmonds","given":"Jae"},{"family":"Fricko","given":"Oliver"},{"family":"Harmsen","given":"Mathijs"},{"family":"Havlík","given":"Petr"},{"family":"Humpenöder","given":"Florian"},{"family":"Stehfest","given":"Elke"},{"family":"Tavoni","given":"Massimo"}],"issued":{"date-parts":[["2018",4]]}}}],"schema":"https://github.com/citation-style-language/schema/raw/master/csl-citation.json"} </w:instrText>
            </w:r>
            <w:r w:rsidR="0082524A">
              <w:rPr>
                <w:sz w:val="16"/>
                <w:szCs w:val="16"/>
              </w:rPr>
              <w:fldChar w:fldCharType="separate"/>
            </w:r>
            <w:r w:rsidR="0082524A" w:rsidRPr="0082524A">
              <w:rPr>
                <w:sz w:val="16"/>
                <w:vertAlign w:val="superscript"/>
              </w:rPr>
              <w:t>2</w:t>
            </w:r>
            <w:r w:rsidR="0082524A">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SSP2</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Middle of the Road</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Current trends continue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Moderate population growth – 9 </w:t>
            </w:r>
            <w:proofErr w:type="spellStart"/>
            <w:r w:rsidRPr="005F7ACB">
              <w:rPr>
                <w:sz w:val="16"/>
                <w:szCs w:val="16"/>
              </w:rPr>
              <w:t>bln</w:t>
            </w:r>
            <w:proofErr w:type="spellEnd"/>
            <w:r w:rsidRPr="005F7ACB">
              <w:rPr>
                <w:sz w:val="16"/>
                <w:szCs w:val="16"/>
              </w:rPr>
              <w:t xml:space="preserve"> in 2100</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Slowly converging incomes between industrialized and developing countries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Delayed MDG achievement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Reductions in resource and energy intensity at historic rates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Environmental degradation</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Technical change on extraction cost (% per year): Coal </w:t>
            </w:r>
            <w:r w:rsidR="00B70622">
              <w:rPr>
                <w:sz w:val="16"/>
                <w:szCs w:val="16"/>
              </w:rPr>
              <w:t>–</w:t>
            </w:r>
            <w:r w:rsidRPr="005F7ACB">
              <w:rPr>
                <w:sz w:val="16"/>
                <w:szCs w:val="16"/>
              </w:rPr>
              <w:t xml:space="preserve"> 0.5%, Gas </w:t>
            </w:r>
            <w:r w:rsidR="00B70622">
              <w:rPr>
                <w:sz w:val="16"/>
                <w:szCs w:val="16"/>
              </w:rPr>
              <w:t>–</w:t>
            </w:r>
            <w:r w:rsidRPr="005F7ACB">
              <w:rPr>
                <w:sz w:val="16"/>
                <w:szCs w:val="16"/>
              </w:rPr>
              <w:t xml:space="preserve"> 0.5%, Conv. </w:t>
            </w:r>
            <w:r w:rsidR="00B70622" w:rsidRPr="005F7ACB">
              <w:rPr>
                <w:sz w:val="16"/>
                <w:szCs w:val="16"/>
              </w:rPr>
              <w:t>O</w:t>
            </w:r>
            <w:r w:rsidRPr="005F7ACB">
              <w:rPr>
                <w:sz w:val="16"/>
                <w:szCs w:val="16"/>
              </w:rPr>
              <w:t xml:space="preserve">il </w:t>
            </w:r>
            <w:r w:rsidR="00B70622">
              <w:rPr>
                <w:sz w:val="16"/>
                <w:szCs w:val="16"/>
              </w:rPr>
              <w:t>–</w:t>
            </w:r>
            <w:r w:rsidRPr="005F7ACB">
              <w:rPr>
                <w:sz w:val="16"/>
                <w:szCs w:val="16"/>
              </w:rPr>
              <w:t xml:space="preserve"> 0.5%, </w:t>
            </w:r>
            <w:proofErr w:type="spellStart"/>
            <w:r w:rsidRPr="005F7ACB">
              <w:rPr>
                <w:sz w:val="16"/>
                <w:szCs w:val="16"/>
              </w:rPr>
              <w:t>Unconv</w:t>
            </w:r>
            <w:proofErr w:type="spellEnd"/>
            <w:r w:rsidRPr="005F7ACB">
              <w:rPr>
                <w:sz w:val="16"/>
                <w:szCs w:val="16"/>
              </w:rPr>
              <w:t>. Oil – 0.5%.</w:t>
            </w:r>
          </w:p>
          <w:p w:rsidR="005F7ACB" w:rsidRPr="005F7ACB" w:rsidRDefault="005F7ACB" w:rsidP="005F7ACB">
            <w:pPr>
              <w:pStyle w:val="NormalWeb"/>
              <w:spacing w:before="0" w:beforeAutospacing="0" w:after="0" w:afterAutospacing="0"/>
              <w:rPr>
                <w:sz w:val="16"/>
                <w:szCs w:val="16"/>
              </w:rPr>
            </w:pPr>
          </w:p>
          <w:p w:rsidR="005F7ACB" w:rsidRDefault="005F7ACB" w:rsidP="005F7ACB">
            <w:pPr>
              <w:pStyle w:val="NormalWeb"/>
              <w:spacing w:before="0" w:beforeAutospacing="0" w:after="0" w:afterAutospacing="0"/>
              <w:rPr>
                <w:sz w:val="16"/>
                <w:szCs w:val="16"/>
              </w:rPr>
            </w:pPr>
            <w:r w:rsidRPr="005F7ACB">
              <w:rPr>
                <w:sz w:val="16"/>
                <w:szCs w:val="16"/>
              </w:rPr>
              <w:t xml:space="preserve">Cost Adder in 2100 ($/GJ): Coal - $0.27, Gas - $0.14, Conv. </w:t>
            </w:r>
            <w:r w:rsidR="00B70622" w:rsidRPr="005F7ACB">
              <w:rPr>
                <w:sz w:val="16"/>
                <w:szCs w:val="16"/>
              </w:rPr>
              <w:t>O</w:t>
            </w:r>
            <w:r w:rsidRPr="005F7ACB">
              <w:rPr>
                <w:sz w:val="16"/>
                <w:szCs w:val="16"/>
              </w:rPr>
              <w:t xml:space="preserve">il - $0.20, </w:t>
            </w:r>
            <w:proofErr w:type="spellStart"/>
            <w:r w:rsidRPr="005F7ACB">
              <w:rPr>
                <w:sz w:val="16"/>
                <w:szCs w:val="16"/>
              </w:rPr>
              <w:t>Unconv</w:t>
            </w:r>
            <w:proofErr w:type="spellEnd"/>
            <w:r w:rsidRPr="005F7ACB">
              <w:rPr>
                <w:sz w:val="16"/>
                <w:szCs w:val="16"/>
              </w:rPr>
              <w:t xml:space="preserve">. Oil - $0.21. </w:t>
            </w:r>
          </w:p>
          <w:p w:rsidR="00F62E7C" w:rsidRDefault="00F62E7C" w:rsidP="005F7ACB">
            <w:pPr>
              <w:pStyle w:val="NormalWeb"/>
              <w:spacing w:before="0" w:beforeAutospacing="0" w:after="0" w:afterAutospacing="0"/>
              <w:rPr>
                <w:sz w:val="16"/>
                <w:szCs w:val="16"/>
              </w:rPr>
            </w:pPr>
          </w:p>
          <w:p w:rsidR="00F62E7C" w:rsidRPr="005F7ACB" w:rsidRDefault="00F62E7C" w:rsidP="005F7ACB">
            <w:pPr>
              <w:pStyle w:val="NormalWeb"/>
              <w:spacing w:before="0" w:beforeAutospacing="0" w:after="0" w:afterAutospacing="0"/>
              <w:rPr>
                <w:sz w:val="16"/>
                <w:szCs w:val="16"/>
              </w:rPr>
            </w:pPr>
            <w:r>
              <w:rPr>
                <w:sz w:val="16"/>
                <w:szCs w:val="16"/>
              </w:rPr>
              <w:t>F</w:t>
            </w:r>
            <w:r w:rsidRPr="00F62E7C">
              <w:rPr>
                <w:sz w:val="16"/>
                <w:szCs w:val="16"/>
              </w:rPr>
              <w:t>inal energy demand in 2050 is limited to 10–40% above 2010 levels</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B70622" w:rsidRPr="00B70622" w:rsidRDefault="00B70622" w:rsidP="00B70622">
            <w:pPr>
              <w:pStyle w:val="NormalWeb"/>
              <w:spacing w:before="0" w:beforeAutospacing="0" w:after="0" w:afterAutospacing="0"/>
              <w:rPr>
                <w:b/>
                <w:bCs/>
                <w:sz w:val="16"/>
                <w:szCs w:val="16"/>
              </w:rPr>
            </w:pPr>
            <w:r w:rsidRPr="00B70622">
              <w:rPr>
                <w:b/>
                <w:bCs/>
                <w:sz w:val="16"/>
                <w:szCs w:val="16"/>
              </w:rPr>
              <w:t xml:space="preserve">Radiative forcing n 2100 </w:t>
            </w:r>
            <w:r>
              <w:rPr>
                <w:b/>
                <w:bCs/>
                <w:sz w:val="16"/>
                <w:szCs w:val="16"/>
              </w:rPr>
              <w:t>–</w:t>
            </w:r>
            <w:r w:rsidRPr="00B70622">
              <w:rPr>
                <w:b/>
                <w:bCs/>
                <w:sz w:val="16"/>
                <w:szCs w:val="16"/>
              </w:rPr>
              <w:t xml:space="preserve"> 1.9 W m</w:t>
            </w:r>
            <w:r w:rsidRPr="00B70622">
              <w:rPr>
                <w:b/>
                <w:bCs/>
                <w:sz w:val="16"/>
                <w:szCs w:val="16"/>
                <w:vertAlign w:val="superscript"/>
              </w:rPr>
              <w:t xml:space="preserve">−2 </w:t>
            </w:r>
          </w:p>
          <w:p w:rsidR="00B70622" w:rsidRDefault="00B70622" w:rsidP="00B70622">
            <w:pPr>
              <w:pStyle w:val="NormalWeb"/>
              <w:spacing w:before="0" w:beforeAutospacing="0" w:after="0" w:afterAutospacing="0"/>
              <w:rPr>
                <w:sz w:val="16"/>
                <w:szCs w:val="16"/>
              </w:rPr>
            </w:pPr>
          </w:p>
          <w:p w:rsidR="00B70622" w:rsidRDefault="00B70622" w:rsidP="00B70622">
            <w:pPr>
              <w:pStyle w:val="NormalWeb"/>
              <w:spacing w:before="0" w:beforeAutospacing="0" w:after="0" w:afterAutospacing="0"/>
              <w:rPr>
                <w:sz w:val="16"/>
                <w:szCs w:val="16"/>
              </w:rPr>
            </w:pPr>
            <w:r w:rsidRPr="00B70622">
              <w:rPr>
                <w:sz w:val="16"/>
                <w:szCs w:val="16"/>
              </w:rPr>
              <w:t>GHG emissions peak before 2030</w:t>
            </w:r>
          </w:p>
          <w:p w:rsidR="00B70622" w:rsidRDefault="00B70622" w:rsidP="00B70622">
            <w:pPr>
              <w:pStyle w:val="NormalWeb"/>
              <w:spacing w:before="0" w:beforeAutospacing="0" w:after="0" w:afterAutospacing="0"/>
              <w:rPr>
                <w:sz w:val="16"/>
                <w:szCs w:val="16"/>
              </w:rPr>
            </w:pPr>
          </w:p>
          <w:p w:rsidR="00B70622" w:rsidRDefault="00B70622" w:rsidP="00B70622">
            <w:pPr>
              <w:pStyle w:val="NormalWeb"/>
              <w:spacing w:before="0" w:beforeAutospacing="0" w:after="0" w:afterAutospacing="0"/>
              <w:rPr>
                <w:sz w:val="16"/>
                <w:szCs w:val="16"/>
              </w:rPr>
            </w:pPr>
            <w:r>
              <w:rPr>
                <w:sz w:val="16"/>
                <w:szCs w:val="16"/>
              </w:rPr>
              <w:t>Degrees of warming – 1.5C in 2100, E</w:t>
            </w:r>
            <w:r w:rsidRPr="001F592F">
              <w:rPr>
                <w:sz w:val="16"/>
                <w:szCs w:val="16"/>
              </w:rPr>
              <w:t>xceedance probability</w:t>
            </w:r>
            <w:r>
              <w:rPr>
                <w:sz w:val="16"/>
                <w:szCs w:val="16"/>
              </w:rPr>
              <w:t xml:space="preserve"> in 2100</w:t>
            </w:r>
            <w:r w:rsidRPr="001F592F">
              <w:rPr>
                <w:sz w:val="16"/>
                <w:szCs w:val="16"/>
              </w:rPr>
              <w:t xml:space="preserve"> (%)</w:t>
            </w:r>
            <w:r>
              <w:rPr>
                <w:sz w:val="16"/>
                <w:szCs w:val="16"/>
              </w:rPr>
              <w:t xml:space="preserve"> – 32 (GCAM4)</w:t>
            </w:r>
          </w:p>
          <w:p w:rsidR="00B70622" w:rsidRDefault="00B70622" w:rsidP="00B70622">
            <w:pPr>
              <w:pStyle w:val="NormalWeb"/>
              <w:spacing w:before="0" w:beforeAutospacing="0" w:after="0" w:afterAutospacing="0"/>
              <w:rPr>
                <w:sz w:val="16"/>
                <w:szCs w:val="16"/>
              </w:rPr>
            </w:pPr>
            <w:r>
              <w:rPr>
                <w:sz w:val="16"/>
                <w:szCs w:val="16"/>
              </w:rPr>
              <w:t>E</w:t>
            </w:r>
            <w:r w:rsidRPr="001F592F">
              <w:rPr>
                <w:sz w:val="16"/>
                <w:szCs w:val="16"/>
              </w:rPr>
              <w:t>xceedance probability</w:t>
            </w:r>
            <w:r>
              <w:rPr>
                <w:sz w:val="16"/>
                <w:szCs w:val="16"/>
              </w:rPr>
              <w:t xml:space="preserve"> over 21</w:t>
            </w:r>
            <w:r w:rsidRPr="00B70622">
              <w:rPr>
                <w:sz w:val="16"/>
                <w:szCs w:val="16"/>
                <w:vertAlign w:val="superscript"/>
              </w:rPr>
              <w:t>st</w:t>
            </w:r>
            <w:r>
              <w:rPr>
                <w:sz w:val="16"/>
                <w:szCs w:val="16"/>
              </w:rPr>
              <w:t xml:space="preserve"> century</w:t>
            </w:r>
            <w:r w:rsidRPr="001F592F">
              <w:rPr>
                <w:sz w:val="16"/>
                <w:szCs w:val="16"/>
              </w:rPr>
              <w:t xml:space="preserve"> (%)</w:t>
            </w:r>
            <w:r>
              <w:rPr>
                <w:sz w:val="16"/>
                <w:szCs w:val="16"/>
              </w:rPr>
              <w:t xml:space="preserve"> – 81 (GCAM4)</w:t>
            </w:r>
          </w:p>
          <w:p w:rsidR="00DB66A8" w:rsidRDefault="00B70622" w:rsidP="00B70622">
            <w:pPr>
              <w:pStyle w:val="NormalWeb"/>
              <w:spacing w:before="0" w:beforeAutospacing="0" w:after="0" w:afterAutospacing="0"/>
              <w:rPr>
                <w:sz w:val="16"/>
                <w:szCs w:val="16"/>
              </w:rPr>
            </w:pPr>
            <w:r>
              <w:rPr>
                <w:sz w:val="16"/>
                <w:szCs w:val="16"/>
              </w:rPr>
              <w:t>Degrees of warming – 2C in 2100, E</w:t>
            </w:r>
            <w:r w:rsidRPr="001F592F">
              <w:rPr>
                <w:sz w:val="16"/>
                <w:szCs w:val="16"/>
              </w:rPr>
              <w:t>xceedance probability</w:t>
            </w:r>
            <w:r>
              <w:rPr>
                <w:sz w:val="16"/>
                <w:szCs w:val="16"/>
              </w:rPr>
              <w:t xml:space="preserve"> over 21</w:t>
            </w:r>
            <w:r w:rsidRPr="00B70622">
              <w:rPr>
                <w:sz w:val="16"/>
                <w:szCs w:val="16"/>
                <w:vertAlign w:val="superscript"/>
              </w:rPr>
              <w:t>st</w:t>
            </w:r>
            <w:r>
              <w:rPr>
                <w:sz w:val="16"/>
                <w:szCs w:val="16"/>
              </w:rPr>
              <w:t xml:space="preserve"> century</w:t>
            </w:r>
            <w:r w:rsidRPr="001F592F">
              <w:rPr>
                <w:sz w:val="16"/>
                <w:szCs w:val="16"/>
              </w:rPr>
              <w:t xml:space="preserve"> (%)</w:t>
            </w:r>
            <w:r>
              <w:rPr>
                <w:sz w:val="16"/>
                <w:szCs w:val="16"/>
              </w:rPr>
              <w:t xml:space="preserve"> – 23 (GCAM4)</w:t>
            </w:r>
          </w:p>
          <w:p w:rsidR="00DB66A8" w:rsidRDefault="00DB66A8" w:rsidP="00DB66A8">
            <w:pPr>
              <w:pStyle w:val="NormalWeb"/>
              <w:spacing w:before="0" w:beforeAutospacing="0" w:after="0" w:afterAutospacing="0"/>
              <w:rPr>
                <w:sz w:val="16"/>
                <w:szCs w:val="16"/>
              </w:rPr>
            </w:pPr>
          </w:p>
          <w:p w:rsidR="00F62E7C" w:rsidRDefault="00F62E7C" w:rsidP="00F62E7C">
            <w:pPr>
              <w:pStyle w:val="NormalWeb"/>
              <w:spacing w:before="0" w:beforeAutospacing="0" w:after="0" w:afterAutospacing="0"/>
              <w:rPr>
                <w:sz w:val="16"/>
                <w:szCs w:val="16"/>
              </w:rPr>
            </w:pPr>
            <w:r w:rsidRPr="00F62E7C">
              <w:rPr>
                <w:sz w:val="16"/>
                <w:szCs w:val="16"/>
              </w:rPr>
              <w:t xml:space="preserve">Global non-CO2 emissions in 2100 (GtCO2-eq </w:t>
            </w:r>
            <w:proofErr w:type="spellStart"/>
            <w:r w:rsidRPr="00F62E7C">
              <w:rPr>
                <w:sz w:val="16"/>
                <w:szCs w:val="16"/>
              </w:rPr>
              <w:t>yr</w:t>
            </w:r>
            <w:proofErr w:type="spellEnd"/>
            <w:r w:rsidRPr="00F62E7C">
              <w:rPr>
                <w:sz w:val="16"/>
                <w:szCs w:val="16"/>
              </w:rPr>
              <w:t>–1)</w:t>
            </w:r>
            <w:r>
              <w:rPr>
                <w:sz w:val="16"/>
                <w:szCs w:val="16"/>
              </w:rPr>
              <w:t>:</w:t>
            </w:r>
          </w:p>
          <w:p w:rsidR="00F62E7C" w:rsidRDefault="00F62E7C" w:rsidP="00F62E7C">
            <w:pPr>
              <w:pStyle w:val="NormalWeb"/>
              <w:spacing w:before="0" w:beforeAutospacing="0" w:after="0" w:afterAutospacing="0"/>
              <w:rPr>
                <w:sz w:val="16"/>
                <w:szCs w:val="16"/>
              </w:rPr>
            </w:pPr>
            <w:r>
              <w:rPr>
                <w:sz w:val="16"/>
                <w:szCs w:val="16"/>
              </w:rPr>
              <w:t xml:space="preserve">1) N2O – </w:t>
            </w:r>
            <w:r>
              <w:rPr>
                <w:sz w:val="16"/>
                <w:szCs w:val="16"/>
              </w:rPr>
              <w:t>4</w:t>
            </w:r>
            <w:r>
              <w:rPr>
                <w:sz w:val="16"/>
                <w:szCs w:val="16"/>
              </w:rPr>
              <w:t xml:space="preserve"> (GCAM)</w:t>
            </w:r>
          </w:p>
          <w:p w:rsidR="00F62E7C" w:rsidRDefault="00F62E7C" w:rsidP="00DB66A8">
            <w:pPr>
              <w:pStyle w:val="NormalWeb"/>
              <w:spacing w:before="0" w:beforeAutospacing="0" w:after="0" w:afterAutospacing="0"/>
              <w:rPr>
                <w:sz w:val="16"/>
                <w:szCs w:val="16"/>
              </w:rPr>
            </w:pPr>
            <w:r>
              <w:rPr>
                <w:sz w:val="16"/>
                <w:szCs w:val="16"/>
              </w:rPr>
              <w:t xml:space="preserve">2) CH4 – </w:t>
            </w:r>
            <w:r>
              <w:rPr>
                <w:sz w:val="16"/>
                <w:szCs w:val="16"/>
              </w:rPr>
              <w:t>6</w:t>
            </w:r>
            <w:r>
              <w:rPr>
                <w:sz w:val="16"/>
                <w:szCs w:val="16"/>
              </w:rPr>
              <w:t xml:space="preserve"> (GCAM)</w:t>
            </w:r>
          </w:p>
          <w:p w:rsidR="00F62E7C" w:rsidRDefault="00F62E7C" w:rsidP="00F62E7C">
            <w:pPr>
              <w:pStyle w:val="NormalWeb"/>
              <w:spacing w:before="0" w:beforeAutospacing="0" w:after="0" w:afterAutospacing="0"/>
              <w:rPr>
                <w:sz w:val="16"/>
                <w:szCs w:val="16"/>
              </w:rPr>
            </w:pPr>
            <w:r>
              <w:rPr>
                <w:sz w:val="16"/>
                <w:szCs w:val="16"/>
              </w:rPr>
              <w:t>Mainly from agriculture</w:t>
            </w:r>
          </w:p>
          <w:p w:rsidR="00F62E7C" w:rsidRDefault="00F62E7C" w:rsidP="00DB66A8">
            <w:pPr>
              <w:pStyle w:val="NormalWeb"/>
              <w:spacing w:before="0" w:beforeAutospacing="0" w:after="0" w:afterAutospacing="0"/>
              <w:rPr>
                <w:sz w:val="16"/>
                <w:szCs w:val="16"/>
              </w:rPr>
            </w:pPr>
          </w:p>
          <w:p w:rsidR="00B41ECD" w:rsidRDefault="00B41ECD" w:rsidP="00B41ECD">
            <w:pPr>
              <w:pStyle w:val="NormalWeb"/>
              <w:spacing w:before="0" w:beforeAutospacing="0" w:after="0" w:afterAutospacing="0"/>
              <w:rPr>
                <w:sz w:val="16"/>
                <w:szCs w:val="16"/>
              </w:rPr>
            </w:pPr>
            <w:r w:rsidRPr="00F62E7C">
              <w:rPr>
                <w:sz w:val="16"/>
                <w:szCs w:val="16"/>
              </w:rPr>
              <w:lastRenderedPageBreak/>
              <w:t>Bioenergy is used in large amounts and this can raise concerns for food security or biodiversity</w:t>
            </w:r>
            <w:r>
              <w:rPr>
                <w:sz w:val="16"/>
                <w:szCs w:val="16"/>
              </w:rPr>
              <w:t xml:space="preserve">. </w:t>
            </w:r>
            <w:r w:rsidRPr="00B41ECD">
              <w:rPr>
                <w:sz w:val="16"/>
                <w:szCs w:val="16"/>
              </w:rPr>
              <w:t>Bioenergy use is increased by 1–5% per year between 2020 and 2050</w:t>
            </w:r>
          </w:p>
          <w:p w:rsidR="00B41ECD" w:rsidRDefault="00B41ECD" w:rsidP="00DB66A8">
            <w:pPr>
              <w:pStyle w:val="NormalWeb"/>
              <w:spacing w:before="0" w:beforeAutospacing="0" w:after="0" w:afterAutospacing="0"/>
              <w:rPr>
                <w:sz w:val="16"/>
                <w:szCs w:val="16"/>
              </w:rPr>
            </w:pPr>
          </w:p>
          <w:p w:rsidR="00452D79" w:rsidRDefault="00452D79" w:rsidP="00452D79">
            <w:pPr>
              <w:pStyle w:val="NormalWeb"/>
              <w:spacing w:before="0" w:beforeAutospacing="0" w:after="0" w:afterAutospacing="0"/>
              <w:rPr>
                <w:sz w:val="16"/>
                <w:szCs w:val="16"/>
              </w:rPr>
            </w:pPr>
            <w:r w:rsidRPr="00452D79">
              <w:rPr>
                <w:sz w:val="16"/>
                <w:szCs w:val="16"/>
              </w:rPr>
              <w:t>Cumulative CO2 emission reduction from baseline in the 2020–2100 period for the 1.9 W m–2 scenarios (GtCO2)</w:t>
            </w:r>
            <w:r>
              <w:rPr>
                <w:sz w:val="16"/>
                <w:szCs w:val="16"/>
              </w:rPr>
              <w:t xml:space="preserve"> – </w:t>
            </w:r>
            <w:r>
              <w:rPr>
                <w:sz w:val="16"/>
                <w:szCs w:val="16"/>
              </w:rPr>
              <w:t>5</w:t>
            </w:r>
            <w:r>
              <w:rPr>
                <w:sz w:val="16"/>
                <w:szCs w:val="16"/>
              </w:rPr>
              <w:t>,4</w:t>
            </w:r>
            <w:r>
              <w:rPr>
                <w:sz w:val="16"/>
                <w:szCs w:val="16"/>
              </w:rPr>
              <w:t>5</w:t>
            </w:r>
            <w:r>
              <w:rPr>
                <w:sz w:val="16"/>
                <w:szCs w:val="16"/>
              </w:rPr>
              <w:t>0 (GCAM)</w:t>
            </w:r>
          </w:p>
          <w:p w:rsidR="00F62E7C" w:rsidRDefault="00F62E7C" w:rsidP="00DB66A8">
            <w:pPr>
              <w:pStyle w:val="NormalWeb"/>
              <w:spacing w:before="0" w:beforeAutospacing="0" w:after="0" w:afterAutospacing="0"/>
              <w:rPr>
                <w:sz w:val="16"/>
                <w:szCs w:val="16"/>
              </w:rPr>
            </w:pPr>
          </w:p>
          <w:p w:rsidR="00DB66A8" w:rsidRDefault="00DB66A8" w:rsidP="00DB66A8">
            <w:pPr>
              <w:pStyle w:val="NormalWeb"/>
              <w:spacing w:before="0" w:beforeAutospacing="0" w:after="0" w:afterAutospacing="0"/>
              <w:rPr>
                <w:sz w:val="16"/>
                <w:szCs w:val="16"/>
              </w:rPr>
            </w:pPr>
            <w:r w:rsidRPr="00B41ECD">
              <w:rPr>
                <w:b/>
                <w:bCs/>
                <w:sz w:val="16"/>
                <w:szCs w:val="16"/>
              </w:rPr>
              <w:t>Global CO2 emissions and radiative forcing of SSP scenarios with the selected CMIP6</w:t>
            </w:r>
            <w:r w:rsidRPr="00DB66A8">
              <w:rPr>
                <w:sz w:val="16"/>
                <w:szCs w:val="16"/>
              </w:rPr>
              <w:t xml:space="preserve"> </w:t>
            </w:r>
            <w:r w:rsidRPr="00B41ECD">
              <w:rPr>
                <w:b/>
                <w:bCs/>
                <w:sz w:val="16"/>
                <w:szCs w:val="16"/>
              </w:rPr>
              <w:t>Scenario MIP subset in 2100:</w:t>
            </w:r>
          </w:p>
          <w:p w:rsidR="00DB66A8" w:rsidRDefault="00DB66A8" w:rsidP="00DB66A8">
            <w:pPr>
              <w:pStyle w:val="NormalWeb"/>
              <w:spacing w:before="0" w:beforeAutospacing="0" w:after="0" w:afterAutospacing="0"/>
              <w:rPr>
                <w:sz w:val="16"/>
                <w:szCs w:val="16"/>
              </w:rPr>
            </w:pPr>
          </w:p>
          <w:p w:rsidR="00DB66A8" w:rsidRDefault="00DB66A8" w:rsidP="00DB66A8">
            <w:pPr>
              <w:pStyle w:val="NormalWeb"/>
              <w:spacing w:before="0" w:beforeAutospacing="0" w:after="0" w:afterAutospacing="0"/>
              <w:rPr>
                <w:sz w:val="16"/>
                <w:szCs w:val="16"/>
              </w:rPr>
            </w:pPr>
            <w:r>
              <w:rPr>
                <w:sz w:val="16"/>
                <w:szCs w:val="16"/>
              </w:rPr>
              <w:t>1) R</w:t>
            </w:r>
            <w:r w:rsidRPr="0082524A">
              <w:rPr>
                <w:sz w:val="16"/>
                <w:szCs w:val="16"/>
              </w:rPr>
              <w:t xml:space="preserve">adiative forcing </w:t>
            </w:r>
            <w:r>
              <w:rPr>
                <w:sz w:val="16"/>
                <w:szCs w:val="16"/>
              </w:rPr>
              <w:t>n 2100 - 4</w:t>
            </w:r>
            <w:r w:rsidRPr="0082524A">
              <w:rPr>
                <w:sz w:val="16"/>
                <w:szCs w:val="16"/>
              </w:rPr>
              <w:t>.</w:t>
            </w:r>
            <w:r>
              <w:rPr>
                <w:sz w:val="16"/>
                <w:szCs w:val="16"/>
              </w:rPr>
              <w:t>5</w:t>
            </w:r>
            <w:r w:rsidRPr="0082524A">
              <w:rPr>
                <w:sz w:val="16"/>
                <w:szCs w:val="16"/>
              </w:rPr>
              <w:t xml:space="preserve"> W m</w:t>
            </w:r>
            <w:r w:rsidRPr="0082524A">
              <w:rPr>
                <w:sz w:val="16"/>
                <w:szCs w:val="16"/>
                <w:vertAlign w:val="superscript"/>
              </w:rPr>
              <w:t>−2</w:t>
            </w:r>
            <w:r>
              <w:rPr>
                <w:sz w:val="16"/>
                <w:szCs w:val="16"/>
                <w:vertAlign w:val="superscript"/>
              </w:rPr>
              <w:t xml:space="preserve"> </w:t>
            </w:r>
          </w:p>
          <w:p w:rsidR="00DB66A8" w:rsidRDefault="00DB66A8" w:rsidP="00DB66A8">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10</w:t>
            </w:r>
          </w:p>
          <w:p w:rsidR="00DB66A8" w:rsidRDefault="00DB66A8" w:rsidP="00DB66A8">
            <w:pPr>
              <w:pStyle w:val="NormalWeb"/>
              <w:spacing w:before="0" w:beforeAutospacing="0" w:after="0" w:afterAutospacing="0"/>
              <w:rPr>
                <w:sz w:val="16"/>
                <w:szCs w:val="16"/>
              </w:rPr>
            </w:pPr>
          </w:p>
          <w:p w:rsidR="005F7ACB" w:rsidRPr="005F7ACB" w:rsidRDefault="005F7ACB" w:rsidP="00DB66A8">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A503AB" w:rsidRPr="00B70622" w:rsidRDefault="00A503AB" w:rsidP="00A503AB">
            <w:pPr>
              <w:pStyle w:val="NormalWeb"/>
              <w:spacing w:before="0" w:beforeAutospacing="0" w:after="0" w:afterAutospacing="0"/>
              <w:rPr>
                <w:b/>
                <w:bCs/>
                <w:sz w:val="16"/>
                <w:szCs w:val="16"/>
              </w:rPr>
            </w:pPr>
            <w:r w:rsidRPr="00B70622">
              <w:rPr>
                <w:b/>
                <w:bCs/>
                <w:sz w:val="16"/>
                <w:szCs w:val="16"/>
              </w:rPr>
              <w:lastRenderedPageBreak/>
              <w:t>Radiative forcing n 2100 - 1.9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- 20-30$/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2</w:t>
            </w:r>
            <w:r w:rsidRPr="00B70622">
              <w:rPr>
                <w:b/>
                <w:bCs/>
                <w:sz w:val="16"/>
                <w:szCs w:val="16"/>
              </w:rPr>
              <w:t>.</w:t>
            </w:r>
            <w:r>
              <w:rPr>
                <w:b/>
                <w:bCs/>
                <w:sz w:val="16"/>
                <w:szCs w:val="16"/>
              </w:rPr>
              <w:t>6</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10</w:t>
            </w:r>
            <w:r>
              <w:rPr>
                <w:sz w:val="16"/>
                <w:szCs w:val="16"/>
              </w:rPr>
              <w:t>-</w:t>
            </w:r>
            <w:r>
              <w:rPr>
                <w:sz w:val="16"/>
                <w:szCs w:val="16"/>
              </w:rPr>
              <w:t>2</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3</w:t>
            </w:r>
            <w:r w:rsidRPr="00B70622">
              <w:rPr>
                <w:b/>
                <w:bCs/>
                <w:sz w:val="16"/>
                <w:szCs w:val="16"/>
              </w:rPr>
              <w:t>.</w:t>
            </w:r>
            <w:r>
              <w:rPr>
                <w:b/>
                <w:bCs/>
                <w:sz w:val="16"/>
                <w:szCs w:val="16"/>
              </w:rPr>
              <w:t>4</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5</w:t>
            </w:r>
            <w:r>
              <w:rPr>
                <w:sz w:val="16"/>
                <w:szCs w:val="16"/>
              </w:rPr>
              <w:t>-</w:t>
            </w:r>
            <w:r>
              <w:rPr>
                <w:sz w:val="16"/>
                <w:szCs w:val="16"/>
              </w:rPr>
              <w:t>10</w:t>
            </w:r>
            <w:r>
              <w:rPr>
                <w:sz w:val="16"/>
                <w:szCs w:val="16"/>
              </w:rPr>
              <w:t>$/</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4</w:t>
            </w:r>
            <w:r w:rsidRPr="00B70622">
              <w:rPr>
                <w:b/>
                <w:bCs/>
                <w:sz w:val="16"/>
                <w:szCs w:val="16"/>
              </w:rPr>
              <w:t>.</w:t>
            </w:r>
            <w:r>
              <w:rPr>
                <w:b/>
                <w:bCs/>
                <w:sz w:val="16"/>
                <w:szCs w:val="16"/>
              </w:rPr>
              <w:t>5</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5</w:t>
            </w:r>
            <w:r>
              <w:rPr>
                <w:sz w:val="16"/>
                <w:szCs w:val="16"/>
              </w:rPr>
              <w:t>-</w:t>
            </w:r>
            <w:r>
              <w:rPr>
                <w:sz w:val="16"/>
                <w:szCs w:val="16"/>
              </w:rPr>
              <w:t>10</w:t>
            </w:r>
            <w:r>
              <w:rPr>
                <w:sz w:val="16"/>
                <w:szCs w:val="16"/>
              </w:rPr>
              <w:t>$/</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lastRenderedPageBreak/>
              <w:t xml:space="preserve">Radiative forcing n 2100 - </w:t>
            </w:r>
            <w:r>
              <w:rPr>
                <w:b/>
                <w:bCs/>
                <w:sz w:val="16"/>
                <w:szCs w:val="16"/>
              </w:rPr>
              <w:t>6</w:t>
            </w:r>
            <w:r w:rsidRPr="00B70622">
              <w:rPr>
                <w:b/>
                <w:bCs/>
                <w:sz w:val="16"/>
                <w:szCs w:val="16"/>
              </w:rPr>
              <w:t>.</w:t>
            </w:r>
            <w:r>
              <w:rPr>
                <w:b/>
                <w:bCs/>
                <w:sz w:val="16"/>
                <w:szCs w:val="16"/>
              </w:rPr>
              <w:t>0</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1</w:t>
            </w:r>
            <w:r>
              <w:rPr>
                <w:sz w:val="16"/>
                <w:szCs w:val="16"/>
              </w:rPr>
              <w:t>-</w:t>
            </w:r>
            <w:r>
              <w:rPr>
                <w:sz w:val="16"/>
                <w:szCs w:val="16"/>
              </w:rPr>
              <w:t>2</w:t>
            </w:r>
            <w:r>
              <w:rPr>
                <w:sz w:val="16"/>
                <w:szCs w:val="16"/>
              </w:rPr>
              <w:t>$/</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A503AB" w:rsidP="005F7ACB">
            <w:pPr>
              <w:pStyle w:val="NormalWeb"/>
              <w:spacing w:before="0" w:beforeAutospacing="0" w:after="0" w:afterAutospacing="0"/>
              <w:rPr>
                <w:sz w:val="16"/>
                <w:szCs w:val="16"/>
              </w:rPr>
            </w:pPr>
            <w:r>
              <w:rPr>
                <w:sz w:val="16"/>
                <w:szCs w:val="16"/>
              </w:rPr>
              <w:lastRenderedPageBreak/>
              <w:t>2020-2100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Default="00B41ECD" w:rsidP="005F7ACB">
            <w:pPr>
              <w:pStyle w:val="NormalWeb"/>
              <w:spacing w:before="0" w:beforeAutospacing="0" w:after="0" w:afterAutospacing="0"/>
              <w:rPr>
                <w:sz w:val="16"/>
                <w:szCs w:val="16"/>
              </w:rPr>
            </w:pPr>
            <w:r w:rsidRPr="00B41ECD">
              <w:rPr>
                <w:sz w:val="16"/>
                <w:szCs w:val="16"/>
              </w:rPr>
              <w:t xml:space="preserve">BECCS deployment over the twenty-first century </w:t>
            </w:r>
            <w:r>
              <w:rPr>
                <w:sz w:val="16"/>
                <w:szCs w:val="16"/>
              </w:rPr>
              <w:t xml:space="preserve">- </w:t>
            </w:r>
            <w:r>
              <w:rPr>
                <w:sz w:val="16"/>
                <w:szCs w:val="16"/>
              </w:rPr>
              <w:t>400</w:t>
            </w:r>
            <w:r w:rsidRPr="00B41ECD">
              <w:rPr>
                <w:sz w:val="16"/>
                <w:szCs w:val="16"/>
              </w:rPr>
              <w:t>–</w:t>
            </w:r>
            <w:r>
              <w:rPr>
                <w:sz w:val="16"/>
                <w:szCs w:val="16"/>
              </w:rPr>
              <w:t>975</w:t>
            </w:r>
            <w:r w:rsidRPr="00B41ECD">
              <w:rPr>
                <w:sz w:val="16"/>
                <w:szCs w:val="16"/>
              </w:rPr>
              <w:t>GtCO2</w:t>
            </w:r>
          </w:p>
          <w:p w:rsidR="00452D79" w:rsidRDefault="00452D79" w:rsidP="005F7ACB">
            <w:pPr>
              <w:pStyle w:val="NormalWeb"/>
              <w:spacing w:before="0" w:beforeAutospacing="0" w:after="0" w:afterAutospacing="0"/>
              <w:rPr>
                <w:sz w:val="16"/>
                <w:szCs w:val="16"/>
              </w:rPr>
            </w:pPr>
          </w:p>
          <w:p w:rsidR="00452D79" w:rsidRPr="005F7ACB" w:rsidRDefault="00452D79" w:rsidP="005F7ACB">
            <w:pPr>
              <w:pStyle w:val="NormalWeb"/>
              <w:spacing w:before="0" w:beforeAutospacing="0" w:after="0" w:afterAutospacing="0"/>
              <w:rPr>
                <w:sz w:val="16"/>
                <w:szCs w:val="16"/>
              </w:rPr>
            </w:pPr>
            <w:r w:rsidRPr="00452D79">
              <w:rPr>
                <w:sz w:val="16"/>
                <w:szCs w:val="16"/>
              </w:rPr>
              <w:t xml:space="preserve">Average annual CO2 storage from BECCS for the 1.9 W m–2 scenarios for the 2020–2100 period (GtCO2 </w:t>
            </w:r>
            <w:proofErr w:type="spellStart"/>
            <w:r w:rsidRPr="00452D79">
              <w:rPr>
                <w:sz w:val="16"/>
                <w:szCs w:val="16"/>
              </w:rPr>
              <w:t>yr</w:t>
            </w:r>
            <w:proofErr w:type="spellEnd"/>
            <w:r w:rsidRPr="00452D79">
              <w:rPr>
                <w:sz w:val="16"/>
                <w:szCs w:val="16"/>
              </w:rPr>
              <w:t>–1)</w:t>
            </w:r>
            <w:r>
              <w:rPr>
                <w:sz w:val="16"/>
                <w:szCs w:val="16"/>
              </w:rPr>
              <w:t xml:space="preserve"> – </w:t>
            </w:r>
            <w:r>
              <w:rPr>
                <w:sz w:val="16"/>
                <w:szCs w:val="16"/>
              </w:rPr>
              <w:t>12</w:t>
            </w:r>
            <w:r>
              <w:rPr>
                <w:sz w:val="16"/>
                <w:szCs w:val="16"/>
              </w:rPr>
              <w:t xml:space="preserve"> (GCAM)</w:t>
            </w: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Pr="005F7ACB">
              <w:rPr>
                <w:sz w:val="16"/>
                <w:szCs w:val="16"/>
              </w:rPr>
              <w:instrText xml:space="preserve"> ADDIN ZOTERO_ITEM CSL_CITATION {"citationID":"RiqPutYX","properties":{"formattedCitation":"\\super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SSP3</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ind w:left="167"/>
              <w:rPr>
                <w:sz w:val="16"/>
                <w:szCs w:val="16"/>
              </w:rPr>
            </w:pPr>
            <w:r w:rsidRPr="005F7ACB">
              <w:rPr>
                <w:sz w:val="16"/>
                <w:szCs w:val="16"/>
              </w:rPr>
              <w:t>Fragmentation</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Rapid population growth – 12.7 </w:t>
            </w:r>
            <w:proofErr w:type="spellStart"/>
            <w:r w:rsidRPr="005F7ACB">
              <w:rPr>
                <w:sz w:val="16"/>
                <w:szCs w:val="16"/>
              </w:rPr>
              <w:t>bln</w:t>
            </w:r>
            <w:proofErr w:type="spellEnd"/>
            <w:r w:rsidRPr="005F7ACB">
              <w:rPr>
                <w:sz w:val="16"/>
                <w:szCs w:val="16"/>
              </w:rPr>
              <w:t xml:space="preserve"> in 2100</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Slow economic growth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Failing to achieve MDG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High resource intensity and fossil fuel dependency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Low investments in technology development and education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Unplanned settlements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Weak int’l governance and local institutions</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Technical change on extraction cost (% per year): Coal – 1.0%, Gas - 0.5%, Conv. oil - 0.5%, </w:t>
            </w:r>
            <w:proofErr w:type="spellStart"/>
            <w:r w:rsidRPr="005F7ACB">
              <w:rPr>
                <w:sz w:val="16"/>
                <w:szCs w:val="16"/>
              </w:rPr>
              <w:t>Unconv</w:t>
            </w:r>
            <w:proofErr w:type="spellEnd"/>
            <w:r w:rsidRPr="005F7ACB">
              <w:rPr>
                <w:sz w:val="16"/>
                <w:szCs w:val="16"/>
              </w:rPr>
              <w:t>. Oil – 0.5%.</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Cost Adder in 2100 ($/GJ): Coal - $0.0, Gas - $0.14, Conv. oil - $0.20, </w:t>
            </w:r>
            <w:proofErr w:type="spellStart"/>
            <w:r w:rsidRPr="005F7ACB">
              <w:rPr>
                <w:sz w:val="16"/>
                <w:szCs w:val="16"/>
              </w:rPr>
              <w:t>Unconv</w:t>
            </w:r>
            <w:proofErr w:type="spellEnd"/>
            <w:r w:rsidRPr="005F7ACB">
              <w:rPr>
                <w:sz w:val="16"/>
                <w:szCs w:val="16"/>
              </w:rPr>
              <w:t xml:space="preserve">. Oil - $0.21. </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7E6C65" w:rsidRDefault="007E6C65" w:rsidP="00DB66A8">
            <w:pPr>
              <w:pStyle w:val="NormalWeb"/>
              <w:spacing w:before="0" w:beforeAutospacing="0" w:after="0" w:afterAutospacing="0"/>
              <w:rPr>
                <w:sz w:val="16"/>
                <w:szCs w:val="16"/>
              </w:rPr>
            </w:pPr>
            <w:r w:rsidRPr="007E6C65">
              <w:rPr>
                <w:sz w:val="16"/>
                <w:szCs w:val="16"/>
              </w:rPr>
              <w:t>Radiative forcing n 2100 - 2.6 W m−2</w:t>
            </w:r>
            <w:r>
              <w:rPr>
                <w:sz w:val="16"/>
                <w:szCs w:val="16"/>
              </w:rPr>
              <w:t xml:space="preserve"> is </w:t>
            </w:r>
            <w:proofErr w:type="spellStart"/>
            <w:r>
              <w:rPr>
                <w:sz w:val="16"/>
                <w:szCs w:val="16"/>
              </w:rPr>
              <w:t>unachievebale</w:t>
            </w:r>
            <w:proofErr w:type="spellEnd"/>
          </w:p>
          <w:p w:rsidR="007E6C65" w:rsidRDefault="007E6C65" w:rsidP="00DB66A8">
            <w:pPr>
              <w:pStyle w:val="NormalWeb"/>
              <w:spacing w:before="0" w:beforeAutospacing="0" w:after="0" w:afterAutospacing="0"/>
              <w:rPr>
                <w:sz w:val="16"/>
                <w:szCs w:val="16"/>
              </w:rPr>
            </w:pPr>
          </w:p>
          <w:p w:rsidR="00DB66A8" w:rsidRPr="007E6C65" w:rsidRDefault="00DB66A8" w:rsidP="00DB66A8">
            <w:pPr>
              <w:pStyle w:val="NormalWeb"/>
              <w:spacing w:before="0" w:beforeAutospacing="0" w:after="0" w:afterAutospacing="0"/>
              <w:rPr>
                <w:b/>
                <w:bCs/>
                <w:sz w:val="16"/>
                <w:szCs w:val="16"/>
              </w:rPr>
            </w:pPr>
            <w:r w:rsidRPr="007E6C65">
              <w:rPr>
                <w:b/>
                <w:bCs/>
                <w:sz w:val="16"/>
                <w:szCs w:val="16"/>
              </w:rPr>
              <w:t>Global CO2 emissions and radiative forcing of SSP scenarios with the selected CMIP6 Scenario MIP subset in 2100:</w:t>
            </w:r>
          </w:p>
          <w:p w:rsidR="00DB66A8" w:rsidRDefault="00DB66A8" w:rsidP="00DB66A8">
            <w:pPr>
              <w:pStyle w:val="NormalWeb"/>
              <w:spacing w:before="0" w:beforeAutospacing="0" w:after="0" w:afterAutospacing="0"/>
              <w:rPr>
                <w:sz w:val="16"/>
                <w:szCs w:val="16"/>
              </w:rPr>
            </w:pPr>
          </w:p>
          <w:p w:rsidR="00DB66A8" w:rsidRDefault="00DB66A8" w:rsidP="00DB66A8">
            <w:pPr>
              <w:pStyle w:val="NormalWeb"/>
              <w:spacing w:before="0" w:beforeAutospacing="0" w:after="0" w:afterAutospacing="0"/>
              <w:rPr>
                <w:sz w:val="16"/>
                <w:szCs w:val="16"/>
              </w:rPr>
            </w:pPr>
            <w:r>
              <w:rPr>
                <w:sz w:val="16"/>
                <w:szCs w:val="16"/>
              </w:rPr>
              <w:t>1) R</w:t>
            </w:r>
            <w:r w:rsidRPr="0082524A">
              <w:rPr>
                <w:sz w:val="16"/>
                <w:szCs w:val="16"/>
              </w:rPr>
              <w:t xml:space="preserve">adiative forcing </w:t>
            </w:r>
            <w:r>
              <w:rPr>
                <w:sz w:val="16"/>
                <w:szCs w:val="16"/>
              </w:rPr>
              <w:t>n 2100 - 7</w:t>
            </w:r>
            <w:r w:rsidRPr="0082524A">
              <w:rPr>
                <w:sz w:val="16"/>
                <w:szCs w:val="16"/>
              </w:rPr>
              <w:t>.</w:t>
            </w:r>
            <w:r>
              <w:rPr>
                <w:sz w:val="16"/>
                <w:szCs w:val="16"/>
              </w:rPr>
              <w:t>0</w:t>
            </w:r>
            <w:r w:rsidRPr="0082524A">
              <w:rPr>
                <w:sz w:val="16"/>
                <w:szCs w:val="16"/>
              </w:rPr>
              <w:t xml:space="preserve"> W m</w:t>
            </w:r>
            <w:r w:rsidRPr="0082524A">
              <w:rPr>
                <w:sz w:val="16"/>
                <w:szCs w:val="16"/>
                <w:vertAlign w:val="superscript"/>
              </w:rPr>
              <w:t>−2</w:t>
            </w:r>
            <w:r>
              <w:rPr>
                <w:sz w:val="16"/>
                <w:szCs w:val="16"/>
                <w:vertAlign w:val="superscript"/>
              </w:rPr>
              <w:t xml:space="preserve"> </w:t>
            </w:r>
          </w:p>
          <w:p w:rsidR="00DB66A8" w:rsidRDefault="00DB66A8" w:rsidP="00DB66A8">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82</w:t>
            </w:r>
          </w:p>
          <w:p w:rsidR="00DB66A8" w:rsidRPr="005F7ACB" w:rsidRDefault="00DB66A8" w:rsidP="0082524A">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Pr="005F7ACB">
              <w:rPr>
                <w:sz w:val="16"/>
                <w:szCs w:val="16"/>
              </w:rPr>
              <w:instrText xml:space="preserve"> ADDIN ZOTERO_ITEM CSL_CITATION {"citationID":"RSMmPAEQ","properties":{"formattedCitation":"\\super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lastRenderedPageBreak/>
              <w:t>SSP4</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Inequality</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 xml:space="preserve">Increasing income inequality within and across countries: High – 0.9 </w:t>
            </w:r>
            <w:proofErr w:type="spellStart"/>
            <w:r w:rsidRPr="005F7ACB">
              <w:rPr>
                <w:sz w:val="16"/>
                <w:szCs w:val="16"/>
              </w:rPr>
              <w:t>bln</w:t>
            </w:r>
            <w:proofErr w:type="spellEnd"/>
            <w:r w:rsidRPr="005F7ACB">
              <w:rPr>
                <w:sz w:val="16"/>
                <w:szCs w:val="16"/>
              </w:rPr>
              <w:t xml:space="preserve">, Medium – 2.0 </w:t>
            </w:r>
            <w:proofErr w:type="spellStart"/>
            <w:r w:rsidRPr="005F7ACB">
              <w:rPr>
                <w:sz w:val="16"/>
                <w:szCs w:val="16"/>
              </w:rPr>
              <w:t>bln</w:t>
            </w:r>
            <w:proofErr w:type="spellEnd"/>
            <w:r w:rsidRPr="005F7ACB">
              <w:rPr>
                <w:sz w:val="16"/>
                <w:szCs w:val="16"/>
              </w:rPr>
              <w:t xml:space="preserve">, Low – 6.4 </w:t>
            </w:r>
            <w:proofErr w:type="spellStart"/>
            <w:r w:rsidRPr="005F7ACB">
              <w:rPr>
                <w:sz w:val="16"/>
                <w:szCs w:val="16"/>
              </w:rPr>
              <w:t>bln</w:t>
            </w:r>
            <w:proofErr w:type="spellEnd"/>
            <w:r w:rsidRPr="005F7ACB">
              <w:rPr>
                <w:sz w:val="16"/>
                <w:szCs w:val="16"/>
              </w:rPr>
              <w:t xml:space="preserve">. </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Effective governance controlled by a small number of rich global elites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Most of populations with limited access to higher education and basic services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Energy tech R&amp;D made by global energy corporations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Low social cohesion</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Technical change on extraction cost (% per year): Coal – 0.5%, Gas - 1%, Conv. oil - 1%, </w:t>
            </w:r>
            <w:proofErr w:type="spellStart"/>
            <w:r w:rsidRPr="005F7ACB">
              <w:rPr>
                <w:sz w:val="16"/>
                <w:szCs w:val="16"/>
              </w:rPr>
              <w:t>Unconv</w:t>
            </w:r>
            <w:proofErr w:type="spellEnd"/>
            <w:r w:rsidRPr="005F7ACB">
              <w:rPr>
                <w:sz w:val="16"/>
                <w:szCs w:val="16"/>
              </w:rPr>
              <w:t>. Oil – 2%.</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Cost Adder in 2100 ($/GJ): Coal - $0.27, Gas - $0.71, Conv. oil - $0.98, </w:t>
            </w:r>
            <w:proofErr w:type="spellStart"/>
            <w:r w:rsidRPr="005F7ACB">
              <w:rPr>
                <w:sz w:val="16"/>
                <w:szCs w:val="16"/>
              </w:rPr>
              <w:t>Unconv</w:t>
            </w:r>
            <w:proofErr w:type="spellEnd"/>
            <w:r w:rsidRPr="005F7ACB">
              <w:rPr>
                <w:sz w:val="16"/>
                <w:szCs w:val="16"/>
              </w:rPr>
              <w:t xml:space="preserve">. Oil - $1.06. </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DB66A8" w:rsidRPr="00B41ECD" w:rsidRDefault="00DB66A8" w:rsidP="0082524A">
            <w:pPr>
              <w:pStyle w:val="NormalWeb"/>
              <w:spacing w:before="0" w:beforeAutospacing="0" w:after="0" w:afterAutospacing="0"/>
              <w:rPr>
                <w:b/>
                <w:bCs/>
                <w:sz w:val="16"/>
                <w:szCs w:val="16"/>
              </w:rPr>
            </w:pPr>
            <w:r w:rsidRPr="00B41ECD">
              <w:rPr>
                <w:b/>
                <w:bCs/>
                <w:sz w:val="16"/>
                <w:szCs w:val="16"/>
              </w:rPr>
              <w:t>Global CO2 emissions and radiative forcing of SSP scenarios with the selected CMIP6 Scenario MIP subset in 2100:</w:t>
            </w:r>
          </w:p>
          <w:p w:rsidR="00DB66A8" w:rsidRDefault="00DB66A8" w:rsidP="0082524A">
            <w:pPr>
              <w:pStyle w:val="NormalWeb"/>
              <w:spacing w:before="0" w:beforeAutospacing="0" w:after="0" w:afterAutospacing="0"/>
              <w:rPr>
                <w:sz w:val="16"/>
                <w:szCs w:val="16"/>
              </w:rPr>
            </w:pPr>
          </w:p>
          <w:p w:rsidR="00DB66A8" w:rsidRDefault="00DB66A8" w:rsidP="00DB66A8">
            <w:pPr>
              <w:pStyle w:val="NormalWeb"/>
              <w:spacing w:before="0" w:beforeAutospacing="0" w:after="0" w:afterAutospacing="0"/>
              <w:rPr>
                <w:sz w:val="16"/>
                <w:szCs w:val="16"/>
              </w:rPr>
            </w:pPr>
            <w:r>
              <w:rPr>
                <w:sz w:val="16"/>
                <w:szCs w:val="16"/>
              </w:rPr>
              <w:t>1) R</w:t>
            </w:r>
            <w:r w:rsidRPr="0082524A">
              <w:rPr>
                <w:sz w:val="16"/>
                <w:szCs w:val="16"/>
              </w:rPr>
              <w:t xml:space="preserve">adiative forcing </w:t>
            </w:r>
            <w:r>
              <w:rPr>
                <w:sz w:val="16"/>
                <w:szCs w:val="16"/>
              </w:rPr>
              <w:t>n 2100 - 3</w:t>
            </w:r>
            <w:r w:rsidRPr="0082524A">
              <w:rPr>
                <w:sz w:val="16"/>
                <w:szCs w:val="16"/>
              </w:rPr>
              <w:t>.</w:t>
            </w:r>
            <w:r>
              <w:rPr>
                <w:sz w:val="16"/>
                <w:szCs w:val="16"/>
              </w:rPr>
              <w:t>4</w:t>
            </w:r>
            <w:r w:rsidRPr="0082524A">
              <w:rPr>
                <w:sz w:val="16"/>
                <w:szCs w:val="16"/>
              </w:rPr>
              <w:t xml:space="preserve"> W m</w:t>
            </w:r>
            <w:r w:rsidRPr="0082524A">
              <w:rPr>
                <w:sz w:val="16"/>
                <w:szCs w:val="16"/>
                <w:vertAlign w:val="superscript"/>
              </w:rPr>
              <w:t>−2</w:t>
            </w:r>
            <w:r>
              <w:rPr>
                <w:sz w:val="16"/>
                <w:szCs w:val="16"/>
                <w:vertAlign w:val="superscript"/>
              </w:rPr>
              <w:t xml:space="preserve"> </w:t>
            </w:r>
          </w:p>
          <w:p w:rsidR="00DB66A8" w:rsidRDefault="00DB66A8" w:rsidP="00DB66A8">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(-18)</w:t>
            </w:r>
          </w:p>
          <w:p w:rsidR="00DB66A8" w:rsidRDefault="00DB66A8" w:rsidP="00DB66A8">
            <w:pPr>
              <w:pStyle w:val="NormalWeb"/>
              <w:spacing w:before="0" w:beforeAutospacing="0" w:after="0" w:afterAutospacing="0"/>
              <w:rPr>
                <w:sz w:val="16"/>
                <w:szCs w:val="16"/>
              </w:rPr>
            </w:pPr>
            <w:r>
              <w:rPr>
                <w:sz w:val="16"/>
                <w:szCs w:val="16"/>
              </w:rPr>
              <w:t>2) R</w:t>
            </w:r>
            <w:r w:rsidRPr="0082524A">
              <w:rPr>
                <w:sz w:val="16"/>
                <w:szCs w:val="16"/>
              </w:rPr>
              <w:t xml:space="preserve">adiative forcing </w:t>
            </w:r>
            <w:r>
              <w:rPr>
                <w:sz w:val="16"/>
                <w:szCs w:val="16"/>
              </w:rPr>
              <w:t>n 2100 - 6</w:t>
            </w:r>
            <w:r w:rsidRPr="0082524A">
              <w:rPr>
                <w:sz w:val="16"/>
                <w:szCs w:val="16"/>
              </w:rPr>
              <w:t>.</w:t>
            </w:r>
            <w:r>
              <w:rPr>
                <w:sz w:val="16"/>
                <w:szCs w:val="16"/>
              </w:rPr>
              <w:t>0</w:t>
            </w:r>
            <w:r w:rsidRPr="0082524A">
              <w:rPr>
                <w:sz w:val="16"/>
                <w:szCs w:val="16"/>
              </w:rPr>
              <w:t xml:space="preserve"> W m</w:t>
            </w:r>
            <w:r w:rsidRPr="0082524A">
              <w:rPr>
                <w:sz w:val="16"/>
                <w:szCs w:val="16"/>
                <w:vertAlign w:val="superscript"/>
              </w:rPr>
              <w:t>−2</w:t>
            </w:r>
            <w:r>
              <w:rPr>
                <w:sz w:val="16"/>
                <w:szCs w:val="16"/>
                <w:vertAlign w:val="superscript"/>
              </w:rPr>
              <w:t xml:space="preserve"> </w:t>
            </w:r>
          </w:p>
          <w:p w:rsidR="00DB66A8" w:rsidRDefault="00DB66A8" w:rsidP="00DB66A8">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in 2100 – 20</w:t>
            </w:r>
          </w:p>
          <w:p w:rsidR="00DB66A8" w:rsidRDefault="00DB66A8" w:rsidP="00DB66A8">
            <w:pPr>
              <w:pStyle w:val="NormalWeb"/>
              <w:spacing w:before="0" w:beforeAutospacing="0" w:after="0" w:afterAutospacing="0"/>
              <w:rPr>
                <w:sz w:val="16"/>
                <w:szCs w:val="16"/>
              </w:rPr>
            </w:pPr>
          </w:p>
          <w:p w:rsidR="00DB66A8" w:rsidRPr="005F7ACB" w:rsidRDefault="00DB66A8" w:rsidP="0082524A">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A503AB" w:rsidRPr="00B70622" w:rsidRDefault="00A503AB" w:rsidP="00A503AB">
            <w:pPr>
              <w:pStyle w:val="NormalWeb"/>
              <w:spacing w:before="0" w:beforeAutospacing="0" w:after="0" w:afterAutospacing="0"/>
              <w:rPr>
                <w:b/>
                <w:bCs/>
                <w:sz w:val="16"/>
                <w:szCs w:val="16"/>
              </w:rPr>
            </w:pPr>
            <w:r w:rsidRPr="00B70622">
              <w:rPr>
                <w:b/>
                <w:bCs/>
                <w:sz w:val="16"/>
                <w:szCs w:val="16"/>
              </w:rPr>
              <w:t>Radiative forcing n 2100 - 1.9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n/a</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2</w:t>
            </w:r>
            <w:r w:rsidRPr="00B70622">
              <w:rPr>
                <w:b/>
                <w:bCs/>
                <w:sz w:val="16"/>
                <w:szCs w:val="16"/>
              </w:rPr>
              <w:t>.</w:t>
            </w:r>
            <w:r>
              <w:rPr>
                <w:b/>
                <w:bCs/>
                <w:sz w:val="16"/>
                <w:szCs w:val="16"/>
              </w:rPr>
              <w:t>6</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2</w:t>
            </w:r>
            <w:r>
              <w:rPr>
                <w:sz w:val="16"/>
                <w:szCs w:val="16"/>
              </w:rPr>
              <w:t>0-</w:t>
            </w:r>
            <w:r>
              <w:rPr>
                <w:sz w:val="16"/>
                <w:szCs w:val="16"/>
              </w:rPr>
              <w:t>3</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3</w:t>
            </w:r>
            <w:r w:rsidRPr="00B70622">
              <w:rPr>
                <w:b/>
                <w:bCs/>
                <w:sz w:val="16"/>
                <w:szCs w:val="16"/>
              </w:rPr>
              <w:t>.</w:t>
            </w:r>
            <w:r>
              <w:rPr>
                <w:b/>
                <w:bCs/>
                <w:sz w:val="16"/>
                <w:szCs w:val="16"/>
              </w:rPr>
              <w:t>4</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10</w:t>
            </w:r>
            <w:r>
              <w:rPr>
                <w:sz w:val="16"/>
                <w:szCs w:val="16"/>
              </w:rPr>
              <w:t>-</w:t>
            </w:r>
            <w:r>
              <w:rPr>
                <w:sz w:val="16"/>
                <w:szCs w:val="16"/>
              </w:rPr>
              <w:t>2</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4</w:t>
            </w:r>
            <w:r w:rsidRPr="00B70622">
              <w:rPr>
                <w:b/>
                <w:bCs/>
                <w:sz w:val="16"/>
                <w:szCs w:val="16"/>
              </w:rPr>
              <w:t>.</w:t>
            </w:r>
            <w:r>
              <w:rPr>
                <w:b/>
                <w:bCs/>
                <w:sz w:val="16"/>
                <w:szCs w:val="16"/>
              </w:rPr>
              <w:t>5</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- 5-10$/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6</w:t>
            </w:r>
            <w:r w:rsidRPr="00B70622">
              <w:rPr>
                <w:b/>
                <w:bCs/>
                <w:sz w:val="16"/>
                <w:szCs w:val="16"/>
              </w:rPr>
              <w:t>.</w:t>
            </w:r>
            <w:r>
              <w:rPr>
                <w:b/>
                <w:bCs/>
                <w:sz w:val="16"/>
                <w:szCs w:val="16"/>
              </w:rPr>
              <w:t>0</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- 1-2$/</w:t>
            </w:r>
            <w:r w:rsidRPr="00A503AB">
              <w:rPr>
                <w:sz w:val="16"/>
                <w:szCs w:val="16"/>
              </w:rPr>
              <w:t>tCO2</w:t>
            </w:r>
            <w:r>
              <w:rPr>
                <w:sz w:val="16"/>
                <w:szCs w:val="16"/>
              </w:rPr>
              <w:t xml:space="preserve"> (GCAM)</w:t>
            </w:r>
          </w:p>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A503AB" w:rsidP="005F7ACB">
            <w:pPr>
              <w:pStyle w:val="NormalWeb"/>
              <w:spacing w:before="0" w:beforeAutospacing="0" w:after="0" w:afterAutospacing="0"/>
              <w:rPr>
                <w:sz w:val="16"/>
                <w:szCs w:val="16"/>
              </w:rPr>
            </w:pPr>
            <w:r>
              <w:rPr>
                <w:sz w:val="16"/>
                <w:szCs w:val="16"/>
              </w:rPr>
              <w:t>2020-2100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Pr="005F7ACB">
              <w:rPr>
                <w:sz w:val="16"/>
                <w:szCs w:val="16"/>
              </w:rPr>
              <w:instrText xml:space="preserve"> ADDIN ZOTERO_ITEM CSL_CITATION {"citationID":"xXMpsvkr","properties":{"formattedCitation":"\\super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SSP5</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Conventional Development</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Rapid economic development</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Stabilizing population</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Consumerism</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High fossil fuel dependency</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Eradication of extreme poverty and universal access to education and basic services</w:t>
            </w:r>
          </w:p>
          <w:p w:rsidR="005F7ACB" w:rsidRPr="005F7ACB" w:rsidRDefault="005F7ACB" w:rsidP="005F7ACB">
            <w:pPr>
              <w:pStyle w:val="NormalWeb"/>
              <w:numPr>
                <w:ilvl w:val="0"/>
                <w:numId w:val="7"/>
              </w:numPr>
              <w:spacing w:before="0" w:beforeAutospacing="0" w:after="0" w:afterAutospacing="0"/>
              <w:ind w:left="167" w:hanging="167"/>
              <w:rPr>
                <w:sz w:val="16"/>
                <w:szCs w:val="16"/>
              </w:rPr>
            </w:pPr>
            <w:r w:rsidRPr="005F7ACB">
              <w:rPr>
                <w:sz w:val="16"/>
                <w:szCs w:val="16"/>
              </w:rPr>
              <w:t>Highly engineered infrastructure and ecosystems</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Technical change on extraction cost (% per year): Coal – 2%, Gas - 2%, Conv. oil - 2%, </w:t>
            </w:r>
            <w:proofErr w:type="spellStart"/>
            <w:r w:rsidRPr="005F7ACB">
              <w:rPr>
                <w:sz w:val="16"/>
                <w:szCs w:val="16"/>
              </w:rPr>
              <w:t>Unconv</w:t>
            </w:r>
            <w:proofErr w:type="spellEnd"/>
            <w:r w:rsidRPr="005F7ACB">
              <w:rPr>
                <w:sz w:val="16"/>
                <w:szCs w:val="16"/>
              </w:rPr>
              <w:t>. Oil – n/a.</w:t>
            </w:r>
          </w:p>
          <w:p w:rsidR="005F7ACB" w:rsidRPr="005F7ACB" w:rsidRDefault="005F7ACB" w:rsidP="005F7ACB">
            <w:pPr>
              <w:pStyle w:val="NormalWeb"/>
              <w:spacing w:before="0" w:beforeAutospacing="0" w:after="0" w:afterAutospacing="0"/>
              <w:rPr>
                <w:sz w:val="16"/>
                <w:szCs w:val="16"/>
              </w:rPr>
            </w:pPr>
          </w:p>
          <w:p w:rsidR="005F7ACB" w:rsidRDefault="005F7ACB" w:rsidP="005F7ACB">
            <w:pPr>
              <w:pStyle w:val="NormalWeb"/>
              <w:spacing w:before="0" w:beforeAutospacing="0" w:after="0" w:afterAutospacing="0"/>
              <w:rPr>
                <w:sz w:val="16"/>
                <w:szCs w:val="16"/>
              </w:rPr>
            </w:pPr>
            <w:r w:rsidRPr="005F7ACB">
              <w:rPr>
                <w:sz w:val="16"/>
                <w:szCs w:val="16"/>
              </w:rPr>
              <w:lastRenderedPageBreak/>
              <w:t xml:space="preserve">Cost Adder in 2100 ($/GJ): Coal - $0, Gas - $0, Conv. oil - $0, </w:t>
            </w:r>
            <w:proofErr w:type="spellStart"/>
            <w:r w:rsidRPr="005F7ACB">
              <w:rPr>
                <w:sz w:val="16"/>
                <w:szCs w:val="16"/>
              </w:rPr>
              <w:t>Unconv</w:t>
            </w:r>
            <w:proofErr w:type="spellEnd"/>
            <w:r w:rsidRPr="005F7ACB">
              <w:rPr>
                <w:sz w:val="16"/>
                <w:szCs w:val="16"/>
              </w:rPr>
              <w:t xml:space="preserve">. Oil - $0. </w:t>
            </w:r>
          </w:p>
          <w:p w:rsidR="00F62E7C" w:rsidRDefault="00F62E7C" w:rsidP="005F7ACB">
            <w:pPr>
              <w:pStyle w:val="NormalWeb"/>
              <w:spacing w:before="0" w:beforeAutospacing="0" w:after="0" w:afterAutospacing="0"/>
              <w:rPr>
                <w:sz w:val="16"/>
                <w:szCs w:val="16"/>
              </w:rPr>
            </w:pPr>
          </w:p>
          <w:p w:rsidR="00F62E7C" w:rsidRPr="005F7ACB" w:rsidRDefault="00F62E7C" w:rsidP="00F62E7C">
            <w:pPr>
              <w:pStyle w:val="NormalWeb"/>
              <w:spacing w:before="0" w:beforeAutospacing="0" w:after="0" w:afterAutospacing="0"/>
              <w:rPr>
                <w:sz w:val="16"/>
                <w:szCs w:val="16"/>
              </w:rPr>
            </w:pPr>
            <w:r>
              <w:rPr>
                <w:sz w:val="16"/>
                <w:szCs w:val="16"/>
              </w:rPr>
              <w:t>F</w:t>
            </w:r>
            <w:r w:rsidRPr="00F62E7C">
              <w:rPr>
                <w:sz w:val="16"/>
                <w:szCs w:val="16"/>
              </w:rPr>
              <w:t xml:space="preserve">inal energy demand in 2050 is limited to </w:t>
            </w:r>
            <w:r>
              <w:rPr>
                <w:sz w:val="16"/>
                <w:szCs w:val="16"/>
              </w:rPr>
              <w:t>45</w:t>
            </w:r>
            <w:r w:rsidRPr="00F62E7C">
              <w:rPr>
                <w:sz w:val="16"/>
                <w:szCs w:val="16"/>
              </w:rPr>
              <w:t>–</w:t>
            </w:r>
            <w:r>
              <w:rPr>
                <w:sz w:val="16"/>
                <w:szCs w:val="16"/>
              </w:rPr>
              <w:t>75</w:t>
            </w:r>
            <w:r w:rsidRPr="00F62E7C">
              <w:rPr>
                <w:sz w:val="16"/>
                <w:szCs w:val="16"/>
              </w:rPr>
              <w:t>% above 2010 levels</w:t>
            </w:r>
          </w:p>
          <w:p w:rsidR="00F62E7C" w:rsidRPr="005F7ACB" w:rsidRDefault="00F62E7C"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B70622" w:rsidRPr="00B70622" w:rsidRDefault="00B70622" w:rsidP="00B70622">
            <w:pPr>
              <w:pStyle w:val="NormalWeb"/>
              <w:spacing w:before="0" w:beforeAutospacing="0" w:after="0" w:afterAutospacing="0"/>
              <w:rPr>
                <w:b/>
                <w:bCs/>
                <w:sz w:val="16"/>
                <w:szCs w:val="16"/>
              </w:rPr>
            </w:pPr>
            <w:r w:rsidRPr="00B70622">
              <w:rPr>
                <w:b/>
                <w:bCs/>
                <w:sz w:val="16"/>
                <w:szCs w:val="16"/>
              </w:rPr>
              <w:lastRenderedPageBreak/>
              <w:t>Radiative forcing n 2100 - 1.9 W m</w:t>
            </w:r>
            <w:r w:rsidRPr="00B70622">
              <w:rPr>
                <w:b/>
                <w:bCs/>
                <w:sz w:val="16"/>
                <w:szCs w:val="16"/>
                <w:vertAlign w:val="superscript"/>
              </w:rPr>
              <w:t xml:space="preserve">−2 </w:t>
            </w:r>
          </w:p>
          <w:p w:rsidR="00B70622" w:rsidRDefault="00B70622" w:rsidP="00B70622">
            <w:pPr>
              <w:pStyle w:val="NormalWeb"/>
              <w:spacing w:before="0" w:beforeAutospacing="0" w:after="0" w:afterAutospacing="0"/>
              <w:rPr>
                <w:sz w:val="16"/>
                <w:szCs w:val="16"/>
              </w:rPr>
            </w:pPr>
          </w:p>
          <w:p w:rsidR="00B70622" w:rsidRDefault="00B70622" w:rsidP="00B70622">
            <w:pPr>
              <w:pStyle w:val="NormalWeb"/>
              <w:spacing w:before="0" w:beforeAutospacing="0" w:after="0" w:afterAutospacing="0"/>
              <w:rPr>
                <w:sz w:val="16"/>
                <w:szCs w:val="16"/>
              </w:rPr>
            </w:pPr>
            <w:r w:rsidRPr="00B70622">
              <w:rPr>
                <w:sz w:val="16"/>
                <w:szCs w:val="16"/>
              </w:rPr>
              <w:t>GHG emissions peak before 2030</w:t>
            </w:r>
          </w:p>
          <w:p w:rsidR="00F62E7C" w:rsidRDefault="00F62E7C" w:rsidP="00B70622">
            <w:pPr>
              <w:pStyle w:val="NormalWeb"/>
              <w:spacing w:before="0" w:beforeAutospacing="0" w:after="0" w:afterAutospacing="0"/>
              <w:rPr>
                <w:sz w:val="16"/>
                <w:szCs w:val="16"/>
              </w:rPr>
            </w:pPr>
          </w:p>
          <w:p w:rsidR="00B70622" w:rsidRDefault="00B70622" w:rsidP="00B70622">
            <w:pPr>
              <w:pStyle w:val="NormalWeb"/>
              <w:spacing w:before="0" w:beforeAutospacing="0" w:after="0" w:afterAutospacing="0"/>
              <w:rPr>
                <w:sz w:val="16"/>
                <w:szCs w:val="16"/>
              </w:rPr>
            </w:pPr>
            <w:r>
              <w:rPr>
                <w:sz w:val="16"/>
                <w:szCs w:val="16"/>
              </w:rPr>
              <w:t>Degrees of warming – 1.5C in 2100, E</w:t>
            </w:r>
            <w:r w:rsidRPr="001F592F">
              <w:rPr>
                <w:sz w:val="16"/>
                <w:szCs w:val="16"/>
              </w:rPr>
              <w:t>xceedance probability</w:t>
            </w:r>
            <w:r>
              <w:rPr>
                <w:sz w:val="16"/>
                <w:szCs w:val="16"/>
              </w:rPr>
              <w:t xml:space="preserve"> in 2100</w:t>
            </w:r>
            <w:r w:rsidRPr="001F592F">
              <w:rPr>
                <w:sz w:val="16"/>
                <w:szCs w:val="16"/>
              </w:rPr>
              <w:t xml:space="preserve"> (%)</w:t>
            </w:r>
            <w:r>
              <w:rPr>
                <w:sz w:val="16"/>
                <w:szCs w:val="16"/>
              </w:rPr>
              <w:t xml:space="preserve"> – 34 (GCAM4)</w:t>
            </w:r>
          </w:p>
          <w:p w:rsidR="00B70622" w:rsidRDefault="00B70622" w:rsidP="00B70622">
            <w:pPr>
              <w:pStyle w:val="NormalWeb"/>
              <w:spacing w:before="0" w:beforeAutospacing="0" w:after="0" w:afterAutospacing="0"/>
              <w:rPr>
                <w:sz w:val="16"/>
                <w:szCs w:val="16"/>
              </w:rPr>
            </w:pPr>
            <w:r>
              <w:rPr>
                <w:sz w:val="16"/>
                <w:szCs w:val="16"/>
              </w:rPr>
              <w:t>E</w:t>
            </w:r>
            <w:r w:rsidRPr="001F592F">
              <w:rPr>
                <w:sz w:val="16"/>
                <w:szCs w:val="16"/>
              </w:rPr>
              <w:t>xceedance probability</w:t>
            </w:r>
            <w:r>
              <w:rPr>
                <w:sz w:val="16"/>
                <w:szCs w:val="16"/>
              </w:rPr>
              <w:t xml:space="preserve"> over 21</w:t>
            </w:r>
            <w:r w:rsidRPr="00B70622">
              <w:rPr>
                <w:sz w:val="16"/>
                <w:szCs w:val="16"/>
                <w:vertAlign w:val="superscript"/>
              </w:rPr>
              <w:t>st</w:t>
            </w:r>
            <w:r>
              <w:rPr>
                <w:sz w:val="16"/>
                <w:szCs w:val="16"/>
              </w:rPr>
              <w:t xml:space="preserve"> century</w:t>
            </w:r>
            <w:r w:rsidRPr="001F592F">
              <w:rPr>
                <w:sz w:val="16"/>
                <w:szCs w:val="16"/>
              </w:rPr>
              <w:t xml:space="preserve"> (%)</w:t>
            </w:r>
            <w:r>
              <w:rPr>
                <w:sz w:val="16"/>
                <w:szCs w:val="16"/>
              </w:rPr>
              <w:t xml:space="preserve"> – 75 (GCAM4)</w:t>
            </w:r>
          </w:p>
          <w:p w:rsidR="00DB66A8" w:rsidRDefault="00B70622" w:rsidP="00B70622">
            <w:pPr>
              <w:pStyle w:val="NormalWeb"/>
              <w:spacing w:before="0" w:beforeAutospacing="0" w:after="0" w:afterAutospacing="0"/>
              <w:rPr>
                <w:sz w:val="16"/>
                <w:szCs w:val="16"/>
              </w:rPr>
            </w:pPr>
            <w:r>
              <w:rPr>
                <w:sz w:val="16"/>
                <w:szCs w:val="16"/>
              </w:rPr>
              <w:lastRenderedPageBreak/>
              <w:t>Degrees of warming – 2C in 2100, E</w:t>
            </w:r>
            <w:r w:rsidRPr="001F592F">
              <w:rPr>
                <w:sz w:val="16"/>
                <w:szCs w:val="16"/>
              </w:rPr>
              <w:t>xceedance probability</w:t>
            </w:r>
            <w:r>
              <w:rPr>
                <w:sz w:val="16"/>
                <w:szCs w:val="16"/>
              </w:rPr>
              <w:t xml:space="preserve"> over 21</w:t>
            </w:r>
            <w:r w:rsidRPr="00B70622">
              <w:rPr>
                <w:sz w:val="16"/>
                <w:szCs w:val="16"/>
                <w:vertAlign w:val="superscript"/>
              </w:rPr>
              <w:t>st</w:t>
            </w:r>
            <w:r>
              <w:rPr>
                <w:sz w:val="16"/>
                <w:szCs w:val="16"/>
              </w:rPr>
              <w:t xml:space="preserve"> century</w:t>
            </w:r>
            <w:r w:rsidRPr="001F592F">
              <w:rPr>
                <w:sz w:val="16"/>
                <w:szCs w:val="16"/>
              </w:rPr>
              <w:t xml:space="preserve"> (%)</w:t>
            </w:r>
            <w:r>
              <w:rPr>
                <w:sz w:val="16"/>
                <w:szCs w:val="16"/>
              </w:rPr>
              <w:t xml:space="preserve"> – 18 (GCAM4)</w:t>
            </w:r>
          </w:p>
          <w:p w:rsidR="00B70622" w:rsidRDefault="00B70622" w:rsidP="00B70622">
            <w:pPr>
              <w:pStyle w:val="NormalWeb"/>
              <w:spacing w:before="0" w:beforeAutospacing="0" w:after="0" w:afterAutospacing="0"/>
              <w:rPr>
                <w:sz w:val="16"/>
                <w:szCs w:val="16"/>
              </w:rPr>
            </w:pPr>
          </w:p>
          <w:p w:rsidR="00F62E7C" w:rsidRDefault="00F62E7C" w:rsidP="00F62E7C">
            <w:pPr>
              <w:pStyle w:val="NormalWeb"/>
              <w:spacing w:before="0" w:beforeAutospacing="0" w:after="0" w:afterAutospacing="0"/>
              <w:rPr>
                <w:sz w:val="16"/>
                <w:szCs w:val="16"/>
              </w:rPr>
            </w:pPr>
            <w:r w:rsidRPr="00F62E7C">
              <w:rPr>
                <w:sz w:val="16"/>
                <w:szCs w:val="16"/>
              </w:rPr>
              <w:t xml:space="preserve">Global non-CO2 emissions in 2100 (GtCO2-eq </w:t>
            </w:r>
            <w:proofErr w:type="spellStart"/>
            <w:r w:rsidRPr="00F62E7C">
              <w:rPr>
                <w:sz w:val="16"/>
                <w:szCs w:val="16"/>
              </w:rPr>
              <w:t>yr</w:t>
            </w:r>
            <w:proofErr w:type="spellEnd"/>
            <w:r w:rsidRPr="00F62E7C">
              <w:rPr>
                <w:sz w:val="16"/>
                <w:szCs w:val="16"/>
              </w:rPr>
              <w:t>–1)</w:t>
            </w:r>
            <w:r>
              <w:rPr>
                <w:sz w:val="16"/>
                <w:szCs w:val="16"/>
              </w:rPr>
              <w:t>:</w:t>
            </w:r>
          </w:p>
          <w:p w:rsidR="00F62E7C" w:rsidRDefault="00F62E7C" w:rsidP="00F62E7C">
            <w:pPr>
              <w:pStyle w:val="NormalWeb"/>
              <w:spacing w:before="0" w:beforeAutospacing="0" w:after="0" w:afterAutospacing="0"/>
              <w:rPr>
                <w:sz w:val="16"/>
                <w:szCs w:val="16"/>
              </w:rPr>
            </w:pPr>
            <w:r>
              <w:rPr>
                <w:sz w:val="16"/>
                <w:szCs w:val="16"/>
              </w:rPr>
              <w:t xml:space="preserve">1) N2O – </w:t>
            </w:r>
            <w:r>
              <w:rPr>
                <w:sz w:val="16"/>
                <w:szCs w:val="16"/>
              </w:rPr>
              <w:t>2</w:t>
            </w:r>
            <w:r>
              <w:rPr>
                <w:sz w:val="16"/>
                <w:szCs w:val="16"/>
              </w:rPr>
              <w:t xml:space="preserve"> (GCAM)</w:t>
            </w:r>
          </w:p>
          <w:p w:rsidR="00F62E7C" w:rsidRDefault="00F62E7C" w:rsidP="00F62E7C">
            <w:pPr>
              <w:pStyle w:val="NormalWeb"/>
              <w:spacing w:before="0" w:beforeAutospacing="0" w:after="0" w:afterAutospacing="0"/>
              <w:rPr>
                <w:sz w:val="16"/>
                <w:szCs w:val="16"/>
              </w:rPr>
            </w:pPr>
            <w:r>
              <w:rPr>
                <w:sz w:val="16"/>
                <w:szCs w:val="16"/>
              </w:rPr>
              <w:t xml:space="preserve">2) CH4 – </w:t>
            </w:r>
            <w:r>
              <w:rPr>
                <w:sz w:val="16"/>
                <w:szCs w:val="16"/>
              </w:rPr>
              <w:t>4</w:t>
            </w:r>
            <w:r>
              <w:rPr>
                <w:sz w:val="16"/>
                <w:szCs w:val="16"/>
              </w:rPr>
              <w:t xml:space="preserve"> (GCAM)</w:t>
            </w:r>
          </w:p>
          <w:p w:rsidR="00F62E7C" w:rsidRDefault="00F62E7C" w:rsidP="00B70622">
            <w:pPr>
              <w:pStyle w:val="NormalWeb"/>
              <w:spacing w:before="0" w:beforeAutospacing="0" w:after="0" w:afterAutospacing="0"/>
              <w:rPr>
                <w:sz w:val="16"/>
                <w:szCs w:val="16"/>
              </w:rPr>
            </w:pPr>
            <w:r>
              <w:rPr>
                <w:sz w:val="16"/>
                <w:szCs w:val="16"/>
              </w:rPr>
              <w:t>Mainly from agriculture</w:t>
            </w:r>
          </w:p>
          <w:p w:rsidR="00F62E7C" w:rsidRDefault="00F62E7C" w:rsidP="00B70622">
            <w:pPr>
              <w:pStyle w:val="NormalWeb"/>
              <w:spacing w:before="0" w:beforeAutospacing="0" w:after="0" w:afterAutospacing="0"/>
              <w:rPr>
                <w:sz w:val="16"/>
                <w:szCs w:val="16"/>
              </w:rPr>
            </w:pPr>
          </w:p>
          <w:p w:rsidR="00B41ECD" w:rsidRPr="00B41ECD" w:rsidRDefault="00B41ECD" w:rsidP="00B70622">
            <w:pPr>
              <w:pStyle w:val="NormalWeb"/>
              <w:spacing w:before="0" w:beforeAutospacing="0" w:after="0" w:afterAutospacing="0"/>
              <w:rPr>
                <w:sz w:val="16"/>
                <w:szCs w:val="16"/>
              </w:rPr>
            </w:pPr>
            <w:r w:rsidRPr="00F62E7C">
              <w:rPr>
                <w:sz w:val="16"/>
                <w:szCs w:val="16"/>
              </w:rPr>
              <w:t>Bioenergy is used in large amounts and this can raise concerns for food security or biodiversity</w:t>
            </w:r>
            <w:r>
              <w:rPr>
                <w:sz w:val="16"/>
                <w:szCs w:val="16"/>
              </w:rPr>
              <w:t xml:space="preserve">. </w:t>
            </w:r>
            <w:r w:rsidRPr="00B41ECD">
              <w:rPr>
                <w:sz w:val="16"/>
                <w:szCs w:val="16"/>
              </w:rPr>
              <w:t>Bioenergy use is increased by 1–5% per year between 2020 and 2050</w:t>
            </w:r>
          </w:p>
          <w:p w:rsidR="00452D79" w:rsidRDefault="00452D79" w:rsidP="00452D79">
            <w:pPr>
              <w:pStyle w:val="NormalWeb"/>
              <w:spacing w:before="0" w:beforeAutospacing="0" w:after="0" w:afterAutospacing="0"/>
              <w:rPr>
                <w:sz w:val="16"/>
                <w:szCs w:val="16"/>
              </w:rPr>
            </w:pPr>
          </w:p>
          <w:p w:rsidR="00452D79" w:rsidRDefault="00452D79" w:rsidP="00452D79">
            <w:pPr>
              <w:pStyle w:val="NormalWeb"/>
              <w:spacing w:before="0" w:beforeAutospacing="0" w:after="0" w:afterAutospacing="0"/>
              <w:rPr>
                <w:sz w:val="16"/>
                <w:szCs w:val="16"/>
              </w:rPr>
            </w:pPr>
            <w:r w:rsidRPr="00452D79">
              <w:rPr>
                <w:sz w:val="16"/>
                <w:szCs w:val="16"/>
              </w:rPr>
              <w:t>Cumulative CO2 emission reduction from baseline in the 2020–2100 period for the 1.9 W m–2 scenarios (GtCO2)</w:t>
            </w:r>
            <w:r>
              <w:rPr>
                <w:sz w:val="16"/>
                <w:szCs w:val="16"/>
              </w:rPr>
              <w:t xml:space="preserve"> – </w:t>
            </w:r>
            <w:r>
              <w:rPr>
                <w:sz w:val="16"/>
                <w:szCs w:val="16"/>
              </w:rPr>
              <w:t>7</w:t>
            </w:r>
            <w:r>
              <w:rPr>
                <w:sz w:val="16"/>
                <w:szCs w:val="16"/>
              </w:rPr>
              <w:t>,</w:t>
            </w:r>
            <w:r>
              <w:rPr>
                <w:sz w:val="16"/>
                <w:szCs w:val="16"/>
              </w:rPr>
              <w:t>05</w:t>
            </w:r>
            <w:r>
              <w:rPr>
                <w:sz w:val="16"/>
                <w:szCs w:val="16"/>
              </w:rPr>
              <w:t>0 (GCAM)</w:t>
            </w:r>
          </w:p>
          <w:p w:rsidR="00B41ECD" w:rsidRDefault="00B41ECD" w:rsidP="00B70622">
            <w:pPr>
              <w:pStyle w:val="NormalWeb"/>
              <w:spacing w:before="0" w:beforeAutospacing="0" w:after="0" w:afterAutospacing="0"/>
              <w:rPr>
                <w:sz w:val="16"/>
                <w:szCs w:val="16"/>
              </w:rPr>
            </w:pPr>
          </w:p>
          <w:p w:rsidR="00452D79" w:rsidRDefault="00452D79" w:rsidP="00B70622">
            <w:pPr>
              <w:pStyle w:val="NormalWeb"/>
              <w:spacing w:before="0" w:beforeAutospacing="0" w:after="0" w:afterAutospacing="0"/>
              <w:rPr>
                <w:sz w:val="16"/>
                <w:szCs w:val="16"/>
              </w:rPr>
            </w:pPr>
          </w:p>
          <w:p w:rsidR="00DB66A8" w:rsidRPr="00B41ECD" w:rsidRDefault="00DB66A8" w:rsidP="00DB66A8">
            <w:pPr>
              <w:pStyle w:val="NormalWeb"/>
              <w:spacing w:before="0" w:beforeAutospacing="0" w:after="0" w:afterAutospacing="0"/>
              <w:rPr>
                <w:b/>
                <w:bCs/>
                <w:sz w:val="16"/>
                <w:szCs w:val="16"/>
              </w:rPr>
            </w:pPr>
            <w:r w:rsidRPr="00B41ECD">
              <w:rPr>
                <w:b/>
                <w:bCs/>
                <w:sz w:val="16"/>
                <w:szCs w:val="16"/>
              </w:rPr>
              <w:t>Global CO2 emissions and radiative forcing of SSP scenarios with the selected CMIP6 Scenario MIP subset in 2100:</w:t>
            </w:r>
          </w:p>
          <w:p w:rsidR="00DB66A8" w:rsidRDefault="00DB66A8" w:rsidP="00DB66A8">
            <w:pPr>
              <w:pStyle w:val="NormalWeb"/>
              <w:spacing w:before="0" w:beforeAutospacing="0" w:after="0" w:afterAutospacing="0"/>
              <w:rPr>
                <w:sz w:val="16"/>
                <w:szCs w:val="16"/>
              </w:rPr>
            </w:pPr>
          </w:p>
          <w:p w:rsidR="00DB66A8" w:rsidRDefault="00DB66A8" w:rsidP="00DB66A8">
            <w:pPr>
              <w:pStyle w:val="NormalWeb"/>
              <w:spacing w:before="0" w:beforeAutospacing="0" w:after="0" w:afterAutospacing="0"/>
              <w:rPr>
                <w:sz w:val="16"/>
                <w:szCs w:val="16"/>
              </w:rPr>
            </w:pPr>
            <w:r>
              <w:rPr>
                <w:sz w:val="16"/>
                <w:szCs w:val="16"/>
              </w:rPr>
              <w:t>1) R</w:t>
            </w:r>
            <w:r w:rsidRPr="0082524A">
              <w:rPr>
                <w:sz w:val="16"/>
                <w:szCs w:val="16"/>
              </w:rPr>
              <w:t xml:space="preserve">adiative forcing </w:t>
            </w:r>
            <w:r>
              <w:rPr>
                <w:sz w:val="16"/>
                <w:szCs w:val="16"/>
              </w:rPr>
              <w:t>n 2100 - 8</w:t>
            </w:r>
            <w:r w:rsidRPr="0082524A">
              <w:rPr>
                <w:sz w:val="16"/>
                <w:szCs w:val="16"/>
              </w:rPr>
              <w:t>.</w:t>
            </w:r>
            <w:r>
              <w:rPr>
                <w:sz w:val="16"/>
                <w:szCs w:val="16"/>
              </w:rPr>
              <w:t>5</w:t>
            </w:r>
            <w:r w:rsidRPr="0082524A">
              <w:rPr>
                <w:sz w:val="16"/>
                <w:szCs w:val="16"/>
              </w:rPr>
              <w:t xml:space="preserve"> W m</w:t>
            </w:r>
            <w:r w:rsidRPr="0082524A">
              <w:rPr>
                <w:sz w:val="16"/>
                <w:szCs w:val="16"/>
                <w:vertAlign w:val="superscript"/>
              </w:rPr>
              <w:t>−2</w:t>
            </w:r>
            <w:r>
              <w:rPr>
                <w:sz w:val="16"/>
                <w:szCs w:val="16"/>
                <w:vertAlign w:val="superscript"/>
              </w:rPr>
              <w:t xml:space="preserve"> </w:t>
            </w:r>
          </w:p>
          <w:p w:rsidR="00DB66A8" w:rsidRPr="005F7ACB" w:rsidRDefault="00DB66A8" w:rsidP="007D7145">
            <w:pPr>
              <w:pStyle w:val="NormalWeb"/>
              <w:spacing w:before="0" w:beforeAutospacing="0" w:after="0" w:afterAutospacing="0"/>
              <w:rPr>
                <w:sz w:val="16"/>
                <w:szCs w:val="16"/>
              </w:rPr>
            </w:pPr>
            <w:r>
              <w:rPr>
                <w:sz w:val="16"/>
                <w:szCs w:val="16"/>
              </w:rPr>
              <w:t>Global CO2 emissions (</w:t>
            </w:r>
            <w:r w:rsidRPr="001F592F">
              <w:rPr>
                <w:sz w:val="16"/>
                <w:szCs w:val="16"/>
              </w:rPr>
              <w:t>GtCO2</w:t>
            </w:r>
            <w:r>
              <w:rPr>
                <w:sz w:val="16"/>
                <w:szCs w:val="16"/>
              </w:rPr>
              <w:t xml:space="preserve">) in 2100 – </w:t>
            </w:r>
            <w:r w:rsidR="007D7145">
              <w:rPr>
                <w:sz w:val="16"/>
                <w:szCs w:val="16"/>
              </w:rPr>
              <w:t>126</w:t>
            </w: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A503AB" w:rsidRPr="00B70622" w:rsidRDefault="00A503AB" w:rsidP="00A503AB">
            <w:pPr>
              <w:pStyle w:val="NormalWeb"/>
              <w:spacing w:before="0" w:beforeAutospacing="0" w:after="0" w:afterAutospacing="0"/>
              <w:rPr>
                <w:b/>
                <w:bCs/>
                <w:sz w:val="16"/>
                <w:szCs w:val="16"/>
              </w:rPr>
            </w:pPr>
            <w:r w:rsidRPr="00B70622">
              <w:rPr>
                <w:b/>
                <w:bCs/>
                <w:sz w:val="16"/>
                <w:szCs w:val="16"/>
              </w:rPr>
              <w:lastRenderedPageBreak/>
              <w:t>Radiative forcing n 2100 - 1.9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3</w:t>
            </w:r>
            <w:r>
              <w:rPr>
                <w:sz w:val="16"/>
                <w:szCs w:val="16"/>
              </w:rPr>
              <w:t>0-</w:t>
            </w:r>
            <w:r>
              <w:rPr>
                <w:sz w:val="16"/>
                <w:szCs w:val="16"/>
              </w:rPr>
              <w:t>4</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2</w:t>
            </w:r>
            <w:r w:rsidRPr="00B70622">
              <w:rPr>
                <w:b/>
                <w:bCs/>
                <w:sz w:val="16"/>
                <w:szCs w:val="16"/>
              </w:rPr>
              <w:t>.</w:t>
            </w:r>
            <w:r>
              <w:rPr>
                <w:b/>
                <w:bCs/>
                <w:sz w:val="16"/>
                <w:szCs w:val="16"/>
              </w:rPr>
              <w:t>6</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2</w:t>
            </w:r>
            <w:r>
              <w:rPr>
                <w:sz w:val="16"/>
                <w:szCs w:val="16"/>
              </w:rPr>
              <w:t>0-</w:t>
            </w:r>
            <w:r>
              <w:rPr>
                <w:sz w:val="16"/>
                <w:szCs w:val="16"/>
              </w:rPr>
              <w:t>3</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lastRenderedPageBreak/>
              <w:t xml:space="preserve">Radiative forcing n 2100 - </w:t>
            </w:r>
            <w:r>
              <w:rPr>
                <w:b/>
                <w:bCs/>
                <w:sz w:val="16"/>
                <w:szCs w:val="16"/>
              </w:rPr>
              <w:t>3</w:t>
            </w:r>
            <w:r w:rsidRPr="00B70622">
              <w:rPr>
                <w:b/>
                <w:bCs/>
                <w:sz w:val="16"/>
                <w:szCs w:val="16"/>
              </w:rPr>
              <w:t>.</w:t>
            </w:r>
            <w:r>
              <w:rPr>
                <w:b/>
                <w:bCs/>
                <w:sz w:val="16"/>
                <w:szCs w:val="16"/>
              </w:rPr>
              <w:t>4</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 xml:space="preserve">Carbon price - </w:t>
            </w:r>
            <w:r>
              <w:rPr>
                <w:sz w:val="16"/>
                <w:szCs w:val="16"/>
              </w:rPr>
              <w:t>10</w:t>
            </w:r>
            <w:r>
              <w:rPr>
                <w:sz w:val="16"/>
                <w:szCs w:val="16"/>
              </w:rPr>
              <w:t>-</w:t>
            </w:r>
            <w:r>
              <w:rPr>
                <w:sz w:val="16"/>
                <w:szCs w:val="16"/>
              </w:rPr>
              <w:t>2</w:t>
            </w:r>
            <w:r>
              <w:rPr>
                <w:sz w:val="16"/>
                <w:szCs w:val="16"/>
              </w:rPr>
              <w:t>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4</w:t>
            </w:r>
            <w:r w:rsidRPr="00B70622">
              <w:rPr>
                <w:b/>
                <w:bCs/>
                <w:sz w:val="16"/>
                <w:szCs w:val="16"/>
              </w:rPr>
              <w:t>.</w:t>
            </w:r>
            <w:r>
              <w:rPr>
                <w:b/>
                <w:bCs/>
                <w:sz w:val="16"/>
                <w:szCs w:val="16"/>
              </w:rPr>
              <w:t>5</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- 5-10$/</w:t>
            </w:r>
            <w:r w:rsidRPr="00A503AB">
              <w:rPr>
                <w:sz w:val="16"/>
                <w:szCs w:val="16"/>
              </w:rPr>
              <w:t>tCO2</w:t>
            </w:r>
            <w:r>
              <w:rPr>
                <w:sz w:val="16"/>
                <w:szCs w:val="16"/>
              </w:rPr>
              <w:t xml:space="preserve"> (GCAM)</w:t>
            </w:r>
          </w:p>
          <w:p w:rsidR="00A503AB" w:rsidRDefault="00A503AB" w:rsidP="00A503AB">
            <w:pPr>
              <w:pStyle w:val="NormalWeb"/>
              <w:spacing w:before="0" w:beforeAutospacing="0" w:after="0" w:afterAutospacing="0"/>
              <w:rPr>
                <w:sz w:val="16"/>
                <w:szCs w:val="16"/>
              </w:rPr>
            </w:pPr>
          </w:p>
          <w:p w:rsidR="00A503AB" w:rsidRPr="00B70622" w:rsidRDefault="00A503AB" w:rsidP="00A503AB">
            <w:pPr>
              <w:pStyle w:val="NormalWeb"/>
              <w:spacing w:before="0" w:beforeAutospacing="0" w:after="0" w:afterAutospacing="0"/>
              <w:rPr>
                <w:b/>
                <w:bCs/>
                <w:sz w:val="16"/>
                <w:szCs w:val="16"/>
              </w:rPr>
            </w:pPr>
            <w:r w:rsidRPr="00B70622">
              <w:rPr>
                <w:b/>
                <w:bCs/>
                <w:sz w:val="16"/>
                <w:szCs w:val="16"/>
              </w:rPr>
              <w:t xml:space="preserve">Radiative forcing n 2100 - </w:t>
            </w:r>
            <w:r>
              <w:rPr>
                <w:b/>
                <w:bCs/>
                <w:sz w:val="16"/>
                <w:szCs w:val="16"/>
              </w:rPr>
              <w:t>6</w:t>
            </w:r>
            <w:r w:rsidRPr="00B70622">
              <w:rPr>
                <w:b/>
                <w:bCs/>
                <w:sz w:val="16"/>
                <w:szCs w:val="16"/>
              </w:rPr>
              <w:t>.</w:t>
            </w:r>
            <w:r>
              <w:rPr>
                <w:b/>
                <w:bCs/>
                <w:sz w:val="16"/>
                <w:szCs w:val="16"/>
              </w:rPr>
              <w:t>0</w:t>
            </w:r>
            <w:r w:rsidRPr="00B70622">
              <w:rPr>
                <w:b/>
                <w:bCs/>
                <w:sz w:val="16"/>
                <w:szCs w:val="16"/>
              </w:rPr>
              <w:t xml:space="preserve"> W m</w:t>
            </w:r>
            <w:r w:rsidRPr="00B70622">
              <w:rPr>
                <w:b/>
                <w:bCs/>
                <w:sz w:val="16"/>
                <w:szCs w:val="16"/>
                <w:vertAlign w:val="superscript"/>
              </w:rPr>
              <w:t xml:space="preserve">−2 </w:t>
            </w:r>
          </w:p>
          <w:p w:rsidR="00A503AB" w:rsidRDefault="00A503AB" w:rsidP="00A503AB">
            <w:pPr>
              <w:pStyle w:val="NormalWeb"/>
              <w:spacing w:before="0" w:beforeAutospacing="0" w:after="0" w:afterAutospacing="0"/>
              <w:rPr>
                <w:sz w:val="16"/>
                <w:szCs w:val="16"/>
              </w:rPr>
            </w:pPr>
          </w:p>
          <w:p w:rsidR="00A503AB" w:rsidRDefault="00A503AB" w:rsidP="00A503AB">
            <w:pPr>
              <w:pStyle w:val="NormalWeb"/>
              <w:spacing w:before="0" w:beforeAutospacing="0" w:after="0" w:afterAutospacing="0"/>
              <w:rPr>
                <w:sz w:val="16"/>
                <w:szCs w:val="16"/>
              </w:rPr>
            </w:pPr>
            <w:r>
              <w:rPr>
                <w:sz w:val="16"/>
                <w:szCs w:val="16"/>
              </w:rPr>
              <w:t>Carbon price - 1-2$/</w:t>
            </w:r>
            <w:r w:rsidRPr="00A503AB">
              <w:rPr>
                <w:sz w:val="16"/>
                <w:szCs w:val="16"/>
              </w:rPr>
              <w:t>tCO2</w:t>
            </w:r>
            <w:r>
              <w:rPr>
                <w:sz w:val="16"/>
                <w:szCs w:val="16"/>
              </w:rPr>
              <w:t xml:space="preserve"> (GCAM)</w:t>
            </w:r>
          </w:p>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A503AB" w:rsidP="005F7ACB">
            <w:pPr>
              <w:pStyle w:val="NormalWeb"/>
              <w:spacing w:before="0" w:beforeAutospacing="0" w:after="0" w:afterAutospacing="0"/>
              <w:rPr>
                <w:sz w:val="16"/>
                <w:szCs w:val="16"/>
              </w:rPr>
            </w:pPr>
            <w:r>
              <w:rPr>
                <w:sz w:val="16"/>
                <w:szCs w:val="16"/>
              </w:rPr>
              <w:lastRenderedPageBreak/>
              <w:t>2020-2100</w:t>
            </w: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Default="00B41ECD" w:rsidP="005F7ACB">
            <w:pPr>
              <w:pStyle w:val="NormalWeb"/>
              <w:spacing w:before="0" w:beforeAutospacing="0" w:after="0" w:afterAutospacing="0"/>
              <w:rPr>
                <w:sz w:val="16"/>
                <w:szCs w:val="16"/>
              </w:rPr>
            </w:pPr>
            <w:r w:rsidRPr="00B41ECD">
              <w:rPr>
                <w:sz w:val="16"/>
                <w:szCs w:val="16"/>
              </w:rPr>
              <w:t xml:space="preserve">BECCS deployment over the twenty-first century </w:t>
            </w:r>
            <w:r>
              <w:rPr>
                <w:sz w:val="16"/>
                <w:szCs w:val="16"/>
              </w:rPr>
              <w:t xml:space="preserve">- </w:t>
            </w:r>
            <w:r>
              <w:rPr>
                <w:sz w:val="16"/>
                <w:szCs w:val="16"/>
              </w:rPr>
              <w:t>9</w:t>
            </w:r>
            <w:r w:rsidRPr="00B41ECD">
              <w:rPr>
                <w:sz w:val="16"/>
                <w:szCs w:val="16"/>
              </w:rPr>
              <w:t>50–</w:t>
            </w:r>
            <w:r>
              <w:rPr>
                <w:sz w:val="16"/>
                <w:szCs w:val="16"/>
              </w:rPr>
              <w:t>1,2</w:t>
            </w:r>
            <w:r w:rsidRPr="00B41ECD">
              <w:rPr>
                <w:sz w:val="16"/>
                <w:szCs w:val="16"/>
              </w:rPr>
              <w:t>00GtCO2</w:t>
            </w:r>
          </w:p>
          <w:p w:rsidR="00452D79" w:rsidRDefault="00452D79" w:rsidP="005F7ACB">
            <w:pPr>
              <w:pStyle w:val="NormalWeb"/>
              <w:spacing w:before="0" w:beforeAutospacing="0" w:after="0" w:afterAutospacing="0"/>
              <w:rPr>
                <w:sz w:val="16"/>
                <w:szCs w:val="16"/>
              </w:rPr>
            </w:pPr>
          </w:p>
          <w:p w:rsidR="00452D79" w:rsidRPr="005F7ACB" w:rsidRDefault="00452D79" w:rsidP="005F7ACB">
            <w:pPr>
              <w:pStyle w:val="NormalWeb"/>
              <w:spacing w:before="0" w:beforeAutospacing="0" w:after="0" w:afterAutospacing="0"/>
              <w:rPr>
                <w:sz w:val="16"/>
                <w:szCs w:val="16"/>
              </w:rPr>
            </w:pPr>
            <w:r w:rsidRPr="00452D79">
              <w:rPr>
                <w:sz w:val="16"/>
                <w:szCs w:val="16"/>
              </w:rPr>
              <w:t xml:space="preserve">Average annual CO2 storage from BECCS for the 1.9 W m–2 scenarios for the 2020–2100 period (GtCO2 </w:t>
            </w:r>
            <w:proofErr w:type="spellStart"/>
            <w:r w:rsidRPr="00452D79">
              <w:rPr>
                <w:sz w:val="16"/>
                <w:szCs w:val="16"/>
              </w:rPr>
              <w:t>yr</w:t>
            </w:r>
            <w:proofErr w:type="spellEnd"/>
            <w:r w:rsidRPr="00452D79">
              <w:rPr>
                <w:sz w:val="16"/>
                <w:szCs w:val="16"/>
              </w:rPr>
              <w:t>–1)</w:t>
            </w:r>
            <w:r>
              <w:rPr>
                <w:sz w:val="16"/>
                <w:szCs w:val="16"/>
              </w:rPr>
              <w:t xml:space="preserve"> – </w:t>
            </w:r>
            <w:r>
              <w:rPr>
                <w:sz w:val="16"/>
                <w:szCs w:val="16"/>
              </w:rPr>
              <w:t>11.2</w:t>
            </w:r>
            <w:bookmarkStart w:id="0" w:name="_GoBack"/>
            <w:bookmarkEnd w:id="0"/>
            <w:r>
              <w:rPr>
                <w:sz w:val="16"/>
                <w:szCs w:val="16"/>
              </w:rPr>
              <w:t xml:space="preserve"> (GCAM)</w:t>
            </w:r>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Pr="005F7ACB">
              <w:rPr>
                <w:sz w:val="16"/>
                <w:szCs w:val="16"/>
              </w:rPr>
              <w:instrText xml:space="preserve"> ADDIN ZOTERO_ITEM CSL_CITATION {"citationID":"1X1FslTi","properties":{"formattedCitation":"\\super 1\\nosupersub{}","plainCitation":"1","noteIndex":0},"citationItems":[{"id":429,"uris":["http://zotero.org/groups/2384940/items/GARRD8E2"],"uri":["http://zotero.org/groups/2384940/items/GARRD8E2"],"itemData":{"id":429,"type":"speech","title":"The GCAM Shared Socioeconomic Pathways (SSPs)"}}],"schema":"https://github.com/citation-style-language/schema/raw/master/csl-citation.json"} </w:instrText>
            </w:r>
            <w:r w:rsidRPr="005F7ACB">
              <w:rPr>
                <w:sz w:val="16"/>
                <w:szCs w:val="16"/>
              </w:rPr>
              <w:fldChar w:fldCharType="separate"/>
            </w:r>
            <w:r w:rsidRPr="005F7ACB">
              <w:rPr>
                <w:sz w:val="16"/>
                <w:szCs w:val="16"/>
                <w:vertAlign w:val="superscript"/>
              </w:rPr>
              <w:t>1</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Base EMF 32 scenario</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focuses on the interactions between carbon tax policies and revenue recycling in the United States</w:t>
            </w:r>
            <w:r w:rsidRPr="005F7ACB">
              <w:rPr>
                <w:sz w:val="16"/>
                <w:szCs w:val="16"/>
              </w:rPr>
              <w:fldChar w:fldCharType="begin"/>
            </w:r>
            <w:r w:rsidR="0082524A">
              <w:rPr>
                <w:sz w:val="16"/>
                <w:szCs w:val="16"/>
              </w:rPr>
              <w:instrText xml:space="preserve"> ADDIN ZOTERO_ITEM CSL_CITATION {"citationID":"217BORz8","properties":{"formattedCitation":"\\super 3\\nosupersub{}","plainCitation":"3","noteIndex":0},"citationItems":[{"id":467,"uris":["http://zotero.org/groups/2384940/items/KQDB2Q5K"],"uri":["http://zotero.org/groups/2384940/items/KQDB2Q5K"],"itemData":{"id":467,"type":"article-journal","title":"INTRODUCTION TO THE EMF 32 STUDY ON U.S. CARBON TAX SCENARIOS","container-title":"Climate Change Economics","page":"1840001","volume":"09","issue":"01","source":"DOI.org (Crossref)","abstract":"This paper is an introduction to, “The EMF 32 Study on U.S. Carbon Tax Scenarios,” part of the Stanford Energy Modeling Forum (EMF) Model Inter-comparison Project (MIP) number 32. Eleven modeling teams participated in this study examining the economic and environmental impacts of various carbon tax trajectories and differing uses of carbon tax revenues. This special issue of Climate Change Economics documents the results of this study with four cross-cutting papers that summarize results across models, and ten papers from individual modeling teams.","DOI":"10.1142/S2010007818400018","ISSN":"2010-0078, 2010-0086","journalAbbreviation":"Clim. Change Econ.","language":"en","author":[{"family":"Fawcett","given":"Allen A."},{"family":"Mcfarland","given":"James R."},{"family":"Morris","given":"Adele C."},{"family":"Weyant","given":"John P."}],"issued":{"date-parts":[["2018",2]]}}}],"schema":"https://github.com/citation-style-language/schema/raw/master/csl-citation.json"} </w:instrText>
            </w:r>
            <w:r w:rsidRPr="005F7ACB">
              <w:rPr>
                <w:sz w:val="16"/>
                <w:szCs w:val="16"/>
              </w:rPr>
              <w:fldChar w:fldCharType="separate"/>
            </w:r>
            <w:r w:rsidR="0082524A" w:rsidRPr="0082524A">
              <w:rPr>
                <w:sz w:val="16"/>
                <w:vertAlign w:val="superscript"/>
              </w:rPr>
              <w:t>3</w:t>
            </w:r>
            <w:r w:rsidRPr="005F7ACB">
              <w:rPr>
                <w:sz w:val="16"/>
                <w:szCs w:val="16"/>
              </w:rPr>
              <w:fldChar w:fldCharType="end"/>
            </w:r>
            <w:r w:rsidRPr="005F7ACB">
              <w:rPr>
                <w:sz w:val="16"/>
                <w:szCs w:val="16"/>
              </w:rPr>
              <w:t>.</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CO2 emissions from fossil fuels without climate policy or GHG regulations on </w:t>
            </w:r>
            <w:r w:rsidRPr="005F7ACB">
              <w:rPr>
                <w:sz w:val="16"/>
                <w:szCs w:val="16"/>
              </w:rPr>
              <w:lastRenderedPageBreak/>
              <w:t xml:space="preserve">stationary sources by the U.S. Environmental Protection Agency (EPA). Eleven modeling groups participated in the carbon tax study: ADAGE-US, CEPE, DIEM, EC-MSMR, FARM, G-Cubed, IGEM-N, NEMS, </w:t>
            </w:r>
            <w:proofErr w:type="spellStart"/>
            <w:r w:rsidRPr="005F7ACB">
              <w:rPr>
                <w:sz w:val="16"/>
                <w:szCs w:val="16"/>
              </w:rPr>
              <w:t>NewERA</w:t>
            </w:r>
            <w:proofErr w:type="spellEnd"/>
            <w:r w:rsidRPr="005F7ACB">
              <w:rPr>
                <w:sz w:val="16"/>
                <w:szCs w:val="16"/>
              </w:rPr>
              <w:t>, and USREP-</w:t>
            </w:r>
            <w:proofErr w:type="spellStart"/>
            <w:r w:rsidRPr="005F7ACB">
              <w:rPr>
                <w:sz w:val="16"/>
                <w:szCs w:val="16"/>
              </w:rPr>
              <w:t>ReEDS</w:t>
            </w:r>
            <w:proofErr w:type="spellEnd"/>
            <w:r w:rsidRPr="005F7ACB">
              <w:rPr>
                <w:sz w:val="16"/>
                <w:szCs w:val="16"/>
              </w:rPr>
              <w:t xml:space="preserve">. </w:t>
            </w: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lastRenderedPageBreak/>
              <w:t>Emissions (2040):</w:t>
            </w:r>
          </w:p>
          <w:p w:rsidR="005F7ACB" w:rsidRPr="005F7ACB" w:rsidRDefault="005F7ACB" w:rsidP="005F7ACB">
            <w:pPr>
              <w:pStyle w:val="NormalWeb"/>
              <w:spacing w:before="0" w:beforeAutospacing="0" w:after="0" w:afterAutospacing="0"/>
              <w:rPr>
                <w:sz w:val="16"/>
                <w:szCs w:val="16"/>
              </w:rPr>
            </w:pPr>
            <w:r w:rsidRPr="005F7ACB">
              <w:rPr>
                <w:sz w:val="16"/>
                <w:szCs w:val="16"/>
              </w:rPr>
              <w:t>4,650-6,000 MMTCO2</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2010-2040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no</w:t>
            </w: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no</w:t>
            </w: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exam of the impact of natural gas prices, technolog</w:t>
            </w:r>
            <w:r w:rsidRPr="005F7ACB">
              <w:rPr>
                <w:sz w:val="16"/>
                <w:szCs w:val="16"/>
              </w:rPr>
              <w:lastRenderedPageBreak/>
              <w:t>y innovation, and CO</w:t>
            </w:r>
            <w:r w:rsidRPr="005F7ACB">
              <w:rPr>
                <w:position w:val="-2"/>
                <w:sz w:val="16"/>
                <w:szCs w:val="16"/>
              </w:rPr>
              <w:t xml:space="preserve">2 </w:t>
            </w:r>
            <w:r w:rsidRPr="005F7ACB">
              <w:rPr>
                <w:sz w:val="16"/>
                <w:szCs w:val="16"/>
              </w:rPr>
              <w:t xml:space="preserve">policy on projections of U.S. energy demand and electric sector development. </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Three </w:t>
            </w:r>
            <w:proofErr w:type="spellStart"/>
            <w:r w:rsidRPr="005F7ACB">
              <w:rPr>
                <w:sz w:val="16"/>
                <w:szCs w:val="16"/>
              </w:rPr>
              <w:t>scenarious</w:t>
            </w:r>
            <w:proofErr w:type="spellEnd"/>
            <w:r w:rsidRPr="005F7ACB">
              <w:rPr>
                <w:sz w:val="16"/>
                <w:szCs w:val="16"/>
              </w:rPr>
              <w:t>:</w:t>
            </w:r>
          </w:p>
          <w:p w:rsidR="005F7ACB" w:rsidRPr="005F7ACB" w:rsidRDefault="005F7ACB" w:rsidP="005F7ACB">
            <w:pPr>
              <w:pStyle w:val="NormalWeb"/>
              <w:spacing w:before="0" w:beforeAutospacing="0" w:after="0" w:afterAutospacing="0"/>
              <w:rPr>
                <w:sz w:val="16"/>
                <w:szCs w:val="16"/>
              </w:rPr>
            </w:pPr>
            <w:r w:rsidRPr="005F7ACB">
              <w:rPr>
                <w:sz w:val="16"/>
                <w:szCs w:val="16"/>
              </w:rPr>
              <w:t>1) Reference – AEO 2016</w:t>
            </w:r>
          </w:p>
          <w:p w:rsidR="005F7ACB" w:rsidRDefault="005F7ACB" w:rsidP="005F7ACB">
            <w:pPr>
              <w:pStyle w:val="NormalWeb"/>
              <w:spacing w:before="0" w:beforeAutospacing="0" w:after="0" w:afterAutospacing="0"/>
              <w:rPr>
                <w:sz w:val="16"/>
                <w:szCs w:val="16"/>
              </w:rPr>
            </w:pPr>
            <w:r w:rsidRPr="005F7ACB">
              <w:rPr>
                <w:sz w:val="16"/>
                <w:szCs w:val="16"/>
              </w:rPr>
              <w:t>2) High natural gas price case</w:t>
            </w:r>
          </w:p>
          <w:p w:rsidR="005F7ACB" w:rsidRPr="005F7ACB" w:rsidRDefault="005F7ACB" w:rsidP="005F7ACB">
            <w:pPr>
              <w:pStyle w:val="NormalWeb"/>
              <w:spacing w:before="0" w:beforeAutospacing="0" w:after="0" w:afterAutospacing="0"/>
              <w:rPr>
                <w:sz w:val="16"/>
                <w:szCs w:val="16"/>
              </w:rPr>
            </w:pPr>
            <w:r>
              <w:rPr>
                <w:sz w:val="16"/>
                <w:szCs w:val="16"/>
              </w:rPr>
              <w:t>3) High Tech – High NG</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Yes</w:t>
            </w:r>
            <w:r w:rsidRPr="005F7ACB">
              <w:rPr>
                <w:sz w:val="16"/>
                <w:szCs w:val="16"/>
              </w:rPr>
              <w:fldChar w:fldCharType="begin"/>
            </w:r>
            <w:r w:rsidR="0082524A">
              <w:rPr>
                <w:sz w:val="16"/>
                <w:szCs w:val="16"/>
              </w:rPr>
              <w:instrText xml:space="preserve"> ADDIN ZOTERO_ITEM CSL_CITATION {"citationID":"NoR3ElyE","properties":{"formattedCitation":"\\super 4\\nosupersub{}","plainCitation":"4","noteIndex":0},"citationItems":[{"id":468,"uris":["http://zotero.org/groups/2384940/items/LYINVWBY"],"uri":["http://zotero.org/groups/2384940/items/LYINVWBY"],"itemData":{"id":468,"type":"article-journal","title":"U.S. energy sector impacts of technology innovation, fuel price, and electric sector CO2 policy: Results from the EMF 32 model intercomparison study","container-title":"Energy Economics","page":"352-370","volume":"73","source":"ScienceDirect","abstract":"We study the impact of fuel prices, technology innovation, and a CO2 emissions reduction policy on both the electric power and end-use sectors by comparing outputs from four U.S. energy-economic models through the year 2050. Achieving innovation goals decreases CO2 emissions in all models, regardless of natural gas price, due to increased energy efficiency and low-carbon generation becoming more cost competitive. For the models that include domestic natural gas markets, achieving innovation goals lowers wholesale electricity prices, but this effect diminishes as projected natural gas prices increase. Higher natural gas prices lead to higher wholesale electricity prices but fewer coal capacity retirements. A CO2 electric power sector emissions cap influences electric sector evolution under reference technology assumptions but has little to no incremental influence when added to innovation goals. Long-term, meeting innovation goals achieves a generation mix with similar CO2 emissions compared to the CO2 policy but with smaller increases to wholesale electricity prices. In the short-term, the relative effect on wholesale prices differs by model. Finally, higher natural gas prices, achieving innovation goals, and the combination of the two, increases the amount of renewable generation that is cost-effective to build and operate while slowing the growth of natural-gas fired generation, which is the predominant generation type in 2050 under reference conditions.","DOI":"10.1016/j.eneco.2018.03.027","ISSN":"0140-9883","title-short":"U.S. energy sector impacts of technology innovation, fuel price, and electric sector CO2 policy","journalAbbreviation":"Energy Economics","author":[{"family":"Hodson","given":"Elke L."},{"family":"Brown","given":"Maxwell"},{"family":"Cohen","given":"Stuart"},{"family":"Showalter","given":"Sharon"},{"family":"Wise","given":"Marshall"},{"family":"Wood","given":"Frances"},{"family":"Caron","given":"Justin"},{"family":"Feijoo","given":"Felipe"},{"family":"Iyer","given":"Gokul"},{"family":"Cleary","given":"Kathryne"}],"issued":{"date-parts":[["2018",6,1]]}}}],"schema":"https://github.com/citation-style-language/schema/raw/master/csl-citation.json"} </w:instrText>
            </w:r>
            <w:r w:rsidRPr="005F7ACB">
              <w:rPr>
                <w:sz w:val="16"/>
                <w:szCs w:val="16"/>
              </w:rPr>
              <w:fldChar w:fldCharType="separate"/>
            </w:r>
            <w:r w:rsidR="0082524A" w:rsidRPr="0082524A">
              <w:rPr>
                <w:sz w:val="16"/>
                <w:vertAlign w:val="superscript"/>
              </w:rPr>
              <w:t>4</w:t>
            </w:r>
            <w:r w:rsidRPr="005F7ACB">
              <w:rPr>
                <w:sz w:val="16"/>
                <w:szCs w:val="16"/>
              </w:rPr>
              <w:fldChar w:fldCharType="end"/>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natural gas prices by ex- </w:t>
            </w:r>
            <w:proofErr w:type="spellStart"/>
            <w:r w:rsidRPr="005F7ACB">
              <w:rPr>
                <w:sz w:val="16"/>
                <w:szCs w:val="16"/>
              </w:rPr>
              <w:t>actly</w:t>
            </w:r>
            <w:proofErr w:type="spellEnd"/>
            <w:r w:rsidRPr="005F7ACB">
              <w:rPr>
                <w:sz w:val="16"/>
                <w:szCs w:val="16"/>
              </w:rPr>
              <w:t xml:space="preserve"> matching AEO natural gas prices in the years 2030–2050, but line- </w:t>
            </w:r>
            <w:proofErr w:type="spellStart"/>
            <w:r w:rsidRPr="005F7ACB">
              <w:rPr>
                <w:sz w:val="16"/>
                <w:szCs w:val="16"/>
              </w:rPr>
              <w:t>arly</w:t>
            </w:r>
            <w:proofErr w:type="spellEnd"/>
            <w:r w:rsidRPr="005F7ACB">
              <w:rPr>
                <w:sz w:val="16"/>
                <w:szCs w:val="16"/>
              </w:rPr>
              <w:t xml:space="preserve"> interpolating natural gas prices between 2010 and 2030 </w:t>
            </w:r>
          </w:p>
          <w:p w:rsidR="005F7ACB" w:rsidRPr="005F7ACB" w:rsidRDefault="005F7ACB" w:rsidP="005F7ACB">
            <w:pPr>
              <w:pStyle w:val="NormalWeb"/>
              <w:spacing w:before="0" w:beforeAutospacing="0" w:after="0" w:afterAutospacing="0"/>
              <w:rPr>
                <w:sz w:val="16"/>
                <w:szCs w:val="16"/>
              </w:rPr>
            </w:pPr>
            <w:r w:rsidRPr="005F7ACB">
              <w:rPr>
                <w:sz w:val="16"/>
                <w:szCs w:val="16"/>
              </w:rPr>
              <w:t>GCAM-USA uses two exogenous</w:t>
            </w:r>
            <w:r w:rsidRPr="005F7ACB">
              <w:rPr>
                <w:sz w:val="16"/>
                <w:szCs w:val="16"/>
              </w:rPr>
              <w:lastRenderedPageBreak/>
              <w:t xml:space="preserve">ly fixed price paths for all of the </w:t>
            </w:r>
            <w:proofErr w:type="spellStart"/>
            <w:r w:rsidRPr="005F7ACB">
              <w:rPr>
                <w:sz w:val="16"/>
                <w:szCs w:val="16"/>
              </w:rPr>
              <w:t>sensi</w:t>
            </w:r>
            <w:proofErr w:type="spellEnd"/>
            <w:r w:rsidRPr="005F7ACB">
              <w:rPr>
                <w:sz w:val="16"/>
                <w:szCs w:val="16"/>
              </w:rPr>
              <w:t xml:space="preserve">- </w:t>
            </w:r>
            <w:proofErr w:type="spellStart"/>
            <w:r w:rsidRPr="005F7ACB">
              <w:rPr>
                <w:sz w:val="16"/>
                <w:szCs w:val="16"/>
              </w:rPr>
              <w:t>tivities</w:t>
            </w:r>
            <w:proofErr w:type="spellEnd"/>
            <w:r w:rsidRPr="005F7ACB">
              <w:rPr>
                <w:sz w:val="16"/>
                <w:szCs w:val="16"/>
              </w:rPr>
              <w:t xml:space="preserve"> in this study. </w:t>
            </w:r>
          </w:p>
          <w:p w:rsidR="005F7ACB" w:rsidRPr="005F7ACB" w:rsidRDefault="005F7ACB" w:rsidP="005F7ACB">
            <w:pPr>
              <w:pStyle w:val="NormalWeb"/>
              <w:spacing w:before="0" w:beforeAutospacing="0" w:after="0" w:afterAutospacing="0"/>
              <w:rPr>
                <w:sz w:val="16"/>
                <w:szCs w:val="16"/>
              </w:rPr>
            </w:pPr>
            <w:r w:rsidRPr="005F7ACB">
              <w:rPr>
                <w:sz w:val="16"/>
                <w:szCs w:val="16"/>
              </w:rPr>
              <w:t>The CO</w:t>
            </w:r>
            <w:r w:rsidRPr="005F7ACB">
              <w:rPr>
                <w:position w:val="-2"/>
                <w:sz w:val="16"/>
                <w:szCs w:val="16"/>
              </w:rPr>
              <w:t xml:space="preserve">2 </w:t>
            </w:r>
            <w:r w:rsidRPr="005F7ACB">
              <w:rPr>
                <w:sz w:val="16"/>
                <w:szCs w:val="16"/>
              </w:rPr>
              <w:t xml:space="preserve">Policy scenarios listed in </w:t>
            </w:r>
            <w:r w:rsidRPr="005F7ACB">
              <w:rPr>
                <w:color w:val="0000FF"/>
                <w:sz w:val="16"/>
                <w:szCs w:val="16"/>
              </w:rPr>
              <w:t xml:space="preserve">Table 2 </w:t>
            </w:r>
            <w:r w:rsidRPr="005F7ACB">
              <w:rPr>
                <w:sz w:val="16"/>
                <w:szCs w:val="16"/>
              </w:rPr>
              <w:t>take the reference scenarios (REF</w:t>
            </w:r>
            <w:proofErr w:type="gramStart"/>
            <w:r w:rsidRPr="005F7ACB">
              <w:rPr>
                <w:sz w:val="16"/>
                <w:szCs w:val="16"/>
              </w:rPr>
              <w:t>, ,</w:t>
            </w:r>
            <w:proofErr w:type="gramEnd"/>
            <w:r w:rsidRPr="005F7ACB">
              <w:rPr>
                <w:sz w:val="16"/>
                <w:szCs w:val="16"/>
              </w:rPr>
              <w:t xml:space="preserve"> </w:t>
            </w:r>
            <w:proofErr w:type="spellStart"/>
            <w:r w:rsidRPr="005F7ACB">
              <w:rPr>
                <w:sz w:val="16"/>
                <w:szCs w:val="16"/>
              </w:rPr>
              <w:t>HighTech</w:t>
            </w:r>
            <w:proofErr w:type="spellEnd"/>
            <w:r w:rsidRPr="005F7ACB">
              <w:rPr>
                <w:sz w:val="16"/>
                <w:szCs w:val="16"/>
              </w:rPr>
              <w:t xml:space="preserve">, </w:t>
            </w:r>
            <w:proofErr w:type="spellStart"/>
            <w:r w:rsidRPr="005F7ACB">
              <w:rPr>
                <w:sz w:val="16"/>
                <w:szCs w:val="16"/>
              </w:rPr>
              <w:t>HighTech-HighNG</w:t>
            </w:r>
            <w:proofErr w:type="spellEnd"/>
            <w:r w:rsidRPr="005F7ACB">
              <w:rPr>
                <w:sz w:val="16"/>
                <w:szCs w:val="16"/>
              </w:rPr>
              <w:t>) and add a representative power sector carbon dioxide (CO</w:t>
            </w:r>
            <w:r w:rsidRPr="005F7ACB">
              <w:rPr>
                <w:position w:val="-2"/>
                <w:sz w:val="16"/>
                <w:szCs w:val="16"/>
              </w:rPr>
              <w:t>2</w:t>
            </w:r>
            <w:r w:rsidRPr="005F7ACB">
              <w:rPr>
                <w:sz w:val="16"/>
                <w:szCs w:val="16"/>
              </w:rPr>
              <w:t>) emissions reduction policy. The CO</w:t>
            </w:r>
            <w:r w:rsidRPr="005F7ACB">
              <w:rPr>
                <w:position w:val="-2"/>
                <w:sz w:val="16"/>
                <w:szCs w:val="16"/>
              </w:rPr>
              <w:t xml:space="preserve">2 </w:t>
            </w:r>
            <w:r w:rsidRPr="005F7ACB">
              <w:rPr>
                <w:sz w:val="16"/>
                <w:szCs w:val="16"/>
              </w:rPr>
              <w:t>policy limits the maximum total quantity of CO</w:t>
            </w:r>
            <w:r w:rsidRPr="005F7ACB">
              <w:rPr>
                <w:position w:val="-2"/>
                <w:sz w:val="16"/>
                <w:szCs w:val="16"/>
              </w:rPr>
              <w:t xml:space="preserve">2 </w:t>
            </w:r>
            <w:r w:rsidRPr="005F7ACB">
              <w:rPr>
                <w:sz w:val="16"/>
                <w:szCs w:val="16"/>
              </w:rPr>
              <w:t xml:space="preserve">that can be emitted by the power sector on a national scale—a national mass-based emissions cap. The annual cap imposed in the </w:t>
            </w:r>
            <w:r w:rsidRPr="005F7ACB">
              <w:rPr>
                <w:sz w:val="16"/>
                <w:szCs w:val="16"/>
              </w:rPr>
              <w:lastRenderedPageBreak/>
              <w:t xml:space="preserve">models is shown in </w:t>
            </w:r>
            <w:r w:rsidRPr="005F7ACB">
              <w:rPr>
                <w:color w:val="0000FF"/>
                <w:sz w:val="16"/>
                <w:szCs w:val="16"/>
              </w:rPr>
              <w:t>Table 4</w:t>
            </w:r>
            <w:r w:rsidRPr="005F7ACB">
              <w:rPr>
                <w:sz w:val="16"/>
                <w:szCs w:val="16"/>
              </w:rPr>
              <w:t xml:space="preserve">, and is modeled with national trading allowed across all sub-national regions </w:t>
            </w:r>
          </w:p>
          <w:p w:rsidR="005F7ACB" w:rsidRPr="005F7ACB" w:rsidRDefault="005F7ACB" w:rsidP="005F7ACB">
            <w:pPr>
              <w:pStyle w:val="NormalWeb"/>
              <w:spacing w:before="0" w:beforeAutospacing="0" w:after="0" w:afterAutospacing="0"/>
              <w:rPr>
                <w:sz w:val="16"/>
                <w:szCs w:val="16"/>
              </w:rPr>
            </w:pPr>
            <w:r w:rsidRPr="005F7ACB">
              <w:rPr>
                <w:noProof/>
                <w:sz w:val="16"/>
                <w:szCs w:val="16"/>
              </w:rPr>
              <w:drawing>
                <wp:inline distT="0" distB="0" distL="0" distR="0" wp14:anchorId="22947BCC" wp14:editId="355E0465">
                  <wp:extent cx="5376195" cy="955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3 at 9.38.1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6195" cy="955938"/>
                          </a:xfrm>
                          <a:prstGeom prst="rect">
                            <a:avLst/>
                          </a:prstGeom>
                        </pic:spPr>
                      </pic:pic>
                    </a:graphicData>
                  </a:graphic>
                </wp:inline>
              </w:drawing>
            </w: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lastRenderedPageBreak/>
              <w:fldChar w:fldCharType="begin"/>
            </w:r>
            <w:r w:rsidR="0082524A">
              <w:rPr>
                <w:sz w:val="16"/>
                <w:szCs w:val="16"/>
              </w:rPr>
              <w:instrText xml:space="preserve"> ADDIN ZOTERO_ITEM CSL_CITATION {"citationID":"m9cwbh6q","properties":{"formattedCitation":"\\super 5\\nosupersub{}","plainCitation":"5","noteIndex":0},"citationItems":[{"id":448,"uris":["http://zotero.org/groups/2384940/items/639TQW9D"],"uri":["http://zotero.org/groups/2384940/items/639TQW9D"],"itemData":{"id":448,"type":"article-journal","title":"The EMF 32 study on technology and climate policy strategies for greenhouse gas reductions in the U.S. electric power sector: An overview","container-title":"Energy Economics","page":"286-289","volume":"73","source":"ScienceDirect","DOI":"10.1016/j.eneco.2018.03.007","ISSN":"0140-9883","title-short":"The EMF 32 study on technology and climate policy strategies for greenhouse gas reductions in the U.S. electric power sector","journalAbbreviation":"Energy Economics","author":[{"family":"Murray","given":"Brian C."},{"family":"Bistline","given":"John"},{"family":"Creason","given":"Jared"},{"family":"Wright","given":"Evelyn"},{"family":"Kanudia","given":"Amit"},{"family":"Chesnaye","given":"Francisco","non-dropping-particle":"de la"}],"issued":{"date-parts":[["2018",6,1]]}}}],"schema":"https://github.com/citation-style-language/schema/raw/master/csl-citation.json"} </w:instrText>
            </w:r>
            <w:r w:rsidRPr="005F7ACB">
              <w:rPr>
                <w:sz w:val="16"/>
                <w:szCs w:val="16"/>
              </w:rPr>
              <w:fldChar w:fldCharType="separate"/>
            </w:r>
            <w:r w:rsidR="0082524A" w:rsidRPr="0082524A">
              <w:rPr>
                <w:sz w:val="16"/>
                <w:vertAlign w:val="superscript"/>
              </w:rPr>
              <w:t>5</w:t>
            </w:r>
            <w:r w:rsidRPr="005F7ACB">
              <w:rPr>
                <w:sz w:val="16"/>
                <w:szCs w:val="16"/>
              </w:rPr>
              <w:fldChar w:fldCharType="end"/>
            </w:r>
            <w:r w:rsidRPr="005F7ACB">
              <w:rPr>
                <w:sz w:val="16"/>
                <w:szCs w:val="16"/>
              </w:rPr>
              <w:fldChar w:fldCharType="begin"/>
            </w:r>
            <w:r w:rsidR="0082524A">
              <w:rPr>
                <w:sz w:val="16"/>
                <w:szCs w:val="16"/>
              </w:rPr>
              <w:instrText xml:space="preserve"> ADDIN ZOTERO_ITEM CSL_CITATION {"citationID":"VfQgqC7d","properties":{"formattedCitation":"\\super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{"citationID":"5Rvo8j8S","properties":{"formattedCitation":"\\super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lastRenderedPageBreak/>
              <w:t>EMF 32 25$ with 1%</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To compare with base EMF 32 scenario. Cover three types of carbon tax revenue recycling: lump sum to consumers, reduction in labor tax rates, and reduction in capital tax rate.</w:t>
            </w:r>
          </w:p>
          <w:p w:rsidR="005F7ACB" w:rsidRPr="005F7ACB" w:rsidRDefault="005F7ACB" w:rsidP="005F7ACB">
            <w:pPr>
              <w:pStyle w:val="NormalWeb"/>
              <w:spacing w:before="0" w:beforeAutospacing="0" w:after="0" w:afterAutospacing="0"/>
              <w:rPr>
                <w:sz w:val="16"/>
                <w:szCs w:val="16"/>
              </w:rPr>
            </w:pPr>
            <w:r w:rsidRPr="005F7ACB">
              <w:rPr>
                <w:sz w:val="16"/>
                <w:szCs w:val="16"/>
              </w:rPr>
              <w:t xml:space="preserve">The core carbon price scenarios lead to significant reductions in CO2 emissions, with the vast majority of the reductions occurring in the electricity sector and disproportionately through reductions in coal </w:t>
            </w:r>
            <w:r w:rsidRPr="005F7ACB">
              <w:rPr>
                <w:sz w:val="16"/>
                <w:szCs w:val="16"/>
              </w:rPr>
              <w:fldChar w:fldCharType="begin"/>
            </w:r>
            <w:r w:rsidR="0082524A">
              <w:rPr>
                <w:sz w:val="16"/>
                <w:szCs w:val="16"/>
              </w:rPr>
              <w:instrText xml:space="preserve"> ADDIN ZOTERO_ITEM CSL_CITATION {"citationID":"q9UV7hDU","properties":{"formattedCitation":"\\super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Emissions (2040):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3,250-4,800 MMTCO2</w:t>
            </w:r>
          </w:p>
          <w:p w:rsidR="005F7ACB" w:rsidRPr="005F7ACB" w:rsidRDefault="005F7ACB" w:rsidP="005F7ACB">
            <w:pPr>
              <w:pStyle w:val="NormalWeb"/>
              <w:tabs>
                <w:tab w:val="left" w:pos="230"/>
              </w:tabs>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Percentage decrease from reference scenario:</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Min – 11%</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Max – 18%</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Avg – 30%</w:t>
            </w:r>
          </w:p>
          <w:p w:rsidR="005F7ACB" w:rsidRPr="005F7ACB" w:rsidRDefault="005F7ACB" w:rsidP="005F7ACB">
            <w:pPr>
              <w:pStyle w:val="NormalWeb"/>
              <w:tabs>
                <w:tab w:val="left" w:pos="230"/>
              </w:tabs>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Reductions in emissions by fuel with household rebates (2040)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1) coal – 30-98%</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2) oil – 1-10%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3) gas – (-2)-49%</w:t>
            </w:r>
          </w:p>
          <w:p w:rsidR="005F7ACB" w:rsidRPr="005F7ACB" w:rsidRDefault="005F7ACB" w:rsidP="005F7ACB">
            <w:pPr>
              <w:pStyle w:val="NormalWeb"/>
              <w:tabs>
                <w:tab w:val="left" w:pos="230"/>
              </w:tabs>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 xml:space="preserve">All of the four core price trajectories appear sufficient to achieve (and often exceed) a 26% economy-wide reduction below 2005 levels by 2025), at least with regard to the </w:t>
            </w:r>
            <w:r w:rsidRPr="005F7ACB">
              <w:rPr>
                <w:sz w:val="16"/>
                <w:szCs w:val="16"/>
              </w:rPr>
              <w:lastRenderedPageBreak/>
              <w:t>fossil-fuel-related CO2 component of the target. This target represents the less stringent end of the U.S. Nationally Determined Contribution to the Paris Agreement (26–28%)</w:t>
            </w:r>
          </w:p>
          <w:p w:rsidR="005F7ACB" w:rsidRPr="005F7ACB" w:rsidRDefault="005F7ACB" w:rsidP="005F7ACB">
            <w:pPr>
              <w:pStyle w:val="NormalWeb"/>
              <w:tabs>
                <w:tab w:val="left" w:pos="230"/>
              </w:tabs>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Price trajectory to achieve the 26% reduction target would generally begin between $9 and $40/ton in 2020 and rise to between $11 and $51/ton by 2025</w:t>
            </w:r>
            <w:r>
              <w:rPr>
                <w:sz w:val="16"/>
                <w:szCs w:val="16"/>
              </w:rPr>
              <w:t>.</w:t>
            </w:r>
            <w:r w:rsidRPr="005F7ACB">
              <w:rPr>
                <w:sz w:val="16"/>
                <w:szCs w:val="16"/>
              </w:rPr>
              <w:t xml:space="preserve"> This scenario assumed a real annual escalation rate of 5%, which gives all of the trajectories a similar shape. </w:t>
            </w:r>
            <w:r w:rsidRPr="005F7ACB">
              <w:rPr>
                <w:sz w:val="16"/>
                <w:szCs w:val="16"/>
              </w:rPr>
              <w:fldChar w:fldCharType="begin"/>
            </w:r>
            <w:r w:rsidR="0082524A">
              <w:rPr>
                <w:sz w:val="16"/>
                <w:szCs w:val="16"/>
              </w:rPr>
              <w:instrText xml:space="preserve"> ADDIN ZOTERO_ITEM CSL_CITATION {"citationID":"laZ0ygoC","properties":{"formattedCitation":"\\super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25$/tCO2</w:t>
            </w: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 xml:space="preserve">2015- 2040 </w:t>
            </w: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1%/ year</w:t>
            </w: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roofErr w:type="spellStart"/>
            <w:r w:rsidRPr="005F7ACB">
              <w:rPr>
                <w:sz w:val="16"/>
                <w:szCs w:val="16"/>
              </w:rPr>
              <w:t>Callibration</w:t>
            </w:r>
            <w:proofErr w:type="spellEnd"/>
            <w:r w:rsidRPr="005F7ACB">
              <w:rPr>
                <w:sz w:val="16"/>
                <w:szCs w:val="16"/>
              </w:rPr>
              <w:t xml:space="preserve"> of REF to AEO 2016 </w:t>
            </w:r>
            <w:r w:rsidRPr="005F7ACB">
              <w:rPr>
                <w:sz w:val="16"/>
                <w:szCs w:val="16"/>
              </w:rPr>
              <w:fldChar w:fldCharType="begin"/>
            </w:r>
            <w:r w:rsidR="0082524A">
              <w:rPr>
                <w:sz w:val="16"/>
                <w:szCs w:val="16"/>
              </w:rPr>
              <w:instrText xml:space="preserve"> ADDIN ZOTERO_ITEM CSL_CITATION {"citationID":"USzkoMKK","properties":{"formattedCitation":"\\super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{"citationID":"Yk3631ue","properties":{"formattedCitation":"\\super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{"citationID":"2Wp5mCOr","properties":{"formattedCitation":"\\super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{"citationID":"tfaHE8U1","properties":{"formattedCitation":"\\super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25$ with 5%</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To compare with base EMF 32 scenario. Cover three types of carbon tax revenue recycling: lump sum to consumers, reduction in labor tax rates, and reduction in capital tax rate</w:t>
            </w: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Emissions (2040):</w:t>
            </w:r>
          </w:p>
          <w:p w:rsidR="005F7ACB" w:rsidRPr="005F7ACB" w:rsidRDefault="005F7ACB" w:rsidP="005F7ACB">
            <w:pPr>
              <w:pStyle w:val="NormalWeb"/>
              <w:spacing w:before="0" w:beforeAutospacing="0" w:after="0" w:afterAutospacing="0"/>
              <w:rPr>
                <w:sz w:val="16"/>
                <w:szCs w:val="16"/>
              </w:rPr>
            </w:pPr>
            <w:r w:rsidRPr="005F7ACB">
              <w:rPr>
                <w:sz w:val="16"/>
                <w:szCs w:val="16"/>
              </w:rPr>
              <w:t>2,450-4,250 MMTCO2</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Percentage decrease from reference scenario:</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Min – 13%</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Max – 21%</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Avg – 35%</w:t>
            </w:r>
          </w:p>
          <w:p w:rsidR="005F7ACB" w:rsidRPr="005F7ACB" w:rsidRDefault="005F7ACB" w:rsidP="005F7ACB">
            <w:pPr>
              <w:pStyle w:val="NormalWeb"/>
              <w:tabs>
                <w:tab w:val="left" w:pos="230"/>
              </w:tabs>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Reductions in emissions by fuel with household rebates (2040)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1) coal – 48-99%</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2) oil – 10-20%</w:t>
            </w:r>
          </w:p>
          <w:p w:rsidR="005F7ACB" w:rsidRPr="005F7ACB" w:rsidRDefault="005F7ACB" w:rsidP="005F7ACB">
            <w:pPr>
              <w:pStyle w:val="NormalWeb"/>
              <w:spacing w:before="0" w:beforeAutospacing="0" w:after="0" w:afterAutospacing="0"/>
              <w:rPr>
                <w:sz w:val="16"/>
                <w:szCs w:val="16"/>
              </w:rPr>
            </w:pPr>
            <w:r w:rsidRPr="005F7ACB">
              <w:rPr>
                <w:sz w:val="16"/>
                <w:szCs w:val="16"/>
              </w:rPr>
              <w:t>3) gas – 1-75%</w:t>
            </w: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25$/tCO2</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2015-2040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5%/ year</w:t>
            </w: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{"citationID":"PmzBEWC4","properties":{"formattedCitation":"\\super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{"citationID":"Jv3hs4Hx","properties":{"formattedCitation":"\\super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{"citationID":"e7vulqG8","properties":{"formattedCitation":"\\super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50$ with 1%</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To compare with base EMF 32 scenario. Cover three types of carbon tax revenue recycling: lump sum to consumers, reduction in labor tax rates, and reduction in capital tax rate</w:t>
            </w: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Emissions (2040):</w:t>
            </w:r>
          </w:p>
          <w:p w:rsidR="005F7ACB" w:rsidRPr="005F7ACB" w:rsidRDefault="005F7ACB" w:rsidP="005F7ACB">
            <w:pPr>
              <w:pStyle w:val="NormalWeb"/>
              <w:spacing w:before="0" w:beforeAutospacing="0" w:after="0" w:afterAutospacing="0"/>
              <w:rPr>
                <w:sz w:val="16"/>
                <w:szCs w:val="16"/>
              </w:rPr>
            </w:pPr>
            <w:r w:rsidRPr="005F7ACB">
              <w:rPr>
                <w:sz w:val="16"/>
                <w:szCs w:val="16"/>
              </w:rPr>
              <w:t>2,500-4,300 MMTCO2</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Percentage decrease from reference scenario:</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Min – 19%</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lastRenderedPageBreak/>
              <w:t>Max – 29%</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Avg – 48%</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Reductions in emissions by fuel with household rebates (2040)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1) coal – 45-99%</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2) oil – 5-20%</w:t>
            </w:r>
          </w:p>
          <w:p w:rsidR="005F7ACB" w:rsidRPr="005F7ACB" w:rsidRDefault="005F7ACB" w:rsidP="005F7ACB">
            <w:pPr>
              <w:pStyle w:val="NormalWeb"/>
              <w:spacing w:before="0" w:beforeAutospacing="0" w:after="0" w:afterAutospacing="0"/>
              <w:rPr>
                <w:sz w:val="16"/>
                <w:szCs w:val="16"/>
              </w:rPr>
            </w:pPr>
            <w:r w:rsidRPr="005F7ACB">
              <w:rPr>
                <w:sz w:val="16"/>
                <w:szCs w:val="16"/>
              </w:rPr>
              <w:t>3) gas – 5-75%</w:t>
            </w: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lastRenderedPageBreak/>
              <w:t>50$/tCO2</w:t>
            </w: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2015-2040</w:t>
            </w: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1%/ year</w:t>
            </w: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{"citationID":"g6aAwRbi","properties":{"formattedCitation":"\\super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{"citationID":"kWUGzjSW","properties":{"formattedCitation":"\\super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{"citationID":"UFEkVqZD","properties":{"formattedCitation":"\\super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50$ with 5%</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To compare with base EMF 32 scenario. Cover three types of carbon tax revenue recycling: lump sum to consumers, reduction in labor tax rates, and reduction in capital tax rate.</w:t>
            </w: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Emissions (2040):</w:t>
            </w:r>
          </w:p>
          <w:p w:rsidR="005F7ACB" w:rsidRPr="005F7ACB" w:rsidRDefault="005F7ACB" w:rsidP="005F7ACB">
            <w:pPr>
              <w:pStyle w:val="NormalWeb"/>
              <w:spacing w:before="0" w:beforeAutospacing="0" w:after="0" w:afterAutospacing="0"/>
              <w:rPr>
                <w:sz w:val="16"/>
                <w:szCs w:val="16"/>
              </w:rPr>
            </w:pPr>
            <w:r w:rsidRPr="005F7ACB">
              <w:rPr>
                <w:sz w:val="16"/>
                <w:szCs w:val="16"/>
              </w:rPr>
              <w:t>1,900-3,600 MMTCO2</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Percentage decrease from reference scenario:</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 xml:space="preserve">Min – </w:t>
            </w:r>
            <w:r w:rsidRPr="005F7ACB">
              <w:rPr>
                <w:sz w:val="16"/>
                <w:szCs w:val="16"/>
                <w:lang w:val="ru-RU"/>
              </w:rPr>
              <w:t>22</w:t>
            </w:r>
            <w:r w:rsidRPr="005F7ACB">
              <w:rPr>
                <w:sz w:val="16"/>
                <w:szCs w:val="16"/>
              </w:rPr>
              <w:t>%</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 xml:space="preserve">Max – </w:t>
            </w:r>
            <w:r w:rsidRPr="005F7ACB">
              <w:rPr>
                <w:sz w:val="16"/>
                <w:szCs w:val="16"/>
                <w:lang w:val="ru-RU"/>
              </w:rPr>
              <w:t>30</w:t>
            </w:r>
            <w:r w:rsidRPr="005F7ACB">
              <w:rPr>
                <w:sz w:val="16"/>
                <w:szCs w:val="16"/>
              </w:rPr>
              <w:t>%</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 xml:space="preserve">Avg – </w:t>
            </w:r>
            <w:r w:rsidRPr="005F7ACB">
              <w:rPr>
                <w:sz w:val="16"/>
                <w:szCs w:val="16"/>
                <w:lang w:val="ru-RU"/>
              </w:rPr>
              <w:t>3</w:t>
            </w:r>
            <w:r w:rsidRPr="005F7ACB">
              <w:rPr>
                <w:sz w:val="16"/>
                <w:szCs w:val="16"/>
              </w:rPr>
              <w:t>8%</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Reductions in emissions by fuel with household rebates (2040)</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1) coal – 65-99%</w:t>
            </w:r>
          </w:p>
          <w:p w:rsidR="005F7ACB" w:rsidRPr="005F7ACB" w:rsidRDefault="005F7ACB" w:rsidP="005F7ACB">
            <w:pPr>
              <w:pStyle w:val="NormalWeb"/>
              <w:tabs>
                <w:tab w:val="left" w:pos="230"/>
              </w:tabs>
              <w:spacing w:before="0" w:beforeAutospacing="0" w:after="0" w:afterAutospacing="0"/>
              <w:rPr>
                <w:sz w:val="16"/>
                <w:szCs w:val="16"/>
              </w:rPr>
            </w:pPr>
            <w:r w:rsidRPr="005F7ACB">
              <w:rPr>
                <w:sz w:val="16"/>
                <w:szCs w:val="16"/>
              </w:rPr>
              <w:t>2) oil – 10-28%</w:t>
            </w:r>
          </w:p>
          <w:p w:rsidR="005F7ACB" w:rsidRPr="005F7ACB" w:rsidRDefault="005F7ACB" w:rsidP="005F7ACB">
            <w:pPr>
              <w:pStyle w:val="NormalWeb"/>
              <w:spacing w:before="0" w:beforeAutospacing="0" w:after="0" w:afterAutospacing="0"/>
              <w:rPr>
                <w:sz w:val="16"/>
                <w:szCs w:val="16"/>
              </w:rPr>
            </w:pPr>
            <w:r w:rsidRPr="005F7ACB">
              <w:rPr>
                <w:sz w:val="16"/>
                <w:szCs w:val="16"/>
              </w:rPr>
              <w:t>3) gas – 25-65%</w:t>
            </w:r>
          </w:p>
          <w:p w:rsidR="005F7ACB" w:rsidRPr="005F7ACB" w:rsidRDefault="005F7ACB" w:rsidP="005F7ACB">
            <w:pPr>
              <w:pStyle w:val="NormalWeb"/>
              <w:spacing w:before="0" w:beforeAutospacing="0" w:after="0" w:afterAutospacing="0"/>
              <w:rPr>
                <w:sz w:val="16"/>
                <w:szCs w:val="16"/>
              </w:rPr>
            </w:pPr>
          </w:p>
          <w:p w:rsidR="005F7ACB" w:rsidRPr="005F7ACB" w:rsidRDefault="005F7ACB" w:rsidP="005F7ACB">
            <w:pPr>
              <w:pStyle w:val="NormalWeb"/>
              <w:spacing w:before="0" w:beforeAutospacing="0" w:after="0" w:afterAutospacing="0"/>
              <w:rPr>
                <w:sz w:val="16"/>
                <w:szCs w:val="16"/>
              </w:rPr>
            </w:pPr>
            <w:r w:rsidRPr="005F7ACB">
              <w:rPr>
                <w:sz w:val="16"/>
                <w:szCs w:val="16"/>
              </w:rPr>
              <w:t>Scenario provides the maximum (up to 48%) emissions reductions below 2005 level compare to other exogenous EMF 32 scenarios.</w:t>
            </w: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50$/ tCO2</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2015-2040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5%/ year</w:t>
            </w: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{"citationID":"sXWTJTnF","properties":{"formattedCitation":"\\super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{"citationID":"m8VlA5Wg","properties":{"formattedCitation":"\\super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{"citationID":"159YAOPD","properties":{"formattedCitation":"\\super 8\\nosupersub{}","plainCitation":"8","noteIndex":0},"citationItems":[{"id":454,"uris":["http://zotero.org/groups/2384940/items/KPY4EFAM"],"uri":["http://zotero.org/groups/2384940/items/KPY4EFAM"],"itemData":{"id":454,"type":"article-journal","title":"POLICY INSIGHTS FROM THE EMF 32 STUDY ON U.S. CARBON TAX SCENARIOS","container-title":"Climate Change Economics","page":"1840003","volume":"09","issue":"01","source":"DOI.org (Crossref)","abstract":"The Stanford Energy Modeling Forum exercise 32 (EMF 32) used 11 different models to assess emissions, energy, and economic outcomes from a plausible range of economy-wide carbon price policies to reduce carbon dioxide (CO[Formula: see text] emissions in the United States. Here we discuss the most policy-relevant results of the study, mindful of the strengths and weaknesses of current models. Across all models, carbon prices lead to significant reductions in CO\n              2\n              emissions and conventional pollutants, with the vast majority of the reductions occurring in the electricity sector. Importantly, emissions reductions do not significantly depend on the rebate or tax cut used to return revenues to the economy. Expected economic costs, as modeled by either GDP or welfare, are modest, but vary across models. These costs are offset by benefits from avoided climate damages and health benefits from reductions in conventional air pollution. Using revenues to reduce preexisting capital or labor taxes reduces costs in most models relative to lump-sum rebates, but the size of the cost reductions varies significantly. Devoting at least some revenue to household rebates can significantly reduce adverse impacts on low income households. Carbon prices at $25/ton or even lower levels cause significant shifts away from coal as an energy source with responses of other energy sources highly dependent upon technology cost assumptions. Beyond 2030, we conclude that model uncertainties are too large to make quantitative results useful for near-term policy design. We close by describing recommendations for policymakers on interacting with model results in the future.","DOI":"10.1142/S2010007818400031","ISSN":"2010-0078, 2010-0086","journalAbbreviation":"Clim. Change Econ.","language":"en","author":[{"family":"Barron","given":"Alexander R."},{"family":"Fawcett","given":"Allen A."},{"family":"Hafstead","given":"Marc A. C."},{"family":"Mcfarland","given":"James R."},{"family":"Morris","given":"Adele C."}],"issued":{"date-parts":[["2018",2]]}}}],"schema":"https://github.com/citation-style-language/schema/raw/master/csl-citation.json"} </w:instrText>
            </w:r>
            <w:r w:rsidRPr="005F7ACB">
              <w:rPr>
                <w:sz w:val="16"/>
                <w:szCs w:val="16"/>
              </w:rPr>
              <w:fldChar w:fldCharType="separate"/>
            </w:r>
            <w:r w:rsidR="0082524A" w:rsidRPr="0082524A">
              <w:rPr>
                <w:sz w:val="16"/>
                <w:vertAlign w:val="superscript"/>
              </w:rPr>
              <w:t>8</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76% reduction (no BECCS)</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Default="005F7ACB" w:rsidP="005F7ACB">
            <w:pPr>
              <w:pStyle w:val="NormalWeb"/>
              <w:spacing w:before="0" w:beforeAutospacing="0" w:after="0" w:afterAutospacing="0"/>
              <w:rPr>
                <w:sz w:val="16"/>
                <w:szCs w:val="16"/>
              </w:rPr>
            </w:pPr>
            <w:r w:rsidRPr="005F7ACB">
              <w:rPr>
                <w:sz w:val="16"/>
                <w:szCs w:val="16"/>
              </w:rPr>
              <w:t>To compare with base EMF 32 scenario. 76% reduction of CO2 emissions from 2005 level. Deep de-carbonization scenario</w:t>
            </w:r>
            <w:r>
              <w:rPr>
                <w:sz w:val="16"/>
                <w:szCs w:val="16"/>
              </w:rPr>
              <w:t>.</w:t>
            </w:r>
          </w:p>
          <w:p w:rsidR="005F7ACB" w:rsidRDefault="005F7ACB" w:rsidP="005F7ACB">
            <w:pPr>
              <w:pStyle w:val="NormalWeb"/>
              <w:spacing w:before="0" w:beforeAutospacing="0" w:after="0" w:afterAutospacing="0"/>
              <w:rPr>
                <w:sz w:val="16"/>
                <w:szCs w:val="16"/>
              </w:rPr>
            </w:pPr>
            <w:r>
              <w:rPr>
                <w:sz w:val="16"/>
                <w:szCs w:val="16"/>
              </w:rPr>
              <w:t>Scenario implemented only in FARM.</w:t>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{"citationID":"lGjIg9F2","properties":{"formattedCitation":"\\super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2020-2050</w:t>
            </w: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 xml:space="preserve">CCS is available for fossil fuels but not for </w:t>
            </w:r>
            <w:proofErr w:type="gramStart"/>
            <w:r w:rsidRPr="005F7ACB">
              <w:rPr>
                <w:sz w:val="16"/>
                <w:szCs w:val="16"/>
              </w:rPr>
              <w:t>bio-electricity</w:t>
            </w:r>
            <w:proofErr w:type="gramEnd"/>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{"citationID":"nw6tTQG0","properties":{"formattedCitation":"\\super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{"citationID":"crCJFXTW","properties":{"formattedCitation":"\\super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EMF 32 76% reduction with BECCS</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Default="005F7ACB" w:rsidP="005F7ACB">
            <w:pPr>
              <w:pStyle w:val="NormalWeb"/>
              <w:spacing w:before="0" w:beforeAutospacing="0" w:after="0" w:afterAutospacing="0"/>
              <w:rPr>
                <w:sz w:val="16"/>
                <w:szCs w:val="16"/>
              </w:rPr>
            </w:pPr>
            <w:r w:rsidRPr="005F7ACB">
              <w:rPr>
                <w:sz w:val="16"/>
                <w:szCs w:val="16"/>
              </w:rPr>
              <w:t>To compare with base EMF 32 scenario .76% reduction of CO2 emissions from 2005 level. Deep de-carbonization scenario</w:t>
            </w:r>
            <w:r>
              <w:rPr>
                <w:sz w:val="16"/>
                <w:szCs w:val="16"/>
              </w:rPr>
              <w:t>.</w:t>
            </w:r>
          </w:p>
          <w:p w:rsidR="005F7ACB" w:rsidRDefault="005F7ACB" w:rsidP="005F7ACB">
            <w:pPr>
              <w:pStyle w:val="NormalWeb"/>
              <w:spacing w:before="0" w:beforeAutospacing="0" w:after="0" w:afterAutospacing="0"/>
              <w:rPr>
                <w:sz w:val="16"/>
                <w:szCs w:val="16"/>
              </w:rPr>
            </w:pPr>
            <w:r>
              <w:rPr>
                <w:sz w:val="16"/>
                <w:szCs w:val="16"/>
              </w:rPr>
              <w:t>Scenario implemented only in FARM.</w:t>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{"citationID":"oLQ3pjbH","properties":{"formattedCitation":"\\super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p w:rsidR="005F7ACB" w:rsidRPr="005F7ACB" w:rsidRDefault="005F7ACB" w:rsidP="005F7ACB">
            <w:pPr>
              <w:pStyle w:val="NormalWeb"/>
              <w:spacing w:before="0" w:beforeAutospacing="0" w:after="0" w:afterAutospacing="0"/>
              <w:rPr>
                <w:sz w:val="16"/>
                <w:szCs w:val="16"/>
              </w:rPr>
            </w:pP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2020-2050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 xml:space="preserve">CCS is available for all electricity generation technologies, including </w:t>
            </w:r>
            <w:proofErr w:type="gramStart"/>
            <w:r w:rsidRPr="005F7ACB">
              <w:rPr>
                <w:sz w:val="16"/>
                <w:szCs w:val="16"/>
              </w:rPr>
              <w:t>bio-electricity</w:t>
            </w:r>
            <w:proofErr w:type="gramEnd"/>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{"citationID":"7eENXvy5","properties":{"formattedCitation":"\\super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{"citationID":"uoCPVE6D","properties":{"formattedCitation":"\\super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lastRenderedPageBreak/>
              <w:t>EMF 34, Carbon Policy</w:t>
            </w:r>
          </w:p>
        </w:tc>
        <w:tc>
          <w:tcPr>
            <w:tcW w:w="33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Case focuses on the impact of carbon policy as a carbon tax</w:t>
            </w:r>
          </w:p>
        </w:tc>
        <w:tc>
          <w:tcPr>
            <w:tcW w:w="181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54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 xml:space="preserve">35$/ </w:t>
            </w:r>
            <w:proofErr w:type="spellStart"/>
            <w:r w:rsidRPr="005F7ACB">
              <w:rPr>
                <w:sz w:val="16"/>
                <w:szCs w:val="16"/>
              </w:rPr>
              <w:t>tonne</w:t>
            </w:r>
            <w:proofErr w:type="spellEnd"/>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2022 – end of the simulation</w:t>
            </w:r>
          </w:p>
        </w:tc>
        <w:tc>
          <w:tcPr>
            <w:tcW w:w="99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5% / year</w:t>
            </w:r>
          </w:p>
        </w:tc>
        <w:tc>
          <w:tcPr>
            <w:tcW w:w="192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r w:rsidRPr="005F7ACB">
              <w:rPr>
                <w:sz w:val="16"/>
                <w:szCs w:val="16"/>
              </w:rPr>
              <w:fldChar w:fldCharType="begin"/>
            </w:r>
            <w:r w:rsidR="0082524A">
              <w:rPr>
                <w:sz w:val="16"/>
                <w:szCs w:val="16"/>
              </w:rPr>
              <w:instrText xml:space="preserve"> ADDIN ZOTERO_ITEM CSL_CITATION {"citationID":"Fyf4UvX9","properties":{"formattedCitation":"\\super 6\\nosupersub{}","plainCitation":"6","noteIndex":0},"citationItems":[{"id":453,"uris":["http://zotero.org/groups/2384940/items/FJWK7NFI"],"uri":["http://zotero.org/groups/2384940/items/FJWK7NFI"],"itemData":{"id":453,"type":"article-journal","title":"OVERVIEW OF THE EMF 32 STUDY ON U.S. CARBON TAX SCENARIOS","container-title":"Climate Change Economics","page":"1840002","volume":"09","issue":"01","source":"DOI.org (Crossref)","abstract":"The Energy Modeling Forum (EMF) 32 study on carbon tax scenarios analyzed a set of illustrative policies in the United States that place an economy-wide tax on fossil-fuel-related carbon dioxide (CO[Formula: see text] emissions, a carbon tax for short. Eleven modeling teams ran these stylized scenarios, which vary by the initial carbon tax rate, the rate at which the tax escalates over time, and the use of the revenues. Modelers reported their results for the effects of the policies, relative to a reference scenario that does not include a carbon tax, on emissions, economic activity, and outcomes within the U.S. energy system. This paper explains the scenario design, presents an overview of the results, and compares results from the participating models. In particular, we compare various outcomes across the models, such as emissions, revenue, gross domestic product, sectoral impacts, and welfare.","DOI":"10.1142/S201000781840002X","ISSN":"2010-0078, 2010-0086","journalAbbreviation":"Clim. Change Econ.","language":"en","author":[{"family":"Mcfarland","given":"James R."},{"family":"Fawcett","given":"Allen A."},{"family":"Morris","given":"Adele C."},{"family":"Reilly","given":"John M."},{"family":"Wilcoxen","given":"Peter J."}],"issued":{"date-parts":[["2018",2]]}}}],"schema":"https://github.com/citation-style-language/schema/raw/master/csl-citation.json"} </w:instrText>
            </w:r>
            <w:r w:rsidRPr="005F7ACB">
              <w:rPr>
                <w:sz w:val="16"/>
                <w:szCs w:val="16"/>
              </w:rPr>
              <w:fldChar w:fldCharType="separate"/>
            </w:r>
            <w:r w:rsidR="0082524A" w:rsidRPr="0082524A">
              <w:rPr>
                <w:sz w:val="16"/>
                <w:vertAlign w:val="superscript"/>
              </w:rPr>
              <w:t>6</w:t>
            </w:r>
            <w:r w:rsidRPr="005F7ACB">
              <w:rPr>
                <w:sz w:val="16"/>
                <w:szCs w:val="16"/>
              </w:rPr>
              <w:fldChar w:fldCharType="end"/>
            </w:r>
            <w:r w:rsidRPr="005F7ACB">
              <w:rPr>
                <w:sz w:val="16"/>
                <w:szCs w:val="16"/>
              </w:rPr>
              <w:t xml:space="preserve">, </w:t>
            </w:r>
            <w:r w:rsidRPr="005F7ACB">
              <w:rPr>
                <w:sz w:val="16"/>
                <w:szCs w:val="16"/>
              </w:rPr>
              <w:fldChar w:fldCharType="begin"/>
            </w:r>
            <w:r w:rsidR="0082524A">
              <w:rPr>
                <w:sz w:val="16"/>
                <w:szCs w:val="16"/>
              </w:rPr>
              <w:instrText xml:space="preserve"> ADDIN ZOTERO_ITEM CSL_CITATION {"citationID":"KYlOzmQl","properties":{"formattedCitation":"\\super 7\\nosupersub{}","plainCitation":"7","noteIndex":0},"citationItems":[{"id":394,"uris":["http://zotero.org/groups/2384940/items/EJGD3Q5C"],"uri":["http://zotero.org/groups/2384940/items/EJGD3Q5C"],"itemData":{"id":394,"type":"article-journal","title":"U.S.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5F7ACB">
              <w:rPr>
                <w:sz w:val="16"/>
                <w:szCs w:val="16"/>
              </w:rPr>
              <w:fldChar w:fldCharType="separate"/>
            </w:r>
            <w:r w:rsidR="0082524A" w:rsidRPr="0082524A">
              <w:rPr>
                <w:sz w:val="16"/>
                <w:vertAlign w:val="superscript"/>
              </w:rPr>
              <w:t>7</w:t>
            </w:r>
            <w:r w:rsidRPr="005F7ACB">
              <w:rPr>
                <w:sz w:val="16"/>
                <w:szCs w:val="16"/>
              </w:rPr>
              <w:fldChar w:fldCharType="end"/>
            </w:r>
          </w:p>
        </w:tc>
      </w:tr>
      <w:tr w:rsidR="005F7ACB" w:rsidRPr="005F7ACB" w:rsidTr="00B70622">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450 Scenario</w:t>
            </w:r>
          </w:p>
        </w:tc>
        <w:tc>
          <w:tcPr>
            <w:tcW w:w="33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Carbon tax for power and industry sector in the US and Canada</w:t>
            </w:r>
          </w:p>
        </w:tc>
        <w:tc>
          <w:tcPr>
            <w:tcW w:w="181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54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2020 – 20$/tCO2;</w:t>
            </w:r>
          </w:p>
          <w:p w:rsidR="005F7ACB" w:rsidRPr="005F7ACB" w:rsidRDefault="005F7ACB" w:rsidP="005F7ACB">
            <w:pPr>
              <w:pStyle w:val="NormalWeb"/>
              <w:spacing w:before="0" w:beforeAutospacing="0" w:after="0" w:afterAutospacing="0"/>
              <w:rPr>
                <w:sz w:val="16"/>
                <w:szCs w:val="16"/>
              </w:rPr>
            </w:pPr>
            <w:r w:rsidRPr="005F7ACB">
              <w:rPr>
                <w:sz w:val="16"/>
                <w:szCs w:val="16"/>
              </w:rPr>
              <w:t>2030 – 100$/tCO2;</w:t>
            </w:r>
          </w:p>
          <w:p w:rsidR="005F7ACB" w:rsidRPr="005F7ACB" w:rsidRDefault="005F7ACB" w:rsidP="005F7ACB">
            <w:pPr>
              <w:pStyle w:val="NormalWeb"/>
              <w:spacing w:before="0" w:beforeAutospacing="0" w:after="0" w:afterAutospacing="0"/>
              <w:rPr>
                <w:sz w:val="16"/>
                <w:szCs w:val="16"/>
              </w:rPr>
            </w:pPr>
            <w:r w:rsidRPr="005F7ACB">
              <w:rPr>
                <w:sz w:val="16"/>
                <w:szCs w:val="16"/>
              </w:rPr>
              <w:t>2040 – 140$/tCO2 for $2014</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2020-2040</w:t>
            </w:r>
          </w:p>
        </w:tc>
        <w:tc>
          <w:tcPr>
            <w:tcW w:w="99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92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r w:rsidRPr="005F7ACB">
              <w:rPr>
                <w:sz w:val="16"/>
                <w:szCs w:val="16"/>
              </w:rPr>
              <w:t>n/a</w:t>
            </w:r>
          </w:p>
        </w:tc>
        <w:tc>
          <w:tcPr>
            <w:tcW w:w="115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991"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5F7ACB" w:rsidRPr="005F7ACB" w:rsidRDefault="005F7ACB" w:rsidP="005F7ACB">
            <w:pPr>
              <w:pStyle w:val="NormalWeb"/>
              <w:spacing w:before="0" w:beforeAutospacing="0" w:after="0" w:afterAutospacing="0"/>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5F7ACB" w:rsidRPr="005F7ACB" w:rsidRDefault="005F7ACB" w:rsidP="005F7ACB">
            <w:pPr>
              <w:pStyle w:val="NormalWeb"/>
              <w:spacing w:before="0" w:beforeAutospacing="0" w:after="0" w:afterAutospacing="0"/>
              <w:jc w:val="center"/>
              <w:rPr>
                <w:sz w:val="16"/>
                <w:szCs w:val="16"/>
              </w:rPr>
            </w:pPr>
          </w:p>
        </w:tc>
      </w:tr>
    </w:tbl>
    <w:p w:rsidR="0082524A" w:rsidRPr="0082524A" w:rsidRDefault="005F7ACB" w:rsidP="0082524A">
      <w:pPr>
        <w:pStyle w:val="Bibliography"/>
        <w:rPr>
          <w:rFonts w:ascii="Times New Roman" w:hAnsi="Times New Roman" w:cs="Times New Roman"/>
          <w:sz w:val="16"/>
        </w:rPr>
      </w:pPr>
      <w:r w:rsidRPr="005F7ACB">
        <w:fldChar w:fldCharType="begin"/>
      </w:r>
      <w:r w:rsidRPr="005F7ACB">
        <w:instrText xml:space="preserve"> ADDIN ZOTERO_BIBL {"uncited":[],"omitted":[],"custom":[]} CSL_BIBLIOGRAPHY </w:instrText>
      </w:r>
      <w:r w:rsidRPr="005F7ACB">
        <w:fldChar w:fldCharType="separate"/>
      </w:r>
      <w:r w:rsidR="0082524A" w:rsidRPr="0082524A">
        <w:rPr>
          <w:rFonts w:ascii="Times New Roman" w:hAnsi="Times New Roman" w:cs="Times New Roman"/>
          <w:sz w:val="16"/>
        </w:rPr>
        <w:t xml:space="preserve">(1) </w:t>
      </w:r>
      <w:r w:rsidR="0082524A" w:rsidRPr="0082524A">
        <w:rPr>
          <w:rFonts w:ascii="Times New Roman" w:hAnsi="Times New Roman" w:cs="Times New Roman"/>
          <w:sz w:val="16"/>
        </w:rPr>
        <w:tab/>
        <w:t>The GCAM Shared Socioeconomic Pathways (SSPs).</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(2) </w:t>
      </w:r>
      <w:r w:rsidRPr="0082524A">
        <w:rPr>
          <w:rFonts w:ascii="Times New Roman" w:hAnsi="Times New Roman" w:cs="Times New Roman"/>
          <w:sz w:val="16"/>
        </w:rPr>
        <w:tab/>
      </w:r>
      <w:proofErr w:type="spellStart"/>
      <w:r w:rsidRPr="0082524A">
        <w:rPr>
          <w:rFonts w:ascii="Times New Roman" w:hAnsi="Times New Roman" w:cs="Times New Roman"/>
          <w:sz w:val="16"/>
        </w:rPr>
        <w:t>Rogelj</w:t>
      </w:r>
      <w:proofErr w:type="spellEnd"/>
      <w:r w:rsidRPr="0082524A">
        <w:rPr>
          <w:rFonts w:ascii="Times New Roman" w:hAnsi="Times New Roman" w:cs="Times New Roman"/>
          <w:sz w:val="16"/>
        </w:rPr>
        <w:t xml:space="preserve">, J.; Popp, A.; Calvin, K. V.; </w:t>
      </w:r>
      <w:proofErr w:type="spellStart"/>
      <w:r w:rsidRPr="0082524A">
        <w:rPr>
          <w:rFonts w:ascii="Times New Roman" w:hAnsi="Times New Roman" w:cs="Times New Roman"/>
          <w:sz w:val="16"/>
        </w:rPr>
        <w:t>Luderer</w:t>
      </w:r>
      <w:proofErr w:type="spellEnd"/>
      <w:r w:rsidRPr="0082524A">
        <w:rPr>
          <w:rFonts w:ascii="Times New Roman" w:hAnsi="Times New Roman" w:cs="Times New Roman"/>
          <w:sz w:val="16"/>
        </w:rPr>
        <w:t xml:space="preserve">, G.; </w:t>
      </w:r>
      <w:proofErr w:type="spellStart"/>
      <w:r w:rsidRPr="0082524A">
        <w:rPr>
          <w:rFonts w:ascii="Times New Roman" w:hAnsi="Times New Roman" w:cs="Times New Roman"/>
          <w:sz w:val="16"/>
        </w:rPr>
        <w:t>Emmerling</w:t>
      </w:r>
      <w:proofErr w:type="spellEnd"/>
      <w:r w:rsidRPr="0082524A">
        <w:rPr>
          <w:rFonts w:ascii="Times New Roman" w:hAnsi="Times New Roman" w:cs="Times New Roman"/>
          <w:sz w:val="16"/>
        </w:rPr>
        <w:t xml:space="preserve">, J.; </w:t>
      </w:r>
      <w:proofErr w:type="spellStart"/>
      <w:r w:rsidRPr="0082524A">
        <w:rPr>
          <w:rFonts w:ascii="Times New Roman" w:hAnsi="Times New Roman" w:cs="Times New Roman"/>
          <w:sz w:val="16"/>
        </w:rPr>
        <w:t>Gernaat</w:t>
      </w:r>
      <w:proofErr w:type="spellEnd"/>
      <w:r w:rsidRPr="0082524A">
        <w:rPr>
          <w:rFonts w:ascii="Times New Roman" w:hAnsi="Times New Roman" w:cs="Times New Roman"/>
          <w:sz w:val="16"/>
        </w:rPr>
        <w:t xml:space="preserve">, D.; Fujimori, S.; </w:t>
      </w:r>
      <w:proofErr w:type="spellStart"/>
      <w:r w:rsidRPr="0082524A">
        <w:rPr>
          <w:rFonts w:ascii="Times New Roman" w:hAnsi="Times New Roman" w:cs="Times New Roman"/>
          <w:sz w:val="16"/>
        </w:rPr>
        <w:t>Strefler</w:t>
      </w:r>
      <w:proofErr w:type="spellEnd"/>
      <w:r w:rsidRPr="0082524A">
        <w:rPr>
          <w:rFonts w:ascii="Times New Roman" w:hAnsi="Times New Roman" w:cs="Times New Roman"/>
          <w:sz w:val="16"/>
        </w:rPr>
        <w:t xml:space="preserve">, J.; Hasegawa, T.; Marangoni, G.; et al. Scenarios towards Limiting Global Mean Temperature Increase below 1.5 °C. </w:t>
      </w:r>
      <w:r w:rsidRPr="0082524A">
        <w:rPr>
          <w:rFonts w:ascii="Times New Roman" w:hAnsi="Times New Roman" w:cs="Times New Roman"/>
          <w:i/>
          <w:iCs/>
          <w:sz w:val="16"/>
        </w:rPr>
        <w:t xml:space="preserve">Nat. </w:t>
      </w:r>
      <w:proofErr w:type="spellStart"/>
      <w:r w:rsidRPr="0082524A">
        <w:rPr>
          <w:rFonts w:ascii="Times New Roman" w:hAnsi="Times New Roman" w:cs="Times New Roman"/>
          <w:i/>
          <w:iCs/>
          <w:sz w:val="16"/>
        </w:rPr>
        <w:t>Clim</w:t>
      </w:r>
      <w:proofErr w:type="spellEnd"/>
      <w:r w:rsidRPr="0082524A">
        <w:rPr>
          <w:rFonts w:ascii="Times New Roman" w:hAnsi="Times New Roman" w:cs="Times New Roman"/>
          <w:i/>
          <w:iCs/>
          <w:sz w:val="16"/>
        </w:rPr>
        <w:t>. Change</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8</w:t>
      </w:r>
      <w:r w:rsidRPr="0082524A">
        <w:rPr>
          <w:rFonts w:ascii="Times New Roman" w:hAnsi="Times New Roman" w:cs="Times New Roman"/>
          <w:sz w:val="16"/>
        </w:rPr>
        <w:t xml:space="preserve"> (4), 325–332. https://doi.org/10.1038/s41558-018-0091-3.</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(3) </w:t>
      </w:r>
      <w:r w:rsidRPr="0082524A">
        <w:rPr>
          <w:rFonts w:ascii="Times New Roman" w:hAnsi="Times New Roman" w:cs="Times New Roman"/>
          <w:sz w:val="16"/>
        </w:rPr>
        <w:tab/>
        <w:t xml:space="preserve">Fawcett, A. A.; </w:t>
      </w:r>
      <w:proofErr w:type="spellStart"/>
      <w:r w:rsidRPr="0082524A">
        <w:rPr>
          <w:rFonts w:ascii="Times New Roman" w:hAnsi="Times New Roman" w:cs="Times New Roman"/>
          <w:sz w:val="16"/>
        </w:rPr>
        <w:t>Mcfarland</w:t>
      </w:r>
      <w:proofErr w:type="spellEnd"/>
      <w:r w:rsidRPr="0082524A">
        <w:rPr>
          <w:rFonts w:ascii="Times New Roman" w:hAnsi="Times New Roman" w:cs="Times New Roman"/>
          <w:sz w:val="16"/>
        </w:rPr>
        <w:t xml:space="preserve">, J. R.; Morris, A. C.; </w:t>
      </w:r>
      <w:proofErr w:type="spellStart"/>
      <w:r w:rsidRPr="0082524A">
        <w:rPr>
          <w:rFonts w:ascii="Times New Roman" w:hAnsi="Times New Roman" w:cs="Times New Roman"/>
          <w:sz w:val="16"/>
        </w:rPr>
        <w:t>Weyant</w:t>
      </w:r>
      <w:proofErr w:type="spellEnd"/>
      <w:r w:rsidRPr="0082524A">
        <w:rPr>
          <w:rFonts w:ascii="Times New Roman" w:hAnsi="Times New Roman" w:cs="Times New Roman"/>
          <w:sz w:val="16"/>
        </w:rPr>
        <w:t xml:space="preserve">, J. P. INTRODUCTION TO THE EMF 32 STUDY ON U.S. CARBON TAX SCENARIOS. </w:t>
      </w:r>
      <w:proofErr w:type="spellStart"/>
      <w:r w:rsidRPr="0082524A">
        <w:rPr>
          <w:rFonts w:ascii="Times New Roman" w:hAnsi="Times New Roman" w:cs="Times New Roman"/>
          <w:i/>
          <w:iCs/>
          <w:sz w:val="16"/>
        </w:rPr>
        <w:t>Clim</w:t>
      </w:r>
      <w:proofErr w:type="spellEnd"/>
      <w:r w:rsidRPr="0082524A">
        <w:rPr>
          <w:rFonts w:ascii="Times New Roman" w:hAnsi="Times New Roman" w:cs="Times New Roman"/>
          <w:i/>
          <w:iCs/>
          <w:sz w:val="16"/>
        </w:rPr>
        <w:t>. Change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09</w:t>
      </w:r>
      <w:r w:rsidRPr="0082524A">
        <w:rPr>
          <w:rFonts w:ascii="Times New Roman" w:hAnsi="Times New Roman" w:cs="Times New Roman"/>
          <w:sz w:val="16"/>
        </w:rPr>
        <w:t xml:space="preserve"> (01), 1840001. https://doi.org/10.1142/S2010007818400018.</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(4) </w:t>
      </w:r>
      <w:r w:rsidRPr="0082524A">
        <w:rPr>
          <w:rFonts w:ascii="Times New Roman" w:hAnsi="Times New Roman" w:cs="Times New Roman"/>
          <w:sz w:val="16"/>
        </w:rPr>
        <w:tab/>
        <w:t xml:space="preserve">Hodson, E. L.; Brown, M.; Cohen, S.; Showalter, S.; Wise, M.; Wood, F.; Caron, J.; </w:t>
      </w:r>
      <w:proofErr w:type="spellStart"/>
      <w:r w:rsidRPr="0082524A">
        <w:rPr>
          <w:rFonts w:ascii="Times New Roman" w:hAnsi="Times New Roman" w:cs="Times New Roman"/>
          <w:sz w:val="16"/>
        </w:rPr>
        <w:t>Feijoo</w:t>
      </w:r>
      <w:proofErr w:type="spellEnd"/>
      <w:r w:rsidRPr="0082524A">
        <w:rPr>
          <w:rFonts w:ascii="Times New Roman" w:hAnsi="Times New Roman" w:cs="Times New Roman"/>
          <w:sz w:val="16"/>
        </w:rPr>
        <w:t xml:space="preserve">, F.; </w:t>
      </w:r>
      <w:proofErr w:type="spellStart"/>
      <w:r w:rsidRPr="0082524A">
        <w:rPr>
          <w:rFonts w:ascii="Times New Roman" w:hAnsi="Times New Roman" w:cs="Times New Roman"/>
          <w:sz w:val="16"/>
        </w:rPr>
        <w:t>Iyer</w:t>
      </w:r>
      <w:proofErr w:type="spellEnd"/>
      <w:r w:rsidRPr="0082524A">
        <w:rPr>
          <w:rFonts w:ascii="Times New Roman" w:hAnsi="Times New Roman" w:cs="Times New Roman"/>
          <w:sz w:val="16"/>
        </w:rPr>
        <w:t xml:space="preserve">, G.; Cleary, K. U.S. Energy Sector Impacts of Technology Innovation, Fuel Price, and Electric Sector CO2 Policy: Results from the EMF 32 Model </w:t>
      </w:r>
      <w:proofErr w:type="spellStart"/>
      <w:r w:rsidRPr="0082524A">
        <w:rPr>
          <w:rFonts w:ascii="Times New Roman" w:hAnsi="Times New Roman" w:cs="Times New Roman"/>
          <w:sz w:val="16"/>
        </w:rPr>
        <w:t>Intercomparison</w:t>
      </w:r>
      <w:proofErr w:type="spellEnd"/>
      <w:r w:rsidRPr="0082524A">
        <w:rPr>
          <w:rFonts w:ascii="Times New Roman" w:hAnsi="Times New Roman" w:cs="Times New Roman"/>
          <w:sz w:val="16"/>
        </w:rPr>
        <w:t xml:space="preserve"> Study. </w:t>
      </w:r>
      <w:r w:rsidRPr="0082524A">
        <w:rPr>
          <w:rFonts w:ascii="Times New Roman" w:hAnsi="Times New Roman" w:cs="Times New Roman"/>
          <w:i/>
          <w:iCs/>
          <w:sz w:val="16"/>
        </w:rPr>
        <w:t>Energy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73</w:t>
      </w:r>
      <w:r w:rsidRPr="0082524A">
        <w:rPr>
          <w:rFonts w:ascii="Times New Roman" w:hAnsi="Times New Roman" w:cs="Times New Roman"/>
          <w:sz w:val="16"/>
        </w:rPr>
        <w:t>, 352–370. https://doi.org/10.1016/j.eneco.2018.03.027.</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(5) </w:t>
      </w:r>
      <w:r w:rsidRPr="0082524A">
        <w:rPr>
          <w:rFonts w:ascii="Times New Roman" w:hAnsi="Times New Roman" w:cs="Times New Roman"/>
          <w:sz w:val="16"/>
        </w:rPr>
        <w:tab/>
        <w:t xml:space="preserve">Murray, B. C.; </w:t>
      </w:r>
      <w:proofErr w:type="spellStart"/>
      <w:r w:rsidRPr="0082524A">
        <w:rPr>
          <w:rFonts w:ascii="Times New Roman" w:hAnsi="Times New Roman" w:cs="Times New Roman"/>
          <w:sz w:val="16"/>
        </w:rPr>
        <w:t>Bistline</w:t>
      </w:r>
      <w:proofErr w:type="spellEnd"/>
      <w:r w:rsidRPr="0082524A">
        <w:rPr>
          <w:rFonts w:ascii="Times New Roman" w:hAnsi="Times New Roman" w:cs="Times New Roman"/>
          <w:sz w:val="16"/>
        </w:rPr>
        <w:t xml:space="preserve">, J.; </w:t>
      </w:r>
      <w:proofErr w:type="spellStart"/>
      <w:r w:rsidRPr="0082524A">
        <w:rPr>
          <w:rFonts w:ascii="Times New Roman" w:hAnsi="Times New Roman" w:cs="Times New Roman"/>
          <w:sz w:val="16"/>
        </w:rPr>
        <w:t>Creason</w:t>
      </w:r>
      <w:proofErr w:type="spellEnd"/>
      <w:r w:rsidRPr="0082524A">
        <w:rPr>
          <w:rFonts w:ascii="Times New Roman" w:hAnsi="Times New Roman" w:cs="Times New Roman"/>
          <w:sz w:val="16"/>
        </w:rPr>
        <w:t xml:space="preserve">, J.; Wright, E.; </w:t>
      </w:r>
      <w:proofErr w:type="spellStart"/>
      <w:r w:rsidRPr="0082524A">
        <w:rPr>
          <w:rFonts w:ascii="Times New Roman" w:hAnsi="Times New Roman" w:cs="Times New Roman"/>
          <w:sz w:val="16"/>
        </w:rPr>
        <w:t>Kanudia</w:t>
      </w:r>
      <w:proofErr w:type="spellEnd"/>
      <w:r w:rsidRPr="0082524A">
        <w:rPr>
          <w:rFonts w:ascii="Times New Roman" w:hAnsi="Times New Roman" w:cs="Times New Roman"/>
          <w:sz w:val="16"/>
        </w:rPr>
        <w:t xml:space="preserve">, A.; de la </w:t>
      </w:r>
      <w:proofErr w:type="spellStart"/>
      <w:r w:rsidRPr="0082524A">
        <w:rPr>
          <w:rFonts w:ascii="Times New Roman" w:hAnsi="Times New Roman" w:cs="Times New Roman"/>
          <w:sz w:val="16"/>
        </w:rPr>
        <w:t>Chesnaye</w:t>
      </w:r>
      <w:proofErr w:type="spellEnd"/>
      <w:r w:rsidRPr="0082524A">
        <w:rPr>
          <w:rFonts w:ascii="Times New Roman" w:hAnsi="Times New Roman" w:cs="Times New Roman"/>
          <w:sz w:val="16"/>
        </w:rPr>
        <w:t xml:space="preserve">, F. The EMF 32 Study on Technology and Climate Policy Strategies for Greenhouse Gas Reductions in the U.S. Electric Power Sector: An Overview. </w:t>
      </w:r>
      <w:r w:rsidRPr="0082524A">
        <w:rPr>
          <w:rFonts w:ascii="Times New Roman" w:hAnsi="Times New Roman" w:cs="Times New Roman"/>
          <w:i/>
          <w:iCs/>
          <w:sz w:val="16"/>
        </w:rPr>
        <w:t>Energy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73</w:t>
      </w:r>
      <w:r w:rsidRPr="0082524A">
        <w:rPr>
          <w:rFonts w:ascii="Times New Roman" w:hAnsi="Times New Roman" w:cs="Times New Roman"/>
          <w:sz w:val="16"/>
        </w:rPr>
        <w:t>, 286–289. https://doi.org/10.1016/j.eneco.2018.03.007.</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(6) </w:t>
      </w:r>
      <w:r w:rsidRPr="0082524A">
        <w:rPr>
          <w:rFonts w:ascii="Times New Roman" w:hAnsi="Times New Roman" w:cs="Times New Roman"/>
          <w:sz w:val="16"/>
        </w:rPr>
        <w:tab/>
      </w:r>
      <w:proofErr w:type="spellStart"/>
      <w:r w:rsidRPr="0082524A">
        <w:rPr>
          <w:rFonts w:ascii="Times New Roman" w:hAnsi="Times New Roman" w:cs="Times New Roman"/>
          <w:sz w:val="16"/>
        </w:rPr>
        <w:t>Mcfarland</w:t>
      </w:r>
      <w:proofErr w:type="spellEnd"/>
      <w:r w:rsidRPr="0082524A">
        <w:rPr>
          <w:rFonts w:ascii="Times New Roman" w:hAnsi="Times New Roman" w:cs="Times New Roman"/>
          <w:sz w:val="16"/>
        </w:rPr>
        <w:t xml:space="preserve">, J. R.; Fawcett, A. A.; Morris, A. C.; Reilly, J. M.; </w:t>
      </w:r>
      <w:proofErr w:type="spellStart"/>
      <w:r w:rsidRPr="0082524A">
        <w:rPr>
          <w:rFonts w:ascii="Times New Roman" w:hAnsi="Times New Roman" w:cs="Times New Roman"/>
          <w:sz w:val="16"/>
        </w:rPr>
        <w:t>Wilcoxen</w:t>
      </w:r>
      <w:proofErr w:type="spellEnd"/>
      <w:r w:rsidRPr="0082524A">
        <w:rPr>
          <w:rFonts w:ascii="Times New Roman" w:hAnsi="Times New Roman" w:cs="Times New Roman"/>
          <w:sz w:val="16"/>
        </w:rPr>
        <w:t xml:space="preserve">, P. J. OVERVIEW OF THE EMF 32 STUDY ON U.S. CARBON TAX SCENARIOS. </w:t>
      </w:r>
      <w:proofErr w:type="spellStart"/>
      <w:r w:rsidRPr="0082524A">
        <w:rPr>
          <w:rFonts w:ascii="Times New Roman" w:hAnsi="Times New Roman" w:cs="Times New Roman"/>
          <w:i/>
          <w:iCs/>
          <w:sz w:val="16"/>
        </w:rPr>
        <w:t>Clim</w:t>
      </w:r>
      <w:proofErr w:type="spellEnd"/>
      <w:r w:rsidRPr="0082524A">
        <w:rPr>
          <w:rFonts w:ascii="Times New Roman" w:hAnsi="Times New Roman" w:cs="Times New Roman"/>
          <w:i/>
          <w:iCs/>
          <w:sz w:val="16"/>
        </w:rPr>
        <w:t>. Change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09</w:t>
      </w:r>
      <w:r w:rsidRPr="0082524A">
        <w:rPr>
          <w:rFonts w:ascii="Times New Roman" w:hAnsi="Times New Roman" w:cs="Times New Roman"/>
          <w:sz w:val="16"/>
        </w:rPr>
        <w:t xml:space="preserve"> (01), 1840002. https://doi.org/10.1142/S201000781840002X.</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(7) </w:t>
      </w:r>
      <w:r w:rsidRPr="0082524A">
        <w:rPr>
          <w:rFonts w:ascii="Times New Roman" w:hAnsi="Times New Roman" w:cs="Times New Roman"/>
          <w:sz w:val="16"/>
        </w:rPr>
        <w:tab/>
        <w:t xml:space="preserve">Sands, R. D. U.S. CARBON TAX SCENARIOS and BIOENERGY. </w:t>
      </w:r>
      <w:proofErr w:type="spellStart"/>
      <w:r w:rsidRPr="0082524A">
        <w:rPr>
          <w:rFonts w:ascii="Times New Roman" w:hAnsi="Times New Roman" w:cs="Times New Roman"/>
          <w:i/>
          <w:iCs/>
          <w:sz w:val="16"/>
        </w:rPr>
        <w:t>Clim</w:t>
      </w:r>
      <w:proofErr w:type="spellEnd"/>
      <w:r w:rsidRPr="0082524A">
        <w:rPr>
          <w:rFonts w:ascii="Times New Roman" w:hAnsi="Times New Roman" w:cs="Times New Roman"/>
          <w:i/>
          <w:iCs/>
          <w:sz w:val="16"/>
        </w:rPr>
        <w:t>. Change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9</w:t>
      </w:r>
      <w:r w:rsidRPr="0082524A">
        <w:rPr>
          <w:rFonts w:ascii="Times New Roman" w:hAnsi="Times New Roman" w:cs="Times New Roman"/>
          <w:sz w:val="16"/>
        </w:rPr>
        <w:t xml:space="preserve"> (1). https://doi.org/10.1142/S2010007818400109.</w:t>
      </w:r>
    </w:p>
    <w:p w:rsidR="0082524A" w:rsidRPr="0082524A" w:rsidRDefault="0082524A" w:rsidP="0082524A">
      <w:pPr>
        <w:pStyle w:val="Bibliography"/>
        <w:rPr>
          <w:rFonts w:ascii="Times New Roman" w:hAnsi="Times New Roman" w:cs="Times New Roman"/>
          <w:sz w:val="16"/>
        </w:rPr>
      </w:pPr>
      <w:r w:rsidRPr="0082524A">
        <w:rPr>
          <w:rFonts w:ascii="Times New Roman" w:hAnsi="Times New Roman" w:cs="Times New Roman"/>
          <w:sz w:val="16"/>
        </w:rPr>
        <w:t xml:space="preserve">(8) </w:t>
      </w:r>
      <w:r w:rsidRPr="0082524A">
        <w:rPr>
          <w:rFonts w:ascii="Times New Roman" w:hAnsi="Times New Roman" w:cs="Times New Roman"/>
          <w:sz w:val="16"/>
        </w:rPr>
        <w:tab/>
        <w:t xml:space="preserve">Barron, A. R.; Fawcett, A. A.; </w:t>
      </w:r>
      <w:proofErr w:type="spellStart"/>
      <w:r w:rsidRPr="0082524A">
        <w:rPr>
          <w:rFonts w:ascii="Times New Roman" w:hAnsi="Times New Roman" w:cs="Times New Roman"/>
          <w:sz w:val="16"/>
        </w:rPr>
        <w:t>Hafstead</w:t>
      </w:r>
      <w:proofErr w:type="spellEnd"/>
      <w:r w:rsidRPr="0082524A">
        <w:rPr>
          <w:rFonts w:ascii="Times New Roman" w:hAnsi="Times New Roman" w:cs="Times New Roman"/>
          <w:sz w:val="16"/>
        </w:rPr>
        <w:t xml:space="preserve">, M. A. C.; </w:t>
      </w:r>
      <w:proofErr w:type="spellStart"/>
      <w:r w:rsidRPr="0082524A">
        <w:rPr>
          <w:rFonts w:ascii="Times New Roman" w:hAnsi="Times New Roman" w:cs="Times New Roman"/>
          <w:sz w:val="16"/>
        </w:rPr>
        <w:t>Mcfarland</w:t>
      </w:r>
      <w:proofErr w:type="spellEnd"/>
      <w:r w:rsidRPr="0082524A">
        <w:rPr>
          <w:rFonts w:ascii="Times New Roman" w:hAnsi="Times New Roman" w:cs="Times New Roman"/>
          <w:sz w:val="16"/>
        </w:rPr>
        <w:t xml:space="preserve">, J. R.; Morris, A. C. POLICY INSIGHTS FROM THE EMF 32 STUDY ON U.S. CARBON TAX SCENARIOS. </w:t>
      </w:r>
      <w:proofErr w:type="spellStart"/>
      <w:r w:rsidRPr="0082524A">
        <w:rPr>
          <w:rFonts w:ascii="Times New Roman" w:hAnsi="Times New Roman" w:cs="Times New Roman"/>
          <w:i/>
          <w:iCs/>
          <w:sz w:val="16"/>
        </w:rPr>
        <w:t>Clim</w:t>
      </w:r>
      <w:proofErr w:type="spellEnd"/>
      <w:r w:rsidRPr="0082524A">
        <w:rPr>
          <w:rFonts w:ascii="Times New Roman" w:hAnsi="Times New Roman" w:cs="Times New Roman"/>
          <w:i/>
          <w:iCs/>
          <w:sz w:val="16"/>
        </w:rPr>
        <w:t>. Change Econ.</w:t>
      </w:r>
      <w:r w:rsidRPr="0082524A">
        <w:rPr>
          <w:rFonts w:ascii="Times New Roman" w:hAnsi="Times New Roman" w:cs="Times New Roman"/>
          <w:sz w:val="16"/>
        </w:rPr>
        <w:t xml:space="preserve"> </w:t>
      </w:r>
      <w:r w:rsidRPr="0082524A">
        <w:rPr>
          <w:rFonts w:ascii="Times New Roman" w:hAnsi="Times New Roman" w:cs="Times New Roman"/>
          <w:b/>
          <w:bCs/>
          <w:sz w:val="16"/>
        </w:rPr>
        <w:t>2018</w:t>
      </w:r>
      <w:r w:rsidRPr="0082524A">
        <w:rPr>
          <w:rFonts w:ascii="Times New Roman" w:hAnsi="Times New Roman" w:cs="Times New Roman"/>
          <w:sz w:val="16"/>
        </w:rPr>
        <w:t xml:space="preserve">, </w:t>
      </w:r>
      <w:r w:rsidRPr="0082524A">
        <w:rPr>
          <w:rFonts w:ascii="Times New Roman" w:hAnsi="Times New Roman" w:cs="Times New Roman"/>
          <w:i/>
          <w:iCs/>
          <w:sz w:val="16"/>
        </w:rPr>
        <w:t>09</w:t>
      </w:r>
      <w:r w:rsidRPr="0082524A">
        <w:rPr>
          <w:rFonts w:ascii="Times New Roman" w:hAnsi="Times New Roman" w:cs="Times New Roman"/>
          <w:sz w:val="16"/>
        </w:rPr>
        <w:t xml:space="preserve"> (01), 1840003. https://doi.org/10.1142/S2010007818400031.</w:t>
      </w:r>
    </w:p>
    <w:p w:rsidR="000E6354" w:rsidRPr="005F7ACB" w:rsidRDefault="005F7ACB" w:rsidP="005F7ACB">
      <w:pPr>
        <w:rPr>
          <w:rFonts w:ascii="Times New Roman" w:hAnsi="Times New Roman" w:cs="Times New Roman"/>
          <w:sz w:val="16"/>
          <w:szCs w:val="16"/>
        </w:rPr>
      </w:pPr>
      <w:r w:rsidRPr="005F7ACB">
        <w:rPr>
          <w:rFonts w:ascii="Times New Roman" w:hAnsi="Times New Roman" w:cs="Times New Roman"/>
          <w:sz w:val="16"/>
          <w:szCs w:val="16"/>
        </w:rPr>
        <w:fldChar w:fldCharType="end"/>
      </w:r>
    </w:p>
    <w:sectPr w:rsidR="000E6354" w:rsidRPr="005F7ACB" w:rsidSect="005F7A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055"/>
    <w:multiLevelType w:val="hybridMultilevel"/>
    <w:tmpl w:val="D7E4E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3AAE"/>
    <w:multiLevelType w:val="multilevel"/>
    <w:tmpl w:val="EFC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183"/>
    <w:multiLevelType w:val="hybridMultilevel"/>
    <w:tmpl w:val="EBE69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53D33"/>
    <w:multiLevelType w:val="hybridMultilevel"/>
    <w:tmpl w:val="D7F687C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B1411"/>
    <w:multiLevelType w:val="hybridMultilevel"/>
    <w:tmpl w:val="03EA6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55146"/>
    <w:multiLevelType w:val="multilevel"/>
    <w:tmpl w:val="6D2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A5F3C"/>
    <w:multiLevelType w:val="hybridMultilevel"/>
    <w:tmpl w:val="29889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61717"/>
    <w:multiLevelType w:val="hybridMultilevel"/>
    <w:tmpl w:val="48EE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4616"/>
    <w:multiLevelType w:val="hybridMultilevel"/>
    <w:tmpl w:val="15D0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C0CF3"/>
    <w:multiLevelType w:val="multilevel"/>
    <w:tmpl w:val="EE7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B733B"/>
    <w:multiLevelType w:val="hybridMultilevel"/>
    <w:tmpl w:val="CACED312"/>
    <w:lvl w:ilvl="0" w:tplc="D69CCFC8">
      <w:start w:val="1"/>
      <w:numFmt w:val="bullet"/>
      <w:lvlText w:val="•"/>
      <w:lvlJc w:val="left"/>
      <w:pPr>
        <w:tabs>
          <w:tab w:val="num" w:pos="720"/>
        </w:tabs>
        <w:ind w:left="720" w:hanging="360"/>
      </w:pPr>
      <w:rPr>
        <w:rFonts w:ascii="Arial" w:hAnsi="Arial" w:hint="default"/>
      </w:rPr>
    </w:lvl>
    <w:lvl w:ilvl="1" w:tplc="EA3E089C" w:tentative="1">
      <w:start w:val="1"/>
      <w:numFmt w:val="bullet"/>
      <w:lvlText w:val="•"/>
      <w:lvlJc w:val="left"/>
      <w:pPr>
        <w:tabs>
          <w:tab w:val="num" w:pos="1440"/>
        </w:tabs>
        <w:ind w:left="1440" w:hanging="360"/>
      </w:pPr>
      <w:rPr>
        <w:rFonts w:ascii="Arial" w:hAnsi="Arial" w:hint="default"/>
      </w:rPr>
    </w:lvl>
    <w:lvl w:ilvl="2" w:tplc="C876EDB4" w:tentative="1">
      <w:start w:val="1"/>
      <w:numFmt w:val="bullet"/>
      <w:lvlText w:val="•"/>
      <w:lvlJc w:val="left"/>
      <w:pPr>
        <w:tabs>
          <w:tab w:val="num" w:pos="2160"/>
        </w:tabs>
        <w:ind w:left="2160" w:hanging="360"/>
      </w:pPr>
      <w:rPr>
        <w:rFonts w:ascii="Arial" w:hAnsi="Arial" w:hint="default"/>
      </w:rPr>
    </w:lvl>
    <w:lvl w:ilvl="3" w:tplc="D652C5EC" w:tentative="1">
      <w:start w:val="1"/>
      <w:numFmt w:val="bullet"/>
      <w:lvlText w:val="•"/>
      <w:lvlJc w:val="left"/>
      <w:pPr>
        <w:tabs>
          <w:tab w:val="num" w:pos="2880"/>
        </w:tabs>
        <w:ind w:left="2880" w:hanging="360"/>
      </w:pPr>
      <w:rPr>
        <w:rFonts w:ascii="Arial" w:hAnsi="Arial" w:hint="default"/>
      </w:rPr>
    </w:lvl>
    <w:lvl w:ilvl="4" w:tplc="9E5A6D1C" w:tentative="1">
      <w:start w:val="1"/>
      <w:numFmt w:val="bullet"/>
      <w:lvlText w:val="•"/>
      <w:lvlJc w:val="left"/>
      <w:pPr>
        <w:tabs>
          <w:tab w:val="num" w:pos="3600"/>
        </w:tabs>
        <w:ind w:left="3600" w:hanging="360"/>
      </w:pPr>
      <w:rPr>
        <w:rFonts w:ascii="Arial" w:hAnsi="Arial" w:hint="default"/>
      </w:rPr>
    </w:lvl>
    <w:lvl w:ilvl="5" w:tplc="67B03A00" w:tentative="1">
      <w:start w:val="1"/>
      <w:numFmt w:val="bullet"/>
      <w:lvlText w:val="•"/>
      <w:lvlJc w:val="left"/>
      <w:pPr>
        <w:tabs>
          <w:tab w:val="num" w:pos="4320"/>
        </w:tabs>
        <w:ind w:left="4320" w:hanging="360"/>
      </w:pPr>
      <w:rPr>
        <w:rFonts w:ascii="Arial" w:hAnsi="Arial" w:hint="default"/>
      </w:rPr>
    </w:lvl>
    <w:lvl w:ilvl="6" w:tplc="8250C8F2" w:tentative="1">
      <w:start w:val="1"/>
      <w:numFmt w:val="bullet"/>
      <w:lvlText w:val="•"/>
      <w:lvlJc w:val="left"/>
      <w:pPr>
        <w:tabs>
          <w:tab w:val="num" w:pos="5040"/>
        </w:tabs>
        <w:ind w:left="5040" w:hanging="360"/>
      </w:pPr>
      <w:rPr>
        <w:rFonts w:ascii="Arial" w:hAnsi="Arial" w:hint="default"/>
      </w:rPr>
    </w:lvl>
    <w:lvl w:ilvl="7" w:tplc="8DF45194" w:tentative="1">
      <w:start w:val="1"/>
      <w:numFmt w:val="bullet"/>
      <w:lvlText w:val="•"/>
      <w:lvlJc w:val="left"/>
      <w:pPr>
        <w:tabs>
          <w:tab w:val="num" w:pos="5760"/>
        </w:tabs>
        <w:ind w:left="5760" w:hanging="360"/>
      </w:pPr>
      <w:rPr>
        <w:rFonts w:ascii="Arial" w:hAnsi="Arial" w:hint="default"/>
      </w:rPr>
    </w:lvl>
    <w:lvl w:ilvl="8" w:tplc="F12012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47681E"/>
    <w:multiLevelType w:val="hybridMultilevel"/>
    <w:tmpl w:val="336AB626"/>
    <w:lvl w:ilvl="0" w:tplc="B13A7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87042D"/>
    <w:multiLevelType w:val="hybridMultilevel"/>
    <w:tmpl w:val="C11603C4"/>
    <w:lvl w:ilvl="0" w:tplc="AA02B1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B318F"/>
    <w:multiLevelType w:val="multilevel"/>
    <w:tmpl w:val="082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C037B"/>
    <w:multiLevelType w:val="multilevel"/>
    <w:tmpl w:val="609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7"/>
  </w:num>
  <w:num w:numId="4">
    <w:abstractNumId w:val="0"/>
  </w:num>
  <w:num w:numId="5">
    <w:abstractNumId w:val="2"/>
  </w:num>
  <w:num w:numId="6">
    <w:abstractNumId w:val="11"/>
  </w:num>
  <w:num w:numId="7">
    <w:abstractNumId w:val="8"/>
  </w:num>
  <w:num w:numId="8">
    <w:abstractNumId w:val="5"/>
  </w:num>
  <w:num w:numId="9">
    <w:abstractNumId w:val="1"/>
  </w:num>
  <w:num w:numId="10">
    <w:abstractNumId w:val="12"/>
  </w:num>
  <w:num w:numId="11">
    <w:abstractNumId w:val="4"/>
  </w:num>
  <w:num w:numId="12">
    <w:abstractNumId w:val="10"/>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CB"/>
    <w:rsid w:val="000E6354"/>
    <w:rsid w:val="001F592F"/>
    <w:rsid w:val="00452D79"/>
    <w:rsid w:val="005F7ACB"/>
    <w:rsid w:val="007D7145"/>
    <w:rsid w:val="007E6C65"/>
    <w:rsid w:val="0082524A"/>
    <w:rsid w:val="00A503AB"/>
    <w:rsid w:val="00A51F58"/>
    <w:rsid w:val="00B41ECD"/>
    <w:rsid w:val="00B70622"/>
    <w:rsid w:val="00C8555F"/>
    <w:rsid w:val="00CA1D7D"/>
    <w:rsid w:val="00DB66A8"/>
    <w:rsid w:val="00F6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3FF9"/>
  <w15:chartTrackingRefBased/>
  <w15:docId w15:val="{E77403FC-55ED-714A-ABF0-8462997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7ACB"/>
  </w:style>
  <w:style w:type="paragraph" w:styleId="Heading1">
    <w:name w:val="heading 1"/>
    <w:basedOn w:val="Normal"/>
    <w:next w:val="Normal"/>
    <w:link w:val="Heading1Char"/>
    <w:uiPriority w:val="9"/>
    <w:qFormat/>
    <w:rsid w:val="005F7AC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next w:val="Normal"/>
    <w:link w:val="Heading3Char"/>
    <w:uiPriority w:val="9"/>
    <w:semiHidden/>
    <w:unhideWhenUsed/>
    <w:qFormat/>
    <w:rsid w:val="005F7A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F7AC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ACB"/>
    <w:rPr>
      <w:rFonts w:asciiTheme="majorHAnsi" w:eastAsiaTheme="majorEastAsia" w:hAnsiTheme="majorHAnsi" w:cstheme="majorBidi"/>
      <w:b/>
      <w:bCs/>
      <w:color w:val="2F5496" w:themeColor="accent1" w:themeShade="BF"/>
      <w:sz w:val="28"/>
      <w:szCs w:val="28"/>
      <w:lang w:bidi="en-US"/>
    </w:rPr>
  </w:style>
  <w:style w:type="character" w:customStyle="1" w:styleId="Heading3Char">
    <w:name w:val="Heading 3 Char"/>
    <w:basedOn w:val="DefaultParagraphFont"/>
    <w:link w:val="Heading3"/>
    <w:uiPriority w:val="9"/>
    <w:semiHidden/>
    <w:rsid w:val="005F7A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F7ACB"/>
    <w:rPr>
      <w:rFonts w:ascii="Times New Roman" w:eastAsia="Times New Roman" w:hAnsi="Times New Roman" w:cs="Times New Roman"/>
      <w:b/>
      <w:bCs/>
    </w:rPr>
  </w:style>
  <w:style w:type="paragraph" w:styleId="BodyText">
    <w:name w:val="Body Text"/>
    <w:basedOn w:val="Normal"/>
    <w:link w:val="BodyTextChar"/>
    <w:uiPriority w:val="99"/>
    <w:semiHidden/>
    <w:unhideWhenUsed/>
    <w:rsid w:val="005F7ACB"/>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5F7ACB"/>
    <w:rPr>
      <w:rFonts w:ascii="Times New Roman" w:eastAsia="Times New Roman" w:hAnsi="Times New Roman" w:cs="Times New Roman"/>
    </w:rPr>
  </w:style>
  <w:style w:type="paragraph" w:styleId="ListParagraph">
    <w:name w:val="List Paragraph"/>
    <w:basedOn w:val="Normal"/>
    <w:uiPriority w:val="34"/>
    <w:qFormat/>
    <w:rsid w:val="005F7A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F7ACB"/>
    <w:rPr>
      <w:color w:val="0000FF"/>
      <w:u w:val="single"/>
    </w:rPr>
  </w:style>
  <w:style w:type="character" w:customStyle="1" w:styleId="apple-converted-space">
    <w:name w:val="apple-converted-space"/>
    <w:basedOn w:val="DefaultParagraphFont"/>
    <w:rsid w:val="005F7ACB"/>
  </w:style>
  <w:style w:type="paragraph" w:styleId="NormalWeb">
    <w:name w:val="Normal (Web)"/>
    <w:basedOn w:val="Normal"/>
    <w:uiPriority w:val="99"/>
    <w:unhideWhenUsed/>
    <w:rsid w:val="005F7AC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7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A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7ACB"/>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5F7ACB"/>
    <w:rPr>
      <w:color w:val="605E5C"/>
      <w:shd w:val="clear" w:color="auto" w:fill="E1DFDD"/>
    </w:rPr>
  </w:style>
  <w:style w:type="character" w:styleId="FollowedHyperlink">
    <w:name w:val="FollowedHyperlink"/>
    <w:basedOn w:val="DefaultParagraphFont"/>
    <w:uiPriority w:val="99"/>
    <w:semiHidden/>
    <w:unhideWhenUsed/>
    <w:rsid w:val="005F7ACB"/>
    <w:rPr>
      <w:color w:val="954F72" w:themeColor="followedHyperlink"/>
      <w:u w:val="single"/>
    </w:rPr>
  </w:style>
  <w:style w:type="paragraph" w:styleId="Bibliography">
    <w:name w:val="Bibliography"/>
    <w:basedOn w:val="Normal"/>
    <w:next w:val="Normal"/>
    <w:uiPriority w:val="37"/>
    <w:unhideWhenUsed/>
    <w:rsid w:val="005F7ACB"/>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181">
      <w:bodyDiv w:val="1"/>
      <w:marLeft w:val="0"/>
      <w:marRight w:val="0"/>
      <w:marTop w:val="0"/>
      <w:marBottom w:val="0"/>
      <w:divBdr>
        <w:top w:val="none" w:sz="0" w:space="0" w:color="auto"/>
        <w:left w:val="none" w:sz="0" w:space="0" w:color="auto"/>
        <w:bottom w:val="none" w:sz="0" w:space="0" w:color="auto"/>
        <w:right w:val="none" w:sz="0" w:space="0" w:color="auto"/>
      </w:divBdr>
      <w:divsChild>
        <w:div w:id="1945190388">
          <w:marLeft w:val="0"/>
          <w:marRight w:val="0"/>
          <w:marTop w:val="0"/>
          <w:marBottom w:val="0"/>
          <w:divBdr>
            <w:top w:val="none" w:sz="0" w:space="0" w:color="auto"/>
            <w:left w:val="none" w:sz="0" w:space="0" w:color="auto"/>
            <w:bottom w:val="none" w:sz="0" w:space="0" w:color="auto"/>
            <w:right w:val="none" w:sz="0" w:space="0" w:color="auto"/>
          </w:divBdr>
          <w:divsChild>
            <w:div w:id="1546676751">
              <w:marLeft w:val="0"/>
              <w:marRight w:val="0"/>
              <w:marTop w:val="0"/>
              <w:marBottom w:val="0"/>
              <w:divBdr>
                <w:top w:val="none" w:sz="0" w:space="0" w:color="auto"/>
                <w:left w:val="none" w:sz="0" w:space="0" w:color="auto"/>
                <w:bottom w:val="none" w:sz="0" w:space="0" w:color="auto"/>
                <w:right w:val="none" w:sz="0" w:space="0" w:color="auto"/>
              </w:divBdr>
              <w:divsChild>
                <w:div w:id="1521774662">
                  <w:marLeft w:val="0"/>
                  <w:marRight w:val="0"/>
                  <w:marTop w:val="0"/>
                  <w:marBottom w:val="0"/>
                  <w:divBdr>
                    <w:top w:val="none" w:sz="0" w:space="0" w:color="auto"/>
                    <w:left w:val="none" w:sz="0" w:space="0" w:color="auto"/>
                    <w:bottom w:val="none" w:sz="0" w:space="0" w:color="auto"/>
                    <w:right w:val="none" w:sz="0" w:space="0" w:color="auto"/>
                  </w:divBdr>
                  <w:divsChild>
                    <w:div w:id="88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4616">
      <w:bodyDiv w:val="1"/>
      <w:marLeft w:val="0"/>
      <w:marRight w:val="0"/>
      <w:marTop w:val="0"/>
      <w:marBottom w:val="0"/>
      <w:divBdr>
        <w:top w:val="none" w:sz="0" w:space="0" w:color="auto"/>
        <w:left w:val="none" w:sz="0" w:space="0" w:color="auto"/>
        <w:bottom w:val="none" w:sz="0" w:space="0" w:color="auto"/>
        <w:right w:val="none" w:sz="0" w:space="0" w:color="auto"/>
      </w:divBdr>
      <w:divsChild>
        <w:div w:id="2122648463">
          <w:marLeft w:val="0"/>
          <w:marRight w:val="0"/>
          <w:marTop w:val="0"/>
          <w:marBottom w:val="0"/>
          <w:divBdr>
            <w:top w:val="none" w:sz="0" w:space="0" w:color="auto"/>
            <w:left w:val="none" w:sz="0" w:space="0" w:color="auto"/>
            <w:bottom w:val="none" w:sz="0" w:space="0" w:color="auto"/>
            <w:right w:val="none" w:sz="0" w:space="0" w:color="auto"/>
          </w:divBdr>
          <w:divsChild>
            <w:div w:id="297607977">
              <w:marLeft w:val="0"/>
              <w:marRight w:val="0"/>
              <w:marTop w:val="0"/>
              <w:marBottom w:val="0"/>
              <w:divBdr>
                <w:top w:val="none" w:sz="0" w:space="0" w:color="auto"/>
                <w:left w:val="none" w:sz="0" w:space="0" w:color="auto"/>
                <w:bottom w:val="none" w:sz="0" w:space="0" w:color="auto"/>
                <w:right w:val="none" w:sz="0" w:space="0" w:color="auto"/>
              </w:divBdr>
              <w:divsChild>
                <w:div w:id="968244445">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9104">
      <w:bodyDiv w:val="1"/>
      <w:marLeft w:val="0"/>
      <w:marRight w:val="0"/>
      <w:marTop w:val="0"/>
      <w:marBottom w:val="0"/>
      <w:divBdr>
        <w:top w:val="none" w:sz="0" w:space="0" w:color="auto"/>
        <w:left w:val="none" w:sz="0" w:space="0" w:color="auto"/>
        <w:bottom w:val="none" w:sz="0" w:space="0" w:color="auto"/>
        <w:right w:val="none" w:sz="0" w:space="0" w:color="auto"/>
      </w:divBdr>
      <w:divsChild>
        <w:div w:id="989481275">
          <w:marLeft w:val="0"/>
          <w:marRight w:val="0"/>
          <w:marTop w:val="0"/>
          <w:marBottom w:val="0"/>
          <w:divBdr>
            <w:top w:val="none" w:sz="0" w:space="0" w:color="auto"/>
            <w:left w:val="none" w:sz="0" w:space="0" w:color="auto"/>
            <w:bottom w:val="none" w:sz="0" w:space="0" w:color="auto"/>
            <w:right w:val="none" w:sz="0" w:space="0" w:color="auto"/>
          </w:divBdr>
          <w:divsChild>
            <w:div w:id="176043273">
              <w:marLeft w:val="0"/>
              <w:marRight w:val="0"/>
              <w:marTop w:val="0"/>
              <w:marBottom w:val="0"/>
              <w:divBdr>
                <w:top w:val="none" w:sz="0" w:space="0" w:color="auto"/>
                <w:left w:val="none" w:sz="0" w:space="0" w:color="auto"/>
                <w:bottom w:val="none" w:sz="0" w:space="0" w:color="auto"/>
                <w:right w:val="none" w:sz="0" w:space="0" w:color="auto"/>
              </w:divBdr>
              <w:divsChild>
                <w:div w:id="13264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849">
      <w:bodyDiv w:val="1"/>
      <w:marLeft w:val="0"/>
      <w:marRight w:val="0"/>
      <w:marTop w:val="0"/>
      <w:marBottom w:val="0"/>
      <w:divBdr>
        <w:top w:val="none" w:sz="0" w:space="0" w:color="auto"/>
        <w:left w:val="none" w:sz="0" w:space="0" w:color="auto"/>
        <w:bottom w:val="none" w:sz="0" w:space="0" w:color="auto"/>
        <w:right w:val="none" w:sz="0" w:space="0" w:color="auto"/>
      </w:divBdr>
      <w:divsChild>
        <w:div w:id="1637755560">
          <w:marLeft w:val="0"/>
          <w:marRight w:val="0"/>
          <w:marTop w:val="0"/>
          <w:marBottom w:val="0"/>
          <w:divBdr>
            <w:top w:val="none" w:sz="0" w:space="0" w:color="auto"/>
            <w:left w:val="none" w:sz="0" w:space="0" w:color="auto"/>
            <w:bottom w:val="none" w:sz="0" w:space="0" w:color="auto"/>
            <w:right w:val="none" w:sz="0" w:space="0" w:color="auto"/>
          </w:divBdr>
          <w:divsChild>
            <w:div w:id="160585643">
              <w:marLeft w:val="0"/>
              <w:marRight w:val="0"/>
              <w:marTop w:val="0"/>
              <w:marBottom w:val="0"/>
              <w:divBdr>
                <w:top w:val="none" w:sz="0" w:space="0" w:color="auto"/>
                <w:left w:val="none" w:sz="0" w:space="0" w:color="auto"/>
                <w:bottom w:val="none" w:sz="0" w:space="0" w:color="auto"/>
                <w:right w:val="none" w:sz="0" w:space="0" w:color="auto"/>
              </w:divBdr>
              <w:divsChild>
                <w:div w:id="1893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9000">
      <w:bodyDiv w:val="1"/>
      <w:marLeft w:val="0"/>
      <w:marRight w:val="0"/>
      <w:marTop w:val="0"/>
      <w:marBottom w:val="0"/>
      <w:divBdr>
        <w:top w:val="none" w:sz="0" w:space="0" w:color="auto"/>
        <w:left w:val="none" w:sz="0" w:space="0" w:color="auto"/>
        <w:bottom w:val="none" w:sz="0" w:space="0" w:color="auto"/>
        <w:right w:val="none" w:sz="0" w:space="0" w:color="auto"/>
      </w:divBdr>
      <w:divsChild>
        <w:div w:id="1736464578">
          <w:marLeft w:val="0"/>
          <w:marRight w:val="0"/>
          <w:marTop w:val="0"/>
          <w:marBottom w:val="0"/>
          <w:divBdr>
            <w:top w:val="none" w:sz="0" w:space="0" w:color="auto"/>
            <w:left w:val="none" w:sz="0" w:space="0" w:color="auto"/>
            <w:bottom w:val="none" w:sz="0" w:space="0" w:color="auto"/>
            <w:right w:val="none" w:sz="0" w:space="0" w:color="auto"/>
          </w:divBdr>
          <w:divsChild>
            <w:div w:id="1121071864">
              <w:marLeft w:val="0"/>
              <w:marRight w:val="0"/>
              <w:marTop w:val="0"/>
              <w:marBottom w:val="0"/>
              <w:divBdr>
                <w:top w:val="none" w:sz="0" w:space="0" w:color="auto"/>
                <w:left w:val="none" w:sz="0" w:space="0" w:color="auto"/>
                <w:bottom w:val="none" w:sz="0" w:space="0" w:color="auto"/>
                <w:right w:val="none" w:sz="0" w:space="0" w:color="auto"/>
              </w:divBdr>
              <w:divsChild>
                <w:div w:id="1365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5685">
      <w:bodyDiv w:val="1"/>
      <w:marLeft w:val="0"/>
      <w:marRight w:val="0"/>
      <w:marTop w:val="0"/>
      <w:marBottom w:val="0"/>
      <w:divBdr>
        <w:top w:val="none" w:sz="0" w:space="0" w:color="auto"/>
        <w:left w:val="none" w:sz="0" w:space="0" w:color="auto"/>
        <w:bottom w:val="none" w:sz="0" w:space="0" w:color="auto"/>
        <w:right w:val="none" w:sz="0" w:space="0" w:color="auto"/>
      </w:divBdr>
      <w:divsChild>
        <w:div w:id="1483547474">
          <w:marLeft w:val="0"/>
          <w:marRight w:val="0"/>
          <w:marTop w:val="0"/>
          <w:marBottom w:val="0"/>
          <w:divBdr>
            <w:top w:val="none" w:sz="0" w:space="0" w:color="auto"/>
            <w:left w:val="none" w:sz="0" w:space="0" w:color="auto"/>
            <w:bottom w:val="none" w:sz="0" w:space="0" w:color="auto"/>
            <w:right w:val="none" w:sz="0" w:space="0" w:color="auto"/>
          </w:divBdr>
          <w:divsChild>
            <w:div w:id="153302652">
              <w:marLeft w:val="0"/>
              <w:marRight w:val="0"/>
              <w:marTop w:val="0"/>
              <w:marBottom w:val="0"/>
              <w:divBdr>
                <w:top w:val="none" w:sz="0" w:space="0" w:color="auto"/>
                <w:left w:val="none" w:sz="0" w:space="0" w:color="auto"/>
                <w:bottom w:val="none" w:sz="0" w:space="0" w:color="auto"/>
                <w:right w:val="none" w:sz="0" w:space="0" w:color="auto"/>
              </w:divBdr>
              <w:divsChild>
                <w:div w:id="2135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1464">
      <w:bodyDiv w:val="1"/>
      <w:marLeft w:val="0"/>
      <w:marRight w:val="0"/>
      <w:marTop w:val="0"/>
      <w:marBottom w:val="0"/>
      <w:divBdr>
        <w:top w:val="none" w:sz="0" w:space="0" w:color="auto"/>
        <w:left w:val="none" w:sz="0" w:space="0" w:color="auto"/>
        <w:bottom w:val="none" w:sz="0" w:space="0" w:color="auto"/>
        <w:right w:val="none" w:sz="0" w:space="0" w:color="auto"/>
      </w:divBdr>
      <w:divsChild>
        <w:div w:id="152795773">
          <w:marLeft w:val="0"/>
          <w:marRight w:val="0"/>
          <w:marTop w:val="0"/>
          <w:marBottom w:val="0"/>
          <w:divBdr>
            <w:top w:val="none" w:sz="0" w:space="0" w:color="auto"/>
            <w:left w:val="none" w:sz="0" w:space="0" w:color="auto"/>
            <w:bottom w:val="none" w:sz="0" w:space="0" w:color="auto"/>
            <w:right w:val="none" w:sz="0" w:space="0" w:color="auto"/>
          </w:divBdr>
          <w:divsChild>
            <w:div w:id="1503088632">
              <w:marLeft w:val="0"/>
              <w:marRight w:val="0"/>
              <w:marTop w:val="0"/>
              <w:marBottom w:val="0"/>
              <w:divBdr>
                <w:top w:val="none" w:sz="0" w:space="0" w:color="auto"/>
                <w:left w:val="none" w:sz="0" w:space="0" w:color="auto"/>
                <w:bottom w:val="none" w:sz="0" w:space="0" w:color="auto"/>
                <w:right w:val="none" w:sz="0" w:space="0" w:color="auto"/>
              </w:divBdr>
              <w:divsChild>
                <w:div w:id="811481741">
                  <w:marLeft w:val="0"/>
                  <w:marRight w:val="0"/>
                  <w:marTop w:val="0"/>
                  <w:marBottom w:val="0"/>
                  <w:divBdr>
                    <w:top w:val="none" w:sz="0" w:space="0" w:color="auto"/>
                    <w:left w:val="none" w:sz="0" w:space="0" w:color="auto"/>
                    <w:bottom w:val="none" w:sz="0" w:space="0" w:color="auto"/>
                    <w:right w:val="none" w:sz="0" w:space="0" w:color="auto"/>
                  </w:divBdr>
                  <w:divsChild>
                    <w:div w:id="11278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7723">
      <w:bodyDiv w:val="1"/>
      <w:marLeft w:val="0"/>
      <w:marRight w:val="0"/>
      <w:marTop w:val="0"/>
      <w:marBottom w:val="0"/>
      <w:divBdr>
        <w:top w:val="none" w:sz="0" w:space="0" w:color="auto"/>
        <w:left w:val="none" w:sz="0" w:space="0" w:color="auto"/>
        <w:bottom w:val="none" w:sz="0" w:space="0" w:color="auto"/>
        <w:right w:val="none" w:sz="0" w:space="0" w:color="auto"/>
      </w:divBdr>
      <w:divsChild>
        <w:div w:id="1325090563">
          <w:marLeft w:val="0"/>
          <w:marRight w:val="0"/>
          <w:marTop w:val="0"/>
          <w:marBottom w:val="0"/>
          <w:divBdr>
            <w:top w:val="none" w:sz="0" w:space="0" w:color="auto"/>
            <w:left w:val="none" w:sz="0" w:space="0" w:color="auto"/>
            <w:bottom w:val="none" w:sz="0" w:space="0" w:color="auto"/>
            <w:right w:val="none" w:sz="0" w:space="0" w:color="auto"/>
          </w:divBdr>
          <w:divsChild>
            <w:div w:id="497775362">
              <w:marLeft w:val="0"/>
              <w:marRight w:val="0"/>
              <w:marTop w:val="0"/>
              <w:marBottom w:val="0"/>
              <w:divBdr>
                <w:top w:val="none" w:sz="0" w:space="0" w:color="auto"/>
                <w:left w:val="none" w:sz="0" w:space="0" w:color="auto"/>
                <w:bottom w:val="none" w:sz="0" w:space="0" w:color="auto"/>
                <w:right w:val="none" w:sz="0" w:space="0" w:color="auto"/>
              </w:divBdr>
              <w:divsChild>
                <w:div w:id="5782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8120">
      <w:bodyDiv w:val="1"/>
      <w:marLeft w:val="0"/>
      <w:marRight w:val="0"/>
      <w:marTop w:val="0"/>
      <w:marBottom w:val="0"/>
      <w:divBdr>
        <w:top w:val="none" w:sz="0" w:space="0" w:color="auto"/>
        <w:left w:val="none" w:sz="0" w:space="0" w:color="auto"/>
        <w:bottom w:val="none" w:sz="0" w:space="0" w:color="auto"/>
        <w:right w:val="none" w:sz="0" w:space="0" w:color="auto"/>
      </w:divBdr>
      <w:divsChild>
        <w:div w:id="334573006">
          <w:marLeft w:val="0"/>
          <w:marRight w:val="0"/>
          <w:marTop w:val="0"/>
          <w:marBottom w:val="0"/>
          <w:divBdr>
            <w:top w:val="none" w:sz="0" w:space="0" w:color="auto"/>
            <w:left w:val="none" w:sz="0" w:space="0" w:color="auto"/>
            <w:bottom w:val="none" w:sz="0" w:space="0" w:color="auto"/>
            <w:right w:val="none" w:sz="0" w:space="0" w:color="auto"/>
          </w:divBdr>
          <w:divsChild>
            <w:div w:id="1143158852">
              <w:marLeft w:val="0"/>
              <w:marRight w:val="0"/>
              <w:marTop w:val="0"/>
              <w:marBottom w:val="0"/>
              <w:divBdr>
                <w:top w:val="none" w:sz="0" w:space="0" w:color="auto"/>
                <w:left w:val="none" w:sz="0" w:space="0" w:color="auto"/>
                <w:bottom w:val="none" w:sz="0" w:space="0" w:color="auto"/>
                <w:right w:val="none" w:sz="0" w:space="0" w:color="auto"/>
              </w:divBdr>
              <w:divsChild>
                <w:div w:id="631256206">
                  <w:marLeft w:val="0"/>
                  <w:marRight w:val="0"/>
                  <w:marTop w:val="0"/>
                  <w:marBottom w:val="0"/>
                  <w:divBdr>
                    <w:top w:val="none" w:sz="0" w:space="0" w:color="auto"/>
                    <w:left w:val="none" w:sz="0" w:space="0" w:color="auto"/>
                    <w:bottom w:val="none" w:sz="0" w:space="0" w:color="auto"/>
                    <w:right w:val="none" w:sz="0" w:space="0" w:color="auto"/>
                  </w:divBdr>
                  <w:divsChild>
                    <w:div w:id="10177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075">
      <w:bodyDiv w:val="1"/>
      <w:marLeft w:val="0"/>
      <w:marRight w:val="0"/>
      <w:marTop w:val="0"/>
      <w:marBottom w:val="0"/>
      <w:divBdr>
        <w:top w:val="none" w:sz="0" w:space="0" w:color="auto"/>
        <w:left w:val="none" w:sz="0" w:space="0" w:color="auto"/>
        <w:bottom w:val="none" w:sz="0" w:space="0" w:color="auto"/>
        <w:right w:val="none" w:sz="0" w:space="0" w:color="auto"/>
      </w:divBdr>
      <w:divsChild>
        <w:div w:id="1411463561">
          <w:marLeft w:val="0"/>
          <w:marRight w:val="0"/>
          <w:marTop w:val="0"/>
          <w:marBottom w:val="0"/>
          <w:divBdr>
            <w:top w:val="none" w:sz="0" w:space="0" w:color="auto"/>
            <w:left w:val="none" w:sz="0" w:space="0" w:color="auto"/>
            <w:bottom w:val="none" w:sz="0" w:space="0" w:color="auto"/>
            <w:right w:val="none" w:sz="0" w:space="0" w:color="auto"/>
          </w:divBdr>
          <w:divsChild>
            <w:div w:id="1110315101">
              <w:marLeft w:val="0"/>
              <w:marRight w:val="0"/>
              <w:marTop w:val="0"/>
              <w:marBottom w:val="0"/>
              <w:divBdr>
                <w:top w:val="none" w:sz="0" w:space="0" w:color="auto"/>
                <w:left w:val="none" w:sz="0" w:space="0" w:color="auto"/>
                <w:bottom w:val="none" w:sz="0" w:space="0" w:color="auto"/>
                <w:right w:val="none" w:sz="0" w:space="0" w:color="auto"/>
              </w:divBdr>
              <w:divsChild>
                <w:div w:id="485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5964">
      <w:bodyDiv w:val="1"/>
      <w:marLeft w:val="0"/>
      <w:marRight w:val="0"/>
      <w:marTop w:val="0"/>
      <w:marBottom w:val="0"/>
      <w:divBdr>
        <w:top w:val="none" w:sz="0" w:space="0" w:color="auto"/>
        <w:left w:val="none" w:sz="0" w:space="0" w:color="auto"/>
        <w:bottom w:val="none" w:sz="0" w:space="0" w:color="auto"/>
        <w:right w:val="none" w:sz="0" w:space="0" w:color="auto"/>
      </w:divBdr>
      <w:divsChild>
        <w:div w:id="1766998363">
          <w:marLeft w:val="0"/>
          <w:marRight w:val="0"/>
          <w:marTop w:val="0"/>
          <w:marBottom w:val="0"/>
          <w:divBdr>
            <w:top w:val="none" w:sz="0" w:space="0" w:color="auto"/>
            <w:left w:val="none" w:sz="0" w:space="0" w:color="auto"/>
            <w:bottom w:val="none" w:sz="0" w:space="0" w:color="auto"/>
            <w:right w:val="none" w:sz="0" w:space="0" w:color="auto"/>
          </w:divBdr>
          <w:divsChild>
            <w:div w:id="606430585">
              <w:marLeft w:val="0"/>
              <w:marRight w:val="0"/>
              <w:marTop w:val="0"/>
              <w:marBottom w:val="0"/>
              <w:divBdr>
                <w:top w:val="none" w:sz="0" w:space="0" w:color="auto"/>
                <w:left w:val="none" w:sz="0" w:space="0" w:color="auto"/>
                <w:bottom w:val="none" w:sz="0" w:space="0" w:color="auto"/>
                <w:right w:val="none" w:sz="0" w:space="0" w:color="auto"/>
              </w:divBdr>
              <w:divsChild>
                <w:div w:id="1451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6249">
      <w:bodyDiv w:val="1"/>
      <w:marLeft w:val="0"/>
      <w:marRight w:val="0"/>
      <w:marTop w:val="0"/>
      <w:marBottom w:val="0"/>
      <w:divBdr>
        <w:top w:val="none" w:sz="0" w:space="0" w:color="auto"/>
        <w:left w:val="none" w:sz="0" w:space="0" w:color="auto"/>
        <w:bottom w:val="none" w:sz="0" w:space="0" w:color="auto"/>
        <w:right w:val="none" w:sz="0" w:space="0" w:color="auto"/>
      </w:divBdr>
      <w:divsChild>
        <w:div w:id="1598753688">
          <w:marLeft w:val="0"/>
          <w:marRight w:val="0"/>
          <w:marTop w:val="0"/>
          <w:marBottom w:val="0"/>
          <w:divBdr>
            <w:top w:val="none" w:sz="0" w:space="0" w:color="auto"/>
            <w:left w:val="none" w:sz="0" w:space="0" w:color="auto"/>
            <w:bottom w:val="none" w:sz="0" w:space="0" w:color="auto"/>
            <w:right w:val="none" w:sz="0" w:space="0" w:color="auto"/>
          </w:divBdr>
          <w:divsChild>
            <w:div w:id="1972052189">
              <w:marLeft w:val="0"/>
              <w:marRight w:val="0"/>
              <w:marTop w:val="0"/>
              <w:marBottom w:val="0"/>
              <w:divBdr>
                <w:top w:val="none" w:sz="0" w:space="0" w:color="auto"/>
                <w:left w:val="none" w:sz="0" w:space="0" w:color="auto"/>
                <w:bottom w:val="none" w:sz="0" w:space="0" w:color="auto"/>
                <w:right w:val="none" w:sz="0" w:space="0" w:color="auto"/>
              </w:divBdr>
              <w:divsChild>
                <w:div w:id="2724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8404">
      <w:bodyDiv w:val="1"/>
      <w:marLeft w:val="0"/>
      <w:marRight w:val="0"/>
      <w:marTop w:val="0"/>
      <w:marBottom w:val="0"/>
      <w:divBdr>
        <w:top w:val="none" w:sz="0" w:space="0" w:color="auto"/>
        <w:left w:val="none" w:sz="0" w:space="0" w:color="auto"/>
        <w:bottom w:val="none" w:sz="0" w:space="0" w:color="auto"/>
        <w:right w:val="none" w:sz="0" w:space="0" w:color="auto"/>
      </w:divBdr>
      <w:divsChild>
        <w:div w:id="1405028041">
          <w:marLeft w:val="0"/>
          <w:marRight w:val="0"/>
          <w:marTop w:val="0"/>
          <w:marBottom w:val="0"/>
          <w:divBdr>
            <w:top w:val="none" w:sz="0" w:space="0" w:color="auto"/>
            <w:left w:val="none" w:sz="0" w:space="0" w:color="auto"/>
            <w:bottom w:val="none" w:sz="0" w:space="0" w:color="auto"/>
            <w:right w:val="none" w:sz="0" w:space="0" w:color="auto"/>
          </w:divBdr>
          <w:divsChild>
            <w:div w:id="199319120">
              <w:marLeft w:val="0"/>
              <w:marRight w:val="0"/>
              <w:marTop w:val="0"/>
              <w:marBottom w:val="0"/>
              <w:divBdr>
                <w:top w:val="none" w:sz="0" w:space="0" w:color="auto"/>
                <w:left w:val="none" w:sz="0" w:space="0" w:color="auto"/>
                <w:bottom w:val="none" w:sz="0" w:space="0" w:color="auto"/>
                <w:right w:val="none" w:sz="0" w:space="0" w:color="auto"/>
              </w:divBdr>
              <w:divsChild>
                <w:div w:id="882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655">
      <w:bodyDiv w:val="1"/>
      <w:marLeft w:val="0"/>
      <w:marRight w:val="0"/>
      <w:marTop w:val="0"/>
      <w:marBottom w:val="0"/>
      <w:divBdr>
        <w:top w:val="none" w:sz="0" w:space="0" w:color="auto"/>
        <w:left w:val="none" w:sz="0" w:space="0" w:color="auto"/>
        <w:bottom w:val="none" w:sz="0" w:space="0" w:color="auto"/>
        <w:right w:val="none" w:sz="0" w:space="0" w:color="auto"/>
      </w:divBdr>
      <w:divsChild>
        <w:div w:id="461928912">
          <w:marLeft w:val="0"/>
          <w:marRight w:val="0"/>
          <w:marTop w:val="0"/>
          <w:marBottom w:val="0"/>
          <w:divBdr>
            <w:top w:val="none" w:sz="0" w:space="0" w:color="auto"/>
            <w:left w:val="none" w:sz="0" w:space="0" w:color="auto"/>
            <w:bottom w:val="none" w:sz="0" w:space="0" w:color="auto"/>
            <w:right w:val="none" w:sz="0" w:space="0" w:color="auto"/>
          </w:divBdr>
          <w:divsChild>
            <w:div w:id="650255279">
              <w:marLeft w:val="0"/>
              <w:marRight w:val="0"/>
              <w:marTop w:val="0"/>
              <w:marBottom w:val="0"/>
              <w:divBdr>
                <w:top w:val="none" w:sz="0" w:space="0" w:color="auto"/>
                <w:left w:val="none" w:sz="0" w:space="0" w:color="auto"/>
                <w:bottom w:val="none" w:sz="0" w:space="0" w:color="auto"/>
                <w:right w:val="none" w:sz="0" w:space="0" w:color="auto"/>
              </w:divBdr>
              <w:divsChild>
                <w:div w:id="1908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0358">
      <w:bodyDiv w:val="1"/>
      <w:marLeft w:val="0"/>
      <w:marRight w:val="0"/>
      <w:marTop w:val="0"/>
      <w:marBottom w:val="0"/>
      <w:divBdr>
        <w:top w:val="none" w:sz="0" w:space="0" w:color="auto"/>
        <w:left w:val="none" w:sz="0" w:space="0" w:color="auto"/>
        <w:bottom w:val="none" w:sz="0" w:space="0" w:color="auto"/>
        <w:right w:val="none" w:sz="0" w:space="0" w:color="auto"/>
      </w:divBdr>
      <w:divsChild>
        <w:div w:id="1921065285">
          <w:marLeft w:val="0"/>
          <w:marRight w:val="0"/>
          <w:marTop w:val="0"/>
          <w:marBottom w:val="0"/>
          <w:divBdr>
            <w:top w:val="none" w:sz="0" w:space="0" w:color="auto"/>
            <w:left w:val="none" w:sz="0" w:space="0" w:color="auto"/>
            <w:bottom w:val="none" w:sz="0" w:space="0" w:color="auto"/>
            <w:right w:val="none" w:sz="0" w:space="0" w:color="auto"/>
          </w:divBdr>
          <w:divsChild>
            <w:div w:id="1511218102">
              <w:marLeft w:val="0"/>
              <w:marRight w:val="0"/>
              <w:marTop w:val="0"/>
              <w:marBottom w:val="0"/>
              <w:divBdr>
                <w:top w:val="none" w:sz="0" w:space="0" w:color="auto"/>
                <w:left w:val="none" w:sz="0" w:space="0" w:color="auto"/>
                <w:bottom w:val="none" w:sz="0" w:space="0" w:color="auto"/>
                <w:right w:val="none" w:sz="0" w:space="0" w:color="auto"/>
              </w:divBdr>
              <w:divsChild>
                <w:div w:id="2735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7349">
      <w:bodyDiv w:val="1"/>
      <w:marLeft w:val="0"/>
      <w:marRight w:val="0"/>
      <w:marTop w:val="0"/>
      <w:marBottom w:val="0"/>
      <w:divBdr>
        <w:top w:val="none" w:sz="0" w:space="0" w:color="auto"/>
        <w:left w:val="none" w:sz="0" w:space="0" w:color="auto"/>
        <w:bottom w:val="none" w:sz="0" w:space="0" w:color="auto"/>
        <w:right w:val="none" w:sz="0" w:space="0" w:color="auto"/>
      </w:divBdr>
      <w:divsChild>
        <w:div w:id="2056737543">
          <w:marLeft w:val="0"/>
          <w:marRight w:val="0"/>
          <w:marTop w:val="0"/>
          <w:marBottom w:val="0"/>
          <w:divBdr>
            <w:top w:val="none" w:sz="0" w:space="0" w:color="auto"/>
            <w:left w:val="none" w:sz="0" w:space="0" w:color="auto"/>
            <w:bottom w:val="none" w:sz="0" w:space="0" w:color="auto"/>
            <w:right w:val="none" w:sz="0" w:space="0" w:color="auto"/>
          </w:divBdr>
          <w:divsChild>
            <w:div w:id="242377271">
              <w:marLeft w:val="0"/>
              <w:marRight w:val="0"/>
              <w:marTop w:val="0"/>
              <w:marBottom w:val="0"/>
              <w:divBdr>
                <w:top w:val="none" w:sz="0" w:space="0" w:color="auto"/>
                <w:left w:val="none" w:sz="0" w:space="0" w:color="auto"/>
                <w:bottom w:val="none" w:sz="0" w:space="0" w:color="auto"/>
                <w:right w:val="none" w:sz="0" w:space="0" w:color="auto"/>
              </w:divBdr>
              <w:divsChild>
                <w:div w:id="13367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7663">
      <w:bodyDiv w:val="1"/>
      <w:marLeft w:val="0"/>
      <w:marRight w:val="0"/>
      <w:marTop w:val="0"/>
      <w:marBottom w:val="0"/>
      <w:divBdr>
        <w:top w:val="none" w:sz="0" w:space="0" w:color="auto"/>
        <w:left w:val="none" w:sz="0" w:space="0" w:color="auto"/>
        <w:bottom w:val="none" w:sz="0" w:space="0" w:color="auto"/>
        <w:right w:val="none" w:sz="0" w:space="0" w:color="auto"/>
      </w:divBdr>
      <w:divsChild>
        <w:div w:id="1108935462">
          <w:marLeft w:val="0"/>
          <w:marRight w:val="0"/>
          <w:marTop w:val="0"/>
          <w:marBottom w:val="0"/>
          <w:divBdr>
            <w:top w:val="none" w:sz="0" w:space="0" w:color="auto"/>
            <w:left w:val="none" w:sz="0" w:space="0" w:color="auto"/>
            <w:bottom w:val="none" w:sz="0" w:space="0" w:color="auto"/>
            <w:right w:val="none" w:sz="0" w:space="0" w:color="auto"/>
          </w:divBdr>
          <w:divsChild>
            <w:div w:id="2028404888">
              <w:marLeft w:val="0"/>
              <w:marRight w:val="0"/>
              <w:marTop w:val="0"/>
              <w:marBottom w:val="0"/>
              <w:divBdr>
                <w:top w:val="none" w:sz="0" w:space="0" w:color="auto"/>
                <w:left w:val="none" w:sz="0" w:space="0" w:color="auto"/>
                <w:bottom w:val="none" w:sz="0" w:space="0" w:color="auto"/>
                <w:right w:val="none" w:sz="0" w:space="0" w:color="auto"/>
              </w:divBdr>
              <w:divsChild>
                <w:div w:id="4902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4535">
      <w:bodyDiv w:val="1"/>
      <w:marLeft w:val="0"/>
      <w:marRight w:val="0"/>
      <w:marTop w:val="0"/>
      <w:marBottom w:val="0"/>
      <w:divBdr>
        <w:top w:val="none" w:sz="0" w:space="0" w:color="auto"/>
        <w:left w:val="none" w:sz="0" w:space="0" w:color="auto"/>
        <w:bottom w:val="none" w:sz="0" w:space="0" w:color="auto"/>
        <w:right w:val="none" w:sz="0" w:space="0" w:color="auto"/>
      </w:divBdr>
      <w:divsChild>
        <w:div w:id="1996377176">
          <w:marLeft w:val="0"/>
          <w:marRight w:val="0"/>
          <w:marTop w:val="0"/>
          <w:marBottom w:val="0"/>
          <w:divBdr>
            <w:top w:val="none" w:sz="0" w:space="0" w:color="auto"/>
            <w:left w:val="none" w:sz="0" w:space="0" w:color="auto"/>
            <w:bottom w:val="none" w:sz="0" w:space="0" w:color="auto"/>
            <w:right w:val="none" w:sz="0" w:space="0" w:color="auto"/>
          </w:divBdr>
          <w:divsChild>
            <w:div w:id="350111265">
              <w:marLeft w:val="0"/>
              <w:marRight w:val="0"/>
              <w:marTop w:val="0"/>
              <w:marBottom w:val="0"/>
              <w:divBdr>
                <w:top w:val="none" w:sz="0" w:space="0" w:color="auto"/>
                <w:left w:val="none" w:sz="0" w:space="0" w:color="auto"/>
                <w:bottom w:val="none" w:sz="0" w:space="0" w:color="auto"/>
                <w:right w:val="none" w:sz="0" w:space="0" w:color="auto"/>
              </w:divBdr>
              <w:divsChild>
                <w:div w:id="1124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3333">
      <w:bodyDiv w:val="1"/>
      <w:marLeft w:val="0"/>
      <w:marRight w:val="0"/>
      <w:marTop w:val="0"/>
      <w:marBottom w:val="0"/>
      <w:divBdr>
        <w:top w:val="none" w:sz="0" w:space="0" w:color="auto"/>
        <w:left w:val="none" w:sz="0" w:space="0" w:color="auto"/>
        <w:bottom w:val="none" w:sz="0" w:space="0" w:color="auto"/>
        <w:right w:val="none" w:sz="0" w:space="0" w:color="auto"/>
      </w:divBdr>
      <w:divsChild>
        <w:div w:id="1410539665">
          <w:marLeft w:val="0"/>
          <w:marRight w:val="0"/>
          <w:marTop w:val="0"/>
          <w:marBottom w:val="0"/>
          <w:divBdr>
            <w:top w:val="none" w:sz="0" w:space="0" w:color="auto"/>
            <w:left w:val="none" w:sz="0" w:space="0" w:color="auto"/>
            <w:bottom w:val="none" w:sz="0" w:space="0" w:color="auto"/>
            <w:right w:val="none" w:sz="0" w:space="0" w:color="auto"/>
          </w:divBdr>
          <w:divsChild>
            <w:div w:id="292566035">
              <w:marLeft w:val="0"/>
              <w:marRight w:val="0"/>
              <w:marTop w:val="0"/>
              <w:marBottom w:val="0"/>
              <w:divBdr>
                <w:top w:val="none" w:sz="0" w:space="0" w:color="auto"/>
                <w:left w:val="none" w:sz="0" w:space="0" w:color="auto"/>
                <w:bottom w:val="none" w:sz="0" w:space="0" w:color="auto"/>
                <w:right w:val="none" w:sz="0" w:space="0" w:color="auto"/>
              </w:divBdr>
              <w:divsChild>
                <w:div w:id="1171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8800">
      <w:bodyDiv w:val="1"/>
      <w:marLeft w:val="0"/>
      <w:marRight w:val="0"/>
      <w:marTop w:val="0"/>
      <w:marBottom w:val="0"/>
      <w:divBdr>
        <w:top w:val="none" w:sz="0" w:space="0" w:color="auto"/>
        <w:left w:val="none" w:sz="0" w:space="0" w:color="auto"/>
        <w:bottom w:val="none" w:sz="0" w:space="0" w:color="auto"/>
        <w:right w:val="none" w:sz="0" w:space="0" w:color="auto"/>
      </w:divBdr>
      <w:divsChild>
        <w:div w:id="1279796373">
          <w:marLeft w:val="0"/>
          <w:marRight w:val="0"/>
          <w:marTop w:val="0"/>
          <w:marBottom w:val="0"/>
          <w:divBdr>
            <w:top w:val="none" w:sz="0" w:space="0" w:color="auto"/>
            <w:left w:val="none" w:sz="0" w:space="0" w:color="auto"/>
            <w:bottom w:val="none" w:sz="0" w:space="0" w:color="auto"/>
            <w:right w:val="none" w:sz="0" w:space="0" w:color="auto"/>
          </w:divBdr>
          <w:divsChild>
            <w:div w:id="1572037748">
              <w:marLeft w:val="0"/>
              <w:marRight w:val="0"/>
              <w:marTop w:val="0"/>
              <w:marBottom w:val="0"/>
              <w:divBdr>
                <w:top w:val="none" w:sz="0" w:space="0" w:color="auto"/>
                <w:left w:val="none" w:sz="0" w:space="0" w:color="auto"/>
                <w:bottom w:val="none" w:sz="0" w:space="0" w:color="auto"/>
                <w:right w:val="none" w:sz="0" w:space="0" w:color="auto"/>
              </w:divBdr>
              <w:divsChild>
                <w:div w:id="458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840">
      <w:bodyDiv w:val="1"/>
      <w:marLeft w:val="0"/>
      <w:marRight w:val="0"/>
      <w:marTop w:val="0"/>
      <w:marBottom w:val="0"/>
      <w:divBdr>
        <w:top w:val="none" w:sz="0" w:space="0" w:color="auto"/>
        <w:left w:val="none" w:sz="0" w:space="0" w:color="auto"/>
        <w:bottom w:val="none" w:sz="0" w:space="0" w:color="auto"/>
        <w:right w:val="none" w:sz="0" w:space="0" w:color="auto"/>
      </w:divBdr>
      <w:divsChild>
        <w:div w:id="291063406">
          <w:marLeft w:val="0"/>
          <w:marRight w:val="0"/>
          <w:marTop w:val="0"/>
          <w:marBottom w:val="0"/>
          <w:divBdr>
            <w:top w:val="none" w:sz="0" w:space="0" w:color="auto"/>
            <w:left w:val="none" w:sz="0" w:space="0" w:color="auto"/>
            <w:bottom w:val="none" w:sz="0" w:space="0" w:color="auto"/>
            <w:right w:val="none" w:sz="0" w:space="0" w:color="auto"/>
          </w:divBdr>
          <w:divsChild>
            <w:div w:id="2119257197">
              <w:marLeft w:val="0"/>
              <w:marRight w:val="0"/>
              <w:marTop w:val="0"/>
              <w:marBottom w:val="0"/>
              <w:divBdr>
                <w:top w:val="none" w:sz="0" w:space="0" w:color="auto"/>
                <w:left w:val="none" w:sz="0" w:space="0" w:color="auto"/>
                <w:bottom w:val="none" w:sz="0" w:space="0" w:color="auto"/>
                <w:right w:val="none" w:sz="0" w:space="0" w:color="auto"/>
              </w:divBdr>
              <w:divsChild>
                <w:div w:id="1305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5224">
      <w:bodyDiv w:val="1"/>
      <w:marLeft w:val="0"/>
      <w:marRight w:val="0"/>
      <w:marTop w:val="0"/>
      <w:marBottom w:val="0"/>
      <w:divBdr>
        <w:top w:val="none" w:sz="0" w:space="0" w:color="auto"/>
        <w:left w:val="none" w:sz="0" w:space="0" w:color="auto"/>
        <w:bottom w:val="none" w:sz="0" w:space="0" w:color="auto"/>
        <w:right w:val="none" w:sz="0" w:space="0" w:color="auto"/>
      </w:divBdr>
      <w:divsChild>
        <w:div w:id="2046830454">
          <w:marLeft w:val="0"/>
          <w:marRight w:val="0"/>
          <w:marTop w:val="0"/>
          <w:marBottom w:val="0"/>
          <w:divBdr>
            <w:top w:val="none" w:sz="0" w:space="0" w:color="auto"/>
            <w:left w:val="none" w:sz="0" w:space="0" w:color="auto"/>
            <w:bottom w:val="none" w:sz="0" w:space="0" w:color="auto"/>
            <w:right w:val="none" w:sz="0" w:space="0" w:color="auto"/>
          </w:divBdr>
          <w:divsChild>
            <w:div w:id="1159347648">
              <w:marLeft w:val="0"/>
              <w:marRight w:val="0"/>
              <w:marTop w:val="0"/>
              <w:marBottom w:val="0"/>
              <w:divBdr>
                <w:top w:val="none" w:sz="0" w:space="0" w:color="auto"/>
                <w:left w:val="none" w:sz="0" w:space="0" w:color="auto"/>
                <w:bottom w:val="none" w:sz="0" w:space="0" w:color="auto"/>
                <w:right w:val="none" w:sz="0" w:space="0" w:color="auto"/>
              </w:divBdr>
              <w:divsChild>
                <w:div w:id="11663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EC43-A317-8044-8B41-ED25C4E6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11408</Words>
  <Characters>65027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Tsiryapkina, Irina</dc:creator>
  <cp:keywords/>
  <dc:description/>
  <cp:lastModifiedBy>Tsiryapkina, Irina</cp:lastModifiedBy>
  <cp:revision>3</cp:revision>
  <dcterms:created xsi:type="dcterms:W3CDTF">2019-10-23T16:56:00Z</dcterms:created>
  <dcterms:modified xsi:type="dcterms:W3CDTF">2019-10-23T20:23:00Z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id="TYnjqq81"/&gt;&lt;style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 name="dontAskDelayCitationUpdates" value="true"/&gt;&lt;/prefs&gt;&lt;/data&gt;</vt:lpwstr>
  </property>
</Properties>
</file>