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1.xml" ContentType="application/vnd.openxmlformats-officedocument.drawingml.chartshapes+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529" w:rsidRDefault="00D02B72" w:rsidP="00AC74BD">
      <w:r>
        <w:rPr>
          <w:rFonts w:ascii="Calibri" w:hAnsi="Calibri" w:cs="Calibri"/>
          <w:noProof/>
          <w:color w:val="FF0000"/>
          <w:sz w:val="20"/>
        </w:rPr>
        <mc:AlternateContent>
          <mc:Choice Requires="wps">
            <w:drawing>
              <wp:anchor distT="0" distB="0" distL="114300" distR="114300" simplePos="0" relativeHeight="251659264" behindDoc="0" locked="0" layoutInCell="1" allowOverlap="1" wp14:anchorId="64166E7A" wp14:editId="4B99269F">
                <wp:simplePos x="0" y="0"/>
                <wp:positionH relativeFrom="column">
                  <wp:posOffset>0</wp:posOffset>
                </wp:positionH>
                <wp:positionV relativeFrom="paragraph">
                  <wp:posOffset>-635</wp:posOffset>
                </wp:positionV>
                <wp:extent cx="2648310" cy="2952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310" cy="295275"/>
                        </a:xfrm>
                        <a:prstGeom prst="rect">
                          <a:avLst/>
                        </a:prstGeom>
                        <a:solidFill>
                          <a:srgbClr val="404040"/>
                        </a:solidFill>
                        <a:ln w="9525">
                          <a:solidFill>
                            <a:srgbClr val="272727"/>
                          </a:solidFill>
                          <a:miter lim="800000"/>
                          <a:headEnd/>
                          <a:tailEnd/>
                        </a:ln>
                      </wps:spPr>
                      <wps:txbx>
                        <w:txbxContent>
                          <w:p w:rsidR="00A067A8" w:rsidRPr="00212392" w:rsidRDefault="00A067A8" w:rsidP="00D02B72">
                            <w:pPr>
                              <w:rPr>
                                <w:rFonts w:asciiTheme="majorHAnsi" w:hAnsiTheme="majorHAnsi"/>
                                <w:color w:val="FFFFFF"/>
                                <w:sz w:val="28"/>
                                <w:szCs w:val="28"/>
                              </w:rPr>
                            </w:pPr>
                            <w:r w:rsidRPr="00212392">
                              <w:rPr>
                                <w:rFonts w:asciiTheme="majorHAnsi" w:hAnsiTheme="majorHAnsi"/>
                                <w:color w:val="FFFFFF"/>
                                <w:sz w:val="28"/>
                                <w:szCs w:val="28"/>
                              </w:rPr>
                              <w:t>Quarterly Progress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5pt;width:208.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" fillcolor="#404040" strokecolor="#272727">
                <v:textbox>
                  <w:txbxContent>
                    <w:p w:rsidR="00A067A8" w:rsidRPr="00212392" w:rsidRDefault="00A067A8" w:rsidP="00D02B72">
                      <w:pPr>
                        <w:rPr>
                          <w:rFonts w:asciiTheme="majorHAnsi" w:hAnsiTheme="majorHAnsi"/>
                          <w:color w:val="FFFFFF"/>
                          <w:sz w:val="28"/>
                          <w:szCs w:val="28"/>
                        </w:rPr>
                      </w:pPr>
                      <w:r w:rsidRPr="00212392">
                        <w:rPr>
                          <w:rFonts w:asciiTheme="majorHAnsi" w:hAnsiTheme="majorHAnsi"/>
                          <w:color w:val="FFFFFF"/>
                          <w:sz w:val="28"/>
                          <w:szCs w:val="28"/>
                        </w:rPr>
                        <w:t>Quarterly Progress Report</w:t>
                      </w:r>
                    </w:p>
                  </w:txbxContent>
                </v:textbox>
              </v:shape>
            </w:pict>
          </mc:Fallback>
        </mc:AlternateContent>
      </w:r>
    </w:p>
    <w:p w:rsidR="00D02B72" w:rsidRDefault="00D02B72" w:rsidP="00AC74B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993"/>
        <w:tblLook w:val="0000" w:firstRow="0" w:lastRow="0" w:firstColumn="0" w:lastColumn="0" w:noHBand="0" w:noVBand="0"/>
      </w:tblPr>
      <w:tblGrid>
        <w:gridCol w:w="2842"/>
        <w:gridCol w:w="6734"/>
      </w:tblGrid>
      <w:tr w:rsidR="00D02B72" w:rsidRPr="00995488" w:rsidTr="00A067A8">
        <w:tc>
          <w:tcPr>
            <w:tcW w:w="1484" w:type="pct"/>
            <w:shd w:val="clear" w:color="auto" w:fill="D9D9D9"/>
          </w:tcPr>
          <w:p w:rsidR="00D02B72" w:rsidRDefault="00D02B72" w:rsidP="00A067A8">
            <w:pPr>
              <w:rPr>
                <w:rFonts w:ascii="Calibri" w:hAnsi="Calibri" w:cs="Calibri"/>
              </w:rPr>
            </w:pPr>
            <w:r>
              <w:rPr>
                <w:rFonts w:ascii="Calibri" w:hAnsi="Calibri" w:cs="Calibri"/>
              </w:rPr>
              <w:t xml:space="preserve">Project Title: </w:t>
            </w:r>
          </w:p>
          <w:p w:rsidR="00D02B72" w:rsidRDefault="00D02B72" w:rsidP="00A067A8">
            <w:pPr>
              <w:rPr>
                <w:rFonts w:ascii="Calibri" w:hAnsi="Calibri" w:cs="Calibri"/>
              </w:rPr>
            </w:pPr>
          </w:p>
          <w:p w:rsidR="00D02B72" w:rsidRPr="00995488" w:rsidRDefault="00D02B72" w:rsidP="000E2365">
            <w:pPr>
              <w:rPr>
                <w:rFonts w:ascii="Calibri" w:hAnsi="Calibri" w:cs="Calibri"/>
              </w:rPr>
            </w:pPr>
            <w:r>
              <w:rPr>
                <w:rFonts w:ascii="Calibri" w:hAnsi="Calibri" w:cs="Calibri"/>
              </w:rPr>
              <w:t>FY1</w:t>
            </w:r>
            <w:r w:rsidR="000E2365">
              <w:rPr>
                <w:rFonts w:ascii="Calibri" w:hAnsi="Calibri" w:cs="Calibri"/>
              </w:rPr>
              <w:t>5</w:t>
            </w:r>
            <w:r>
              <w:rPr>
                <w:rFonts w:ascii="Calibri" w:hAnsi="Calibri" w:cs="Calibri"/>
              </w:rPr>
              <w:t xml:space="preserve"> WBS – Agreement:</w:t>
            </w:r>
          </w:p>
        </w:tc>
        <w:tc>
          <w:tcPr>
            <w:tcW w:w="3516" w:type="pct"/>
            <w:shd w:val="clear" w:color="auto" w:fill="D9D9D9"/>
          </w:tcPr>
          <w:p w:rsidR="00D02B72" w:rsidRPr="000E2365" w:rsidRDefault="000E2365" w:rsidP="00A067A8">
            <w:pPr>
              <w:rPr>
                <w:rFonts w:asciiTheme="majorHAnsi" w:hAnsiTheme="majorHAnsi" w:cs="Calibri"/>
              </w:rPr>
            </w:pPr>
            <w:r w:rsidRPr="000E2365">
              <w:rPr>
                <w:rFonts w:asciiTheme="majorHAnsi" w:hAnsiTheme="majorHAnsi" w:cs="Arial"/>
                <w:bCs/>
                <w:szCs w:val="22"/>
              </w:rPr>
              <w:t>Hydrothermal Processing of Biomass – PNNL</w:t>
            </w:r>
            <w:r w:rsidR="00D02B72" w:rsidRPr="000E2365">
              <w:rPr>
                <w:rFonts w:asciiTheme="majorHAnsi" w:hAnsiTheme="majorHAnsi" w:cs="Calibri"/>
              </w:rPr>
              <w:t xml:space="preserve"> </w:t>
            </w:r>
          </w:p>
          <w:p w:rsidR="00D02B72" w:rsidRDefault="00D02B72" w:rsidP="00A067A8">
            <w:pPr>
              <w:rPr>
                <w:rFonts w:ascii="Calibri" w:hAnsi="Calibri" w:cs="Calibri"/>
              </w:rPr>
            </w:pPr>
          </w:p>
          <w:p w:rsidR="00D02B72" w:rsidRPr="00995488" w:rsidRDefault="00B84122" w:rsidP="00B84122">
            <w:pPr>
              <w:rPr>
                <w:rFonts w:ascii="Calibri" w:hAnsi="Calibri" w:cs="Calibri"/>
              </w:rPr>
            </w:pPr>
            <w:r>
              <w:rPr>
                <w:rFonts w:ascii="Calibri" w:hAnsi="Calibri" w:cs="Calibri"/>
              </w:rPr>
              <w:t>2</w:t>
            </w:r>
            <w:r w:rsidR="00D02B72">
              <w:rPr>
                <w:rFonts w:ascii="Calibri" w:hAnsi="Calibri" w:cs="Calibri"/>
              </w:rPr>
              <w:t>.</w:t>
            </w:r>
            <w:r>
              <w:rPr>
                <w:rFonts w:ascii="Calibri" w:hAnsi="Calibri" w:cs="Calibri"/>
              </w:rPr>
              <w:t>2</w:t>
            </w:r>
            <w:r w:rsidR="00D02B72">
              <w:rPr>
                <w:rFonts w:ascii="Calibri" w:hAnsi="Calibri" w:cs="Calibri"/>
              </w:rPr>
              <w:t>.</w:t>
            </w:r>
            <w:r>
              <w:rPr>
                <w:rFonts w:ascii="Calibri" w:hAnsi="Calibri" w:cs="Calibri"/>
              </w:rPr>
              <w:t>2</w:t>
            </w:r>
            <w:r w:rsidR="00D02B72">
              <w:rPr>
                <w:rFonts w:ascii="Calibri" w:hAnsi="Calibri" w:cs="Calibri"/>
              </w:rPr>
              <w:t>.</w:t>
            </w:r>
            <w:r>
              <w:rPr>
                <w:rFonts w:ascii="Calibri" w:hAnsi="Calibri" w:cs="Calibri"/>
              </w:rPr>
              <w:t>301</w:t>
            </w:r>
            <w:r w:rsidR="00D02B72">
              <w:rPr>
                <w:rFonts w:ascii="Calibri" w:hAnsi="Calibri" w:cs="Calibri"/>
              </w:rPr>
              <w:t xml:space="preserve"> – 2</w:t>
            </w:r>
            <w:r>
              <w:rPr>
                <w:rFonts w:ascii="Calibri" w:hAnsi="Calibri" w:cs="Calibri"/>
              </w:rPr>
              <w:t>6720</w:t>
            </w:r>
            <w:r w:rsidR="00D02B72">
              <w:rPr>
                <w:rFonts w:ascii="Calibri" w:hAnsi="Calibri" w:cs="Calibri"/>
              </w:rPr>
              <w:t xml:space="preserve"> </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Reporting Period:</w:t>
            </w:r>
          </w:p>
        </w:tc>
        <w:tc>
          <w:tcPr>
            <w:tcW w:w="3516" w:type="pct"/>
            <w:shd w:val="clear" w:color="auto" w:fill="D9D9D9"/>
          </w:tcPr>
          <w:p w:rsidR="00D02B72" w:rsidRPr="00995488" w:rsidRDefault="00D02B72" w:rsidP="000E2365">
            <w:pPr>
              <w:rPr>
                <w:rFonts w:ascii="Calibri" w:hAnsi="Calibri" w:cs="Calibri"/>
                <w:bCs/>
              </w:rPr>
            </w:pPr>
            <w:r>
              <w:rPr>
                <w:rFonts w:ascii="Calibri" w:hAnsi="Calibri" w:cs="Calibri"/>
                <w:bCs/>
              </w:rPr>
              <w:t>1 October 2015 – 31 December 201</w:t>
            </w:r>
            <w:r w:rsidR="000E2365">
              <w:rPr>
                <w:rFonts w:ascii="Calibri" w:hAnsi="Calibri" w:cs="Calibri"/>
                <w:bCs/>
              </w:rPr>
              <w:t>5</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Date of Report:</w:t>
            </w:r>
          </w:p>
        </w:tc>
        <w:tc>
          <w:tcPr>
            <w:tcW w:w="3516" w:type="pct"/>
            <w:shd w:val="clear" w:color="auto" w:fill="D9D9D9"/>
          </w:tcPr>
          <w:p w:rsidR="00D02B72" w:rsidRPr="00995488" w:rsidRDefault="00D02B72" w:rsidP="00A067A8">
            <w:pPr>
              <w:rPr>
                <w:rFonts w:ascii="Calibri" w:hAnsi="Calibri" w:cs="Calibri"/>
              </w:rPr>
            </w:pPr>
            <w:r>
              <w:rPr>
                <w:rFonts w:ascii="Calibri" w:hAnsi="Calibri" w:cs="Calibri"/>
              </w:rPr>
              <w:t>15 January 2016</w:t>
            </w:r>
          </w:p>
        </w:tc>
      </w:tr>
      <w:tr w:rsidR="00D02B72" w:rsidRPr="00995488" w:rsidTr="00A067A8">
        <w:tc>
          <w:tcPr>
            <w:tcW w:w="1484" w:type="pct"/>
            <w:shd w:val="clear" w:color="auto" w:fill="D9D9D9"/>
          </w:tcPr>
          <w:p w:rsidR="00D02B72" w:rsidRDefault="00D02B72" w:rsidP="00A067A8">
            <w:pPr>
              <w:rPr>
                <w:rFonts w:ascii="Calibri" w:hAnsi="Calibri" w:cs="Calibri"/>
              </w:rPr>
            </w:pPr>
            <w:r>
              <w:rPr>
                <w:rFonts w:ascii="Calibri" w:hAnsi="Calibri" w:cs="Calibri"/>
              </w:rPr>
              <w:t>Milestone:</w:t>
            </w:r>
          </w:p>
        </w:tc>
        <w:tc>
          <w:tcPr>
            <w:tcW w:w="3516" w:type="pct"/>
            <w:shd w:val="clear" w:color="auto" w:fill="D9D9D9"/>
          </w:tcPr>
          <w:p w:rsidR="00D02B72" w:rsidRPr="000E2365" w:rsidRDefault="000E2365" w:rsidP="00A067A8">
            <w:pPr>
              <w:rPr>
                <w:rFonts w:asciiTheme="majorHAnsi" w:hAnsiTheme="majorHAnsi" w:cs="Calibri"/>
              </w:rPr>
            </w:pPr>
            <w:r w:rsidRPr="000E2365">
              <w:rPr>
                <w:rFonts w:asciiTheme="majorHAnsi" w:hAnsiTheme="majorHAnsi" w:cs="Arial"/>
                <w:szCs w:val="22"/>
              </w:rPr>
              <w:t>Brief BETO on outcomes of Wet Waste TEA and strategy for focused testing to address areas of highest technical risk and economic uncertainty and validate SOT assumptions.</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Written by:</w:t>
            </w:r>
          </w:p>
        </w:tc>
        <w:tc>
          <w:tcPr>
            <w:tcW w:w="3516" w:type="pct"/>
            <w:shd w:val="clear" w:color="auto" w:fill="D9D9D9"/>
          </w:tcPr>
          <w:p w:rsidR="00D02B72" w:rsidRDefault="000E2365" w:rsidP="00A067A8">
            <w:pPr>
              <w:rPr>
                <w:rFonts w:ascii="Calibri" w:hAnsi="Calibri" w:cs="Calibri"/>
              </w:rPr>
            </w:pPr>
            <w:r>
              <w:rPr>
                <w:rFonts w:ascii="Calibri" w:hAnsi="Calibri" w:cs="Calibri"/>
              </w:rPr>
              <w:t>Richard Hallen</w:t>
            </w:r>
          </w:p>
          <w:p w:rsidR="000E2365" w:rsidRDefault="000E2365" w:rsidP="000E2365">
            <w:pPr>
              <w:rPr>
                <w:rFonts w:ascii="Calibri" w:hAnsi="Calibri" w:cs="Calibri"/>
              </w:rPr>
            </w:pPr>
            <w:r>
              <w:rPr>
                <w:rFonts w:ascii="Calibri" w:hAnsi="Calibri" w:cs="Calibri"/>
              </w:rPr>
              <w:t>richard.hallen@pnnl.gov</w:t>
            </w:r>
          </w:p>
          <w:p w:rsidR="00D02B72" w:rsidRPr="00995488" w:rsidRDefault="000E2365" w:rsidP="000E2365">
            <w:pPr>
              <w:rPr>
                <w:rFonts w:ascii="Calibri" w:hAnsi="Calibri" w:cs="Calibri"/>
              </w:rPr>
            </w:pPr>
            <w:r>
              <w:rPr>
                <w:rFonts w:ascii="Calibri" w:hAnsi="Calibri" w:cs="Calibri"/>
              </w:rPr>
              <w:t>5</w:t>
            </w:r>
            <w:r w:rsidR="00D02B72">
              <w:rPr>
                <w:rFonts w:ascii="Calibri" w:hAnsi="Calibri" w:cs="Calibri"/>
              </w:rPr>
              <w:t>09.37</w:t>
            </w:r>
            <w:r>
              <w:rPr>
                <w:rFonts w:ascii="Calibri" w:hAnsi="Calibri" w:cs="Calibri"/>
              </w:rPr>
              <w:t>5</w:t>
            </w:r>
            <w:r w:rsidR="00D02B72">
              <w:rPr>
                <w:rFonts w:ascii="Calibri" w:hAnsi="Calibri" w:cs="Calibri"/>
              </w:rPr>
              <w:t>.</w:t>
            </w:r>
            <w:r>
              <w:rPr>
                <w:rFonts w:ascii="Calibri" w:hAnsi="Calibri" w:cs="Calibri"/>
              </w:rPr>
              <w:t>6919</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Participating Researchers</w:t>
            </w:r>
            <w:r w:rsidRPr="00995488">
              <w:rPr>
                <w:rFonts w:ascii="Calibri" w:hAnsi="Calibri" w:cs="Calibri"/>
              </w:rPr>
              <w:t>:</w:t>
            </w:r>
          </w:p>
        </w:tc>
        <w:tc>
          <w:tcPr>
            <w:tcW w:w="3516" w:type="pct"/>
            <w:shd w:val="clear" w:color="auto" w:fill="D9D9D9"/>
          </w:tcPr>
          <w:p w:rsidR="00D02B72" w:rsidRPr="00995488" w:rsidRDefault="000E2365" w:rsidP="00B84122">
            <w:pPr>
              <w:rPr>
                <w:rFonts w:ascii="Calibri" w:hAnsi="Calibri" w:cs="Calibri"/>
              </w:rPr>
            </w:pPr>
            <w:r w:rsidRPr="000E2365">
              <w:rPr>
                <w:rFonts w:ascii="Calibri" w:hAnsi="Calibri" w:cs="Calibri"/>
              </w:rPr>
              <w:t>LJ Snowden</w:t>
            </w:r>
            <w:r w:rsidR="00B84122">
              <w:rPr>
                <w:rFonts w:ascii="Calibri" w:hAnsi="Calibri" w:cs="Calibri"/>
              </w:rPr>
              <w:t>-</w:t>
            </w:r>
            <w:r w:rsidRPr="000E2365">
              <w:rPr>
                <w:rFonts w:ascii="Calibri" w:hAnsi="Calibri" w:cs="Calibri"/>
              </w:rPr>
              <w:t xml:space="preserve">Swan, AJ Schmidt, </w:t>
            </w:r>
            <w:r>
              <w:rPr>
                <w:rFonts w:ascii="Calibri" w:hAnsi="Calibri" w:cs="Calibri"/>
              </w:rPr>
              <w:t xml:space="preserve">DC Elliott, </w:t>
            </w:r>
            <w:r w:rsidRPr="000E2365">
              <w:rPr>
                <w:rFonts w:ascii="Calibri" w:hAnsi="Calibri" w:cs="Calibri"/>
              </w:rPr>
              <w:t>J</w:t>
            </w:r>
            <w:r w:rsidR="00B84122">
              <w:rPr>
                <w:rFonts w:ascii="Calibri" w:hAnsi="Calibri" w:cs="Calibri"/>
              </w:rPr>
              <w:t>M</w:t>
            </w:r>
            <w:r w:rsidRPr="000E2365">
              <w:rPr>
                <w:rFonts w:ascii="Calibri" w:hAnsi="Calibri" w:cs="Calibri"/>
              </w:rPr>
              <w:t xml:space="preserve"> Billing, D</w:t>
            </w:r>
            <w:r w:rsidR="00B84122">
              <w:rPr>
                <w:rFonts w:ascii="Calibri" w:hAnsi="Calibri" w:cs="Calibri"/>
              </w:rPr>
              <w:t>M</w:t>
            </w:r>
            <w:r w:rsidRPr="000E2365">
              <w:rPr>
                <w:rFonts w:ascii="Calibri" w:hAnsi="Calibri" w:cs="Calibri"/>
              </w:rPr>
              <w:t xml:space="preserve"> Santosa</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Key Words</w:t>
            </w:r>
            <w:r w:rsidRPr="00995488">
              <w:rPr>
                <w:rFonts w:ascii="Calibri" w:hAnsi="Calibri" w:cs="Calibri"/>
              </w:rPr>
              <w:t>:</w:t>
            </w:r>
          </w:p>
        </w:tc>
        <w:tc>
          <w:tcPr>
            <w:tcW w:w="3516" w:type="pct"/>
            <w:shd w:val="clear" w:color="auto" w:fill="D9D9D9"/>
          </w:tcPr>
          <w:p w:rsidR="00D02B72" w:rsidRPr="00995488" w:rsidRDefault="000E2365" w:rsidP="00817F4F">
            <w:pPr>
              <w:rPr>
                <w:rFonts w:ascii="Calibri" w:hAnsi="Calibri" w:cs="Calibri"/>
              </w:rPr>
            </w:pPr>
            <w:r>
              <w:rPr>
                <w:rFonts w:ascii="Calibri" w:hAnsi="Calibri" w:cs="Calibri"/>
              </w:rPr>
              <w:t xml:space="preserve">Hydrothermal liquefaction, wet waste, </w:t>
            </w:r>
            <w:r w:rsidR="00817F4F">
              <w:rPr>
                <w:rFonts w:ascii="Calibri" w:hAnsi="Calibri" w:cs="Calibri"/>
              </w:rPr>
              <w:t>t</w:t>
            </w:r>
            <w:r>
              <w:rPr>
                <w:rFonts w:ascii="Calibri" w:hAnsi="Calibri" w:cs="Calibri"/>
              </w:rPr>
              <w:t>echno-economic analysis</w:t>
            </w:r>
          </w:p>
        </w:tc>
      </w:tr>
      <w:tr w:rsidR="00D02B72" w:rsidRPr="00995488" w:rsidTr="00A067A8">
        <w:tc>
          <w:tcPr>
            <w:tcW w:w="1484" w:type="pct"/>
            <w:shd w:val="clear" w:color="auto" w:fill="D9D9D9"/>
          </w:tcPr>
          <w:p w:rsidR="00D02B72" w:rsidRPr="00995488" w:rsidRDefault="00D02B72" w:rsidP="00A067A8">
            <w:pPr>
              <w:rPr>
                <w:rFonts w:ascii="Calibri" w:hAnsi="Calibri" w:cs="Calibri"/>
              </w:rPr>
            </w:pPr>
            <w:r>
              <w:rPr>
                <w:rFonts w:ascii="Calibri" w:hAnsi="Calibri" w:cs="Calibri"/>
              </w:rPr>
              <w:t>Reviewed By:</w:t>
            </w:r>
          </w:p>
        </w:tc>
        <w:tc>
          <w:tcPr>
            <w:tcW w:w="3516" w:type="pct"/>
            <w:shd w:val="clear" w:color="auto" w:fill="D9D9D9"/>
          </w:tcPr>
          <w:p w:rsidR="00D02B72" w:rsidRPr="00995488" w:rsidRDefault="00D02B72" w:rsidP="00A067A8">
            <w:pPr>
              <w:rPr>
                <w:rFonts w:ascii="Calibri" w:hAnsi="Calibri" w:cs="Calibri"/>
              </w:rPr>
            </w:pPr>
            <w:r>
              <w:rPr>
                <w:rFonts w:ascii="Calibri" w:hAnsi="Calibri" w:cs="Calibri"/>
              </w:rPr>
              <w:t>Corinne Drennan</w:t>
            </w:r>
          </w:p>
        </w:tc>
      </w:tr>
    </w:tbl>
    <w:p w:rsidR="00D02B72" w:rsidRDefault="00D02B72" w:rsidP="00AC74BD"/>
    <w:p w:rsidR="00D02B72" w:rsidRPr="007F4D05" w:rsidRDefault="00D02B72" w:rsidP="00D02B72">
      <w:pPr>
        <w:rPr>
          <w:rFonts w:asciiTheme="minorHAnsi" w:hAnsiTheme="minorHAnsi"/>
          <w:b/>
          <w:sz w:val="28"/>
          <w:szCs w:val="28"/>
        </w:rPr>
      </w:pPr>
      <w:r w:rsidRPr="007F4D05">
        <w:rPr>
          <w:rFonts w:asciiTheme="minorHAnsi" w:hAnsiTheme="minorHAnsi"/>
          <w:b/>
          <w:sz w:val="28"/>
          <w:szCs w:val="28"/>
        </w:rPr>
        <w:t>Summary</w:t>
      </w:r>
    </w:p>
    <w:p w:rsidR="00D02B72" w:rsidRDefault="00D02B72" w:rsidP="00D02B72">
      <w:pPr>
        <w:rPr>
          <w:rFonts w:ascii="Calibri" w:hAnsi="Calibri" w:cs="Calibri"/>
          <w:bCs/>
          <w:kern w:val="32"/>
          <w:szCs w:val="22"/>
        </w:rPr>
      </w:pPr>
      <w:r>
        <w:rPr>
          <w:rFonts w:ascii="Calibri" w:hAnsi="Calibri" w:cs="Calibri"/>
          <w:bCs/>
          <w:kern w:val="32"/>
          <w:szCs w:val="22"/>
        </w:rPr>
        <w:t>The FY1</w:t>
      </w:r>
      <w:r w:rsidR="00A22E12">
        <w:rPr>
          <w:rFonts w:ascii="Calibri" w:hAnsi="Calibri" w:cs="Calibri"/>
          <w:bCs/>
          <w:kern w:val="32"/>
          <w:szCs w:val="22"/>
        </w:rPr>
        <w:t>6</w:t>
      </w:r>
      <w:r w:rsidR="00817F4F">
        <w:rPr>
          <w:rFonts w:ascii="Calibri" w:hAnsi="Calibri" w:cs="Calibri"/>
          <w:bCs/>
          <w:kern w:val="32"/>
          <w:szCs w:val="22"/>
        </w:rPr>
        <w:t xml:space="preserve"> </w:t>
      </w:r>
      <w:r>
        <w:rPr>
          <w:rFonts w:ascii="Calibri" w:hAnsi="Calibri" w:cs="Calibri"/>
          <w:bCs/>
          <w:kern w:val="32"/>
          <w:szCs w:val="22"/>
        </w:rPr>
        <w:t>Q</w:t>
      </w:r>
      <w:r w:rsidR="00A22E12">
        <w:rPr>
          <w:rFonts w:ascii="Calibri" w:hAnsi="Calibri" w:cs="Calibri"/>
          <w:bCs/>
          <w:kern w:val="32"/>
          <w:szCs w:val="22"/>
        </w:rPr>
        <w:t>1</w:t>
      </w:r>
      <w:r>
        <w:rPr>
          <w:rFonts w:ascii="Calibri" w:hAnsi="Calibri" w:cs="Calibri"/>
          <w:bCs/>
          <w:kern w:val="32"/>
          <w:szCs w:val="22"/>
        </w:rPr>
        <w:t xml:space="preserve"> milestone was, “</w:t>
      </w:r>
      <w:r w:rsidR="00817F4F" w:rsidRPr="00817F4F">
        <w:rPr>
          <w:rFonts w:ascii="Calibri" w:hAnsi="Calibri" w:cs="Calibri"/>
          <w:bCs/>
          <w:kern w:val="32"/>
          <w:szCs w:val="22"/>
        </w:rPr>
        <w:t>Brief BETO on outcomes of Wet Waste TEA and strategy for focused testing to address areas of highest technical risk and economic uncertainty and validate SOT assumptions</w:t>
      </w:r>
      <w:r>
        <w:rPr>
          <w:rFonts w:ascii="Calibri" w:hAnsi="Calibri" w:cs="Calibri"/>
          <w:bCs/>
          <w:kern w:val="32"/>
          <w:szCs w:val="22"/>
        </w:rPr>
        <w:t>”</w:t>
      </w:r>
      <w:r w:rsidR="00817F4F">
        <w:rPr>
          <w:rFonts w:ascii="Calibri" w:hAnsi="Calibri" w:cs="Calibri"/>
          <w:bCs/>
          <w:kern w:val="32"/>
          <w:szCs w:val="22"/>
        </w:rPr>
        <w:t xml:space="preserve"> was completed and attached as Appendix A</w:t>
      </w:r>
      <w:r>
        <w:rPr>
          <w:rFonts w:ascii="Calibri" w:hAnsi="Calibri" w:cs="Calibri"/>
          <w:bCs/>
          <w:kern w:val="32"/>
          <w:szCs w:val="22"/>
        </w:rPr>
        <w:t>.</w:t>
      </w:r>
      <w:r w:rsidR="00B07793">
        <w:rPr>
          <w:rFonts w:ascii="Calibri" w:hAnsi="Calibri" w:cs="Calibri"/>
          <w:bCs/>
          <w:kern w:val="32"/>
          <w:szCs w:val="22"/>
        </w:rPr>
        <w:t xml:space="preserve">  Based upon results of the wet waste assessment conducted in FY15 Q4, waste water sludge was selected for the TEA</w:t>
      </w:r>
      <w:r>
        <w:rPr>
          <w:rFonts w:ascii="Calibri" w:hAnsi="Calibri" w:cs="Calibri"/>
          <w:bCs/>
          <w:kern w:val="32"/>
          <w:szCs w:val="22"/>
        </w:rPr>
        <w:t>.</w:t>
      </w:r>
      <w:r w:rsidR="00B07793">
        <w:rPr>
          <w:rFonts w:ascii="Calibri" w:hAnsi="Calibri" w:cs="Calibri"/>
          <w:bCs/>
          <w:kern w:val="32"/>
          <w:szCs w:val="22"/>
        </w:rPr>
        <w:t xml:space="preserve">  </w:t>
      </w:r>
      <w:r w:rsidR="00B07793" w:rsidRPr="00B07793">
        <w:rPr>
          <w:rFonts w:ascii="Calibri" w:hAnsi="Calibri" w:cs="Calibri"/>
          <w:bCs/>
          <w:kern w:val="32"/>
          <w:szCs w:val="22"/>
        </w:rPr>
        <w:t xml:space="preserve">A process model </w:t>
      </w:r>
      <w:r w:rsidR="00B07793">
        <w:rPr>
          <w:rFonts w:ascii="Calibri" w:hAnsi="Calibri" w:cs="Calibri"/>
          <w:bCs/>
          <w:kern w:val="32"/>
          <w:szCs w:val="22"/>
        </w:rPr>
        <w:t xml:space="preserve">was developed </w:t>
      </w:r>
      <w:r w:rsidR="00B07793" w:rsidRPr="00B07793">
        <w:rPr>
          <w:rFonts w:ascii="Calibri" w:hAnsi="Calibri" w:cs="Calibri"/>
          <w:bCs/>
          <w:kern w:val="32"/>
          <w:szCs w:val="22"/>
        </w:rPr>
        <w:t xml:space="preserve">and </w:t>
      </w:r>
      <w:r w:rsidR="00B07793">
        <w:rPr>
          <w:rFonts w:ascii="Calibri" w:hAnsi="Calibri" w:cs="Calibri"/>
          <w:bCs/>
          <w:kern w:val="32"/>
          <w:szCs w:val="22"/>
        </w:rPr>
        <w:t xml:space="preserve">the </w:t>
      </w:r>
      <w:r w:rsidR="00B07793" w:rsidRPr="00B07793">
        <w:rPr>
          <w:rFonts w:ascii="Calibri" w:hAnsi="Calibri" w:cs="Calibri"/>
          <w:bCs/>
          <w:kern w:val="32"/>
          <w:szCs w:val="22"/>
        </w:rPr>
        <w:t>techno-economic assessment completed for fuel produced from hydrothermal liquefaction and upgrading of sludge waste from a municipal wastewater treatment plant (WWTP).</w:t>
      </w:r>
      <w:r>
        <w:rPr>
          <w:rFonts w:ascii="Calibri" w:hAnsi="Calibri" w:cs="Calibri"/>
          <w:bCs/>
          <w:kern w:val="32"/>
          <w:szCs w:val="22"/>
        </w:rPr>
        <w:t xml:space="preserve"> </w:t>
      </w:r>
      <w:r w:rsidR="00B07793">
        <w:rPr>
          <w:rFonts w:ascii="Calibri" w:hAnsi="Calibri" w:cs="Calibri"/>
          <w:bCs/>
          <w:kern w:val="32"/>
          <w:szCs w:val="22"/>
        </w:rPr>
        <w:t xml:space="preserve"> The TEA identified combined process improvements which could reduce the minimum fuel selling price to $2.92/</w:t>
      </w:r>
      <w:proofErr w:type="spellStart"/>
      <w:r w:rsidR="00B07793">
        <w:rPr>
          <w:rFonts w:ascii="Calibri" w:hAnsi="Calibri" w:cs="Calibri"/>
          <w:bCs/>
          <w:kern w:val="32"/>
          <w:szCs w:val="22"/>
        </w:rPr>
        <w:t>gge</w:t>
      </w:r>
      <w:proofErr w:type="spellEnd"/>
      <w:r w:rsidR="00B07793">
        <w:rPr>
          <w:rFonts w:ascii="Calibri" w:hAnsi="Calibri" w:cs="Calibri"/>
          <w:bCs/>
          <w:kern w:val="32"/>
          <w:szCs w:val="22"/>
        </w:rPr>
        <w:t>.  Details of the assessment are discussed in detail in Appendix A.</w:t>
      </w:r>
    </w:p>
    <w:p w:rsidR="00B93A9C" w:rsidRDefault="00B93A9C" w:rsidP="00D02B72">
      <w:pPr>
        <w:rPr>
          <w:rFonts w:ascii="Calibri" w:hAnsi="Calibri" w:cs="Calibri"/>
          <w:bCs/>
          <w:kern w:val="32"/>
          <w:szCs w:val="22"/>
        </w:rPr>
      </w:pPr>
    </w:p>
    <w:p w:rsidR="00D02B72" w:rsidRDefault="00D02B72" w:rsidP="00D02B72">
      <w:pPr>
        <w:rPr>
          <w:rFonts w:ascii="Calibri" w:hAnsi="Calibri" w:cs="Calibri"/>
          <w:bCs/>
          <w:kern w:val="32"/>
          <w:szCs w:val="22"/>
        </w:rPr>
      </w:pPr>
      <w:r w:rsidRPr="00BA0DA1">
        <w:rPr>
          <w:rFonts w:ascii="Calibri" w:hAnsi="Calibri" w:cs="Calibri"/>
          <w:b/>
          <w:bCs/>
          <w:kern w:val="32"/>
          <w:szCs w:val="22"/>
        </w:rPr>
        <w:t>Technical Achievement:</w:t>
      </w:r>
      <w:r>
        <w:rPr>
          <w:rFonts w:ascii="Calibri" w:hAnsi="Calibri" w:cs="Calibri"/>
          <w:bCs/>
          <w:kern w:val="32"/>
          <w:szCs w:val="22"/>
        </w:rPr>
        <w:t xml:space="preserve"> </w:t>
      </w:r>
      <w:r w:rsidR="00B07793">
        <w:rPr>
          <w:rFonts w:ascii="Calibri" w:hAnsi="Calibri" w:cs="Calibri"/>
          <w:bCs/>
          <w:kern w:val="32"/>
          <w:szCs w:val="22"/>
        </w:rPr>
        <w:t xml:space="preserve"> </w:t>
      </w:r>
      <w:r>
        <w:rPr>
          <w:rFonts w:ascii="Calibri" w:hAnsi="Calibri" w:cs="Calibri"/>
          <w:bCs/>
          <w:kern w:val="32"/>
          <w:szCs w:val="22"/>
        </w:rPr>
        <w:t xml:space="preserve">This milestone represents the first </w:t>
      </w:r>
      <w:r w:rsidR="00B07793">
        <w:rPr>
          <w:rFonts w:ascii="Calibri" w:hAnsi="Calibri" w:cs="Calibri"/>
          <w:bCs/>
          <w:kern w:val="32"/>
          <w:szCs w:val="22"/>
        </w:rPr>
        <w:t xml:space="preserve">detailed assessment of wet waste feedstock for HTL and potential application to municipal wastewater treatment </w:t>
      </w:r>
      <w:proofErr w:type="spellStart"/>
      <w:r w:rsidR="00B07793">
        <w:rPr>
          <w:rFonts w:ascii="Calibri" w:hAnsi="Calibri" w:cs="Calibri"/>
          <w:bCs/>
          <w:kern w:val="32"/>
          <w:szCs w:val="22"/>
        </w:rPr>
        <w:t>sludges</w:t>
      </w:r>
      <w:proofErr w:type="spellEnd"/>
      <w:r>
        <w:rPr>
          <w:rFonts w:ascii="Calibri" w:hAnsi="Calibri" w:cs="Calibri"/>
          <w:bCs/>
          <w:kern w:val="32"/>
          <w:szCs w:val="22"/>
        </w:rPr>
        <w:t xml:space="preserve">. </w:t>
      </w:r>
      <w:r w:rsidR="00B07793">
        <w:rPr>
          <w:rFonts w:ascii="Calibri" w:hAnsi="Calibri" w:cs="Calibri"/>
          <w:bCs/>
          <w:kern w:val="32"/>
          <w:szCs w:val="22"/>
        </w:rPr>
        <w:t xml:space="preserve"> </w:t>
      </w:r>
      <w:r>
        <w:rPr>
          <w:rFonts w:ascii="Calibri" w:hAnsi="Calibri" w:cs="Calibri"/>
          <w:bCs/>
          <w:kern w:val="32"/>
          <w:szCs w:val="22"/>
        </w:rPr>
        <w:t xml:space="preserve">This </w:t>
      </w:r>
      <w:r w:rsidR="00A067A8">
        <w:rPr>
          <w:rFonts w:ascii="Calibri" w:hAnsi="Calibri" w:cs="Calibri"/>
          <w:bCs/>
          <w:kern w:val="32"/>
          <w:szCs w:val="22"/>
        </w:rPr>
        <w:t xml:space="preserve">TEA has identified key areas for process improvements </w:t>
      </w:r>
      <w:r w:rsidR="009511F9">
        <w:rPr>
          <w:rFonts w:ascii="Calibri" w:hAnsi="Calibri" w:cs="Calibri"/>
          <w:bCs/>
          <w:kern w:val="32"/>
          <w:szCs w:val="22"/>
        </w:rPr>
        <w:t>for meeting the $3.00/</w:t>
      </w:r>
      <w:proofErr w:type="spellStart"/>
      <w:r w:rsidR="009511F9">
        <w:rPr>
          <w:rFonts w:ascii="Calibri" w:hAnsi="Calibri" w:cs="Calibri"/>
          <w:bCs/>
          <w:kern w:val="32"/>
          <w:szCs w:val="22"/>
        </w:rPr>
        <w:t>gge</w:t>
      </w:r>
      <w:proofErr w:type="spellEnd"/>
      <w:r w:rsidR="009511F9">
        <w:rPr>
          <w:rFonts w:ascii="Calibri" w:hAnsi="Calibri" w:cs="Calibri"/>
          <w:bCs/>
          <w:kern w:val="32"/>
          <w:szCs w:val="22"/>
        </w:rPr>
        <w:t xml:space="preserve"> target</w:t>
      </w:r>
      <w:r>
        <w:rPr>
          <w:rFonts w:ascii="Calibri" w:hAnsi="Calibri" w:cs="Calibri"/>
          <w:bCs/>
          <w:kern w:val="32"/>
          <w:szCs w:val="22"/>
        </w:rPr>
        <w:t>.</w:t>
      </w:r>
    </w:p>
    <w:p w:rsidR="00D02B72" w:rsidRDefault="00D02B72" w:rsidP="00D02B72">
      <w:pPr>
        <w:rPr>
          <w:rFonts w:ascii="Calibri" w:hAnsi="Calibri" w:cs="Calibri"/>
          <w:bCs/>
          <w:kern w:val="32"/>
          <w:szCs w:val="22"/>
        </w:rPr>
      </w:pPr>
    </w:p>
    <w:p w:rsidR="00D02B72" w:rsidRDefault="00D02B72" w:rsidP="00D02B72">
      <w:pPr>
        <w:rPr>
          <w:rFonts w:ascii="Calibri" w:hAnsi="Calibri" w:cs="Calibri"/>
          <w:bCs/>
          <w:kern w:val="32"/>
          <w:szCs w:val="22"/>
        </w:rPr>
      </w:pPr>
      <w:r w:rsidRPr="00BA0DA1">
        <w:rPr>
          <w:rFonts w:ascii="Calibri" w:hAnsi="Calibri" w:cs="Calibri"/>
          <w:b/>
          <w:bCs/>
          <w:kern w:val="32"/>
          <w:szCs w:val="22"/>
        </w:rPr>
        <w:t>Relation to Program Goals:</w:t>
      </w:r>
      <w:r>
        <w:rPr>
          <w:rFonts w:ascii="Calibri" w:hAnsi="Calibri" w:cs="Calibri"/>
          <w:bCs/>
          <w:kern w:val="32"/>
          <w:szCs w:val="22"/>
        </w:rPr>
        <w:t xml:space="preserve"> </w:t>
      </w:r>
      <w:r w:rsidR="009511F9" w:rsidRPr="009511F9">
        <w:rPr>
          <w:rFonts w:ascii="Calibri" w:hAnsi="Calibri" w:cs="Calibri"/>
          <w:bCs/>
          <w:kern w:val="32"/>
          <w:szCs w:val="22"/>
        </w:rPr>
        <w:t xml:space="preserve">The </w:t>
      </w:r>
      <w:r w:rsidR="009511F9">
        <w:rPr>
          <w:rFonts w:ascii="Calibri" w:hAnsi="Calibri" w:cs="Calibri"/>
          <w:bCs/>
          <w:kern w:val="32"/>
          <w:szCs w:val="22"/>
        </w:rPr>
        <w:t xml:space="preserve">combined feedstock and TEA assessments </w:t>
      </w:r>
      <w:r w:rsidR="009511F9" w:rsidRPr="009511F9">
        <w:rPr>
          <w:rFonts w:ascii="Calibri" w:hAnsi="Calibri" w:cs="Calibri"/>
          <w:bCs/>
          <w:kern w:val="32"/>
          <w:szCs w:val="22"/>
        </w:rPr>
        <w:t xml:space="preserve">concluded that 55 individual WWTP within CONUS produced enough wet waste feedstock </w:t>
      </w:r>
      <w:r w:rsidR="009511F9">
        <w:rPr>
          <w:rFonts w:ascii="Calibri" w:hAnsi="Calibri" w:cs="Calibri"/>
          <w:bCs/>
          <w:kern w:val="32"/>
          <w:szCs w:val="22"/>
        </w:rPr>
        <w:t xml:space="preserve">for an HTL commercial plant </w:t>
      </w:r>
      <w:r w:rsidR="009511F9" w:rsidRPr="009511F9">
        <w:rPr>
          <w:rFonts w:ascii="Calibri" w:hAnsi="Calibri" w:cs="Calibri"/>
          <w:bCs/>
          <w:kern w:val="32"/>
          <w:szCs w:val="22"/>
        </w:rPr>
        <w:t>to meet the</w:t>
      </w:r>
      <w:r w:rsidR="009511F9">
        <w:rPr>
          <w:rFonts w:ascii="Calibri" w:hAnsi="Calibri" w:cs="Calibri"/>
          <w:bCs/>
          <w:kern w:val="32"/>
          <w:szCs w:val="22"/>
        </w:rPr>
        <w:t xml:space="preserve"> DOE</w:t>
      </w:r>
      <w:r w:rsidR="009511F9" w:rsidRPr="009511F9">
        <w:rPr>
          <w:rFonts w:ascii="Calibri" w:hAnsi="Calibri" w:cs="Calibri"/>
          <w:bCs/>
          <w:kern w:val="32"/>
          <w:szCs w:val="22"/>
        </w:rPr>
        <w:t xml:space="preserve"> $3/GGE target.  The total renewable fuel impact from these 55 plants was estimated to be 371MG/yr</w:t>
      </w:r>
      <w:r>
        <w:rPr>
          <w:rFonts w:ascii="Calibri" w:hAnsi="Calibri" w:cs="Calibri"/>
          <w:bCs/>
          <w:kern w:val="32"/>
          <w:szCs w:val="22"/>
        </w:rPr>
        <w:t xml:space="preserve">. </w:t>
      </w:r>
    </w:p>
    <w:p w:rsidR="00D02B72" w:rsidRDefault="00D02B72" w:rsidP="00D02B72">
      <w:pPr>
        <w:keepNext/>
        <w:spacing w:before="240" w:after="60"/>
        <w:outlineLvl w:val="0"/>
        <w:rPr>
          <w:rFonts w:ascii="Calibri" w:hAnsi="Calibri" w:cs="Calibri"/>
          <w:bCs/>
          <w:kern w:val="32"/>
          <w:szCs w:val="22"/>
        </w:rPr>
      </w:pPr>
      <w:r w:rsidRPr="00B033C0">
        <w:rPr>
          <w:rFonts w:ascii="Calibri" w:hAnsi="Calibri" w:cs="Calibri"/>
          <w:b/>
          <w:bCs/>
          <w:kern w:val="32"/>
          <w:szCs w:val="22"/>
        </w:rPr>
        <w:t>Comparison to State of the Art:</w:t>
      </w:r>
      <w:r>
        <w:rPr>
          <w:rFonts w:ascii="Calibri" w:hAnsi="Calibri" w:cs="Calibri"/>
          <w:bCs/>
          <w:kern w:val="32"/>
          <w:szCs w:val="22"/>
        </w:rPr>
        <w:t xml:space="preserve"> </w:t>
      </w:r>
      <w:r w:rsidR="009511F9" w:rsidRPr="009511F9">
        <w:rPr>
          <w:rFonts w:ascii="Calibri" w:hAnsi="Calibri" w:cs="Calibri"/>
          <w:bCs/>
          <w:kern w:val="32"/>
          <w:szCs w:val="22"/>
        </w:rPr>
        <w:t xml:space="preserve">The testing conducted at PNNL to support this milestone examined wet wastes as feedstocks for </w:t>
      </w:r>
      <w:proofErr w:type="spellStart"/>
      <w:r w:rsidR="009511F9" w:rsidRPr="009511F9">
        <w:rPr>
          <w:rFonts w:ascii="Calibri" w:hAnsi="Calibri" w:cs="Calibri"/>
          <w:bCs/>
          <w:kern w:val="32"/>
          <w:szCs w:val="22"/>
        </w:rPr>
        <w:t>biocrude</w:t>
      </w:r>
      <w:proofErr w:type="spellEnd"/>
      <w:r w:rsidR="009511F9" w:rsidRPr="009511F9">
        <w:rPr>
          <w:rFonts w:ascii="Calibri" w:hAnsi="Calibri" w:cs="Calibri"/>
          <w:bCs/>
          <w:kern w:val="32"/>
          <w:szCs w:val="22"/>
        </w:rPr>
        <w:t xml:space="preserve"> production.  In general, the wet wastes are not viable feedstock for pyrolysis or gasification because of the high water content.  However, </w:t>
      </w:r>
      <w:r w:rsidR="009511F9" w:rsidRPr="009511F9">
        <w:rPr>
          <w:rFonts w:ascii="Calibri" w:hAnsi="Calibri" w:cs="Calibri"/>
          <w:bCs/>
          <w:kern w:val="32"/>
          <w:szCs w:val="22"/>
        </w:rPr>
        <w:lastRenderedPageBreak/>
        <w:t xml:space="preserve">hydrothermal liquefaction is conducted with water in the condensed phase and utilizes chemistries in liquid water solvent to produce a phase separable </w:t>
      </w:r>
      <w:proofErr w:type="spellStart"/>
      <w:r w:rsidR="009511F9" w:rsidRPr="009511F9">
        <w:rPr>
          <w:rFonts w:ascii="Calibri" w:hAnsi="Calibri" w:cs="Calibri"/>
          <w:bCs/>
          <w:kern w:val="32"/>
          <w:szCs w:val="22"/>
        </w:rPr>
        <w:t>biocrude</w:t>
      </w:r>
      <w:proofErr w:type="spellEnd"/>
      <w:r w:rsidR="009511F9" w:rsidRPr="009511F9">
        <w:rPr>
          <w:rFonts w:ascii="Calibri" w:hAnsi="Calibri" w:cs="Calibri"/>
          <w:bCs/>
          <w:kern w:val="32"/>
          <w:szCs w:val="22"/>
        </w:rPr>
        <w:t xml:space="preserve">.   The results of this work demonstrated the use of low cost, waste feedstock for production of </w:t>
      </w:r>
      <w:proofErr w:type="spellStart"/>
      <w:r w:rsidR="009511F9" w:rsidRPr="009511F9">
        <w:rPr>
          <w:rFonts w:ascii="Calibri" w:hAnsi="Calibri" w:cs="Calibri"/>
          <w:bCs/>
          <w:kern w:val="32"/>
          <w:szCs w:val="22"/>
        </w:rPr>
        <w:t>biocrude</w:t>
      </w:r>
      <w:proofErr w:type="spellEnd"/>
      <w:r w:rsidR="009511F9" w:rsidRPr="009511F9">
        <w:rPr>
          <w:rFonts w:ascii="Calibri" w:hAnsi="Calibri" w:cs="Calibri"/>
          <w:bCs/>
          <w:kern w:val="32"/>
          <w:szCs w:val="22"/>
        </w:rPr>
        <w:t>.</w:t>
      </w:r>
      <w:r w:rsidR="009511F9">
        <w:rPr>
          <w:rFonts w:ascii="Calibri" w:hAnsi="Calibri" w:cs="Calibri"/>
          <w:bCs/>
          <w:kern w:val="32"/>
          <w:szCs w:val="22"/>
        </w:rPr>
        <w:t xml:space="preserve">  The </w:t>
      </w:r>
      <w:proofErr w:type="spellStart"/>
      <w:r w:rsidR="009511F9">
        <w:rPr>
          <w:rFonts w:ascii="Calibri" w:hAnsi="Calibri" w:cs="Calibri"/>
          <w:bCs/>
          <w:kern w:val="32"/>
          <w:szCs w:val="22"/>
        </w:rPr>
        <w:t>biocrude</w:t>
      </w:r>
      <w:proofErr w:type="spellEnd"/>
      <w:r w:rsidR="009511F9">
        <w:rPr>
          <w:rFonts w:ascii="Calibri" w:hAnsi="Calibri" w:cs="Calibri"/>
          <w:bCs/>
          <w:kern w:val="32"/>
          <w:szCs w:val="22"/>
        </w:rPr>
        <w:t xml:space="preserve"> can be easily upgraded to a hydrocarbon mixture with a high yield of distillate range product</w:t>
      </w:r>
      <w:r>
        <w:rPr>
          <w:rFonts w:ascii="Calibri" w:hAnsi="Calibri" w:cs="Calibri"/>
          <w:bCs/>
          <w:kern w:val="32"/>
          <w:szCs w:val="22"/>
        </w:rPr>
        <w:t>.</w:t>
      </w:r>
      <w:r w:rsidR="009511F9">
        <w:rPr>
          <w:rFonts w:ascii="Calibri" w:hAnsi="Calibri" w:cs="Calibri"/>
          <w:bCs/>
          <w:kern w:val="32"/>
          <w:szCs w:val="22"/>
        </w:rPr>
        <w:t xml:space="preserve">  The upgraded </w:t>
      </w:r>
      <w:proofErr w:type="spellStart"/>
      <w:r w:rsidR="009511F9">
        <w:rPr>
          <w:rFonts w:ascii="Calibri" w:hAnsi="Calibri" w:cs="Calibri"/>
          <w:bCs/>
          <w:kern w:val="32"/>
          <w:szCs w:val="22"/>
        </w:rPr>
        <w:t>biocrude</w:t>
      </w:r>
      <w:proofErr w:type="spellEnd"/>
      <w:r w:rsidR="009511F9">
        <w:rPr>
          <w:rFonts w:ascii="Calibri" w:hAnsi="Calibri" w:cs="Calibri"/>
          <w:bCs/>
          <w:kern w:val="32"/>
          <w:szCs w:val="22"/>
        </w:rPr>
        <w:t xml:space="preserve"> from the WWTP sludge contained high concentrations of </w:t>
      </w:r>
      <w:proofErr w:type="spellStart"/>
      <w:r w:rsidR="009511F9">
        <w:rPr>
          <w:rFonts w:ascii="Calibri" w:hAnsi="Calibri" w:cs="Calibri"/>
          <w:bCs/>
          <w:kern w:val="32"/>
          <w:szCs w:val="22"/>
        </w:rPr>
        <w:t>parrafins</w:t>
      </w:r>
      <w:proofErr w:type="spellEnd"/>
      <w:r w:rsidR="009511F9">
        <w:rPr>
          <w:rFonts w:ascii="Calibri" w:hAnsi="Calibri" w:cs="Calibri"/>
          <w:bCs/>
          <w:kern w:val="32"/>
          <w:szCs w:val="22"/>
        </w:rPr>
        <w:t xml:space="preserve"> in the diesel boiling range which provide higher </w:t>
      </w:r>
      <w:proofErr w:type="spellStart"/>
      <w:r w:rsidR="009511F9">
        <w:rPr>
          <w:rFonts w:ascii="Calibri" w:hAnsi="Calibri" w:cs="Calibri"/>
          <w:bCs/>
          <w:kern w:val="32"/>
          <w:szCs w:val="22"/>
        </w:rPr>
        <w:t>cetane</w:t>
      </w:r>
      <w:proofErr w:type="spellEnd"/>
      <w:r w:rsidR="009511F9">
        <w:rPr>
          <w:rFonts w:ascii="Calibri" w:hAnsi="Calibri" w:cs="Calibri"/>
          <w:bCs/>
          <w:kern w:val="32"/>
          <w:szCs w:val="22"/>
        </w:rPr>
        <w:t xml:space="preserve"> fuels compared to upgraded </w:t>
      </w:r>
      <w:proofErr w:type="spellStart"/>
      <w:r w:rsidR="009511F9">
        <w:rPr>
          <w:rFonts w:ascii="Calibri" w:hAnsi="Calibri" w:cs="Calibri"/>
          <w:bCs/>
          <w:kern w:val="32"/>
          <w:szCs w:val="22"/>
        </w:rPr>
        <w:t>biocrude</w:t>
      </w:r>
      <w:proofErr w:type="spellEnd"/>
      <w:r w:rsidR="009511F9">
        <w:rPr>
          <w:rFonts w:ascii="Calibri" w:hAnsi="Calibri" w:cs="Calibri"/>
          <w:bCs/>
          <w:kern w:val="32"/>
          <w:szCs w:val="22"/>
        </w:rPr>
        <w:t xml:space="preserve"> from conventional lignocellulosic feedstocks such as wood, corn </w:t>
      </w:r>
      <w:proofErr w:type="spellStart"/>
      <w:r w:rsidR="009511F9">
        <w:rPr>
          <w:rFonts w:ascii="Calibri" w:hAnsi="Calibri" w:cs="Calibri"/>
          <w:bCs/>
          <w:kern w:val="32"/>
          <w:szCs w:val="22"/>
        </w:rPr>
        <w:t>stover</w:t>
      </w:r>
      <w:proofErr w:type="spellEnd"/>
      <w:r w:rsidR="009511F9">
        <w:rPr>
          <w:rFonts w:ascii="Calibri" w:hAnsi="Calibri" w:cs="Calibri"/>
          <w:bCs/>
          <w:kern w:val="32"/>
          <w:szCs w:val="22"/>
        </w:rPr>
        <w:t>, switch grass, and wheat straw.</w:t>
      </w:r>
      <w:r>
        <w:rPr>
          <w:rFonts w:ascii="Calibri" w:hAnsi="Calibri" w:cs="Calibri"/>
          <w:bCs/>
          <w:kern w:val="32"/>
          <w:szCs w:val="22"/>
        </w:rPr>
        <w:t xml:space="preserve">  </w:t>
      </w:r>
    </w:p>
    <w:p w:rsidR="00D02B72" w:rsidRDefault="00D02B72" w:rsidP="00E6519F">
      <w:pPr>
        <w:keepNext/>
        <w:spacing w:before="240" w:after="60"/>
        <w:outlineLvl w:val="0"/>
        <w:rPr>
          <w:rFonts w:ascii="Calibri" w:hAnsi="Calibri" w:cs="Calibri"/>
          <w:bCs/>
          <w:kern w:val="32"/>
          <w:szCs w:val="22"/>
        </w:rPr>
      </w:pPr>
      <w:r w:rsidRPr="00B033C0">
        <w:rPr>
          <w:rFonts w:ascii="Calibri" w:hAnsi="Calibri" w:cs="Calibri"/>
          <w:b/>
          <w:bCs/>
          <w:kern w:val="32"/>
          <w:szCs w:val="22"/>
        </w:rPr>
        <w:t>Lessons Learned:</w:t>
      </w:r>
      <w:r>
        <w:rPr>
          <w:rFonts w:ascii="Calibri" w:hAnsi="Calibri" w:cs="Calibri"/>
          <w:bCs/>
          <w:kern w:val="32"/>
          <w:szCs w:val="22"/>
        </w:rPr>
        <w:t xml:space="preserve"> </w:t>
      </w:r>
      <w:r w:rsidR="00E6519F" w:rsidRPr="00E6519F">
        <w:rPr>
          <w:rFonts w:ascii="Calibri" w:hAnsi="Calibri" w:cs="Calibri"/>
          <w:bCs/>
          <w:kern w:val="32"/>
          <w:szCs w:val="22"/>
        </w:rPr>
        <w:t>Wet waste feedstock</w:t>
      </w:r>
      <w:r w:rsidR="00E6519F">
        <w:rPr>
          <w:rFonts w:ascii="Calibri" w:hAnsi="Calibri" w:cs="Calibri"/>
          <w:bCs/>
          <w:kern w:val="32"/>
          <w:szCs w:val="22"/>
        </w:rPr>
        <w:t>s</w:t>
      </w:r>
      <w:r w:rsidR="00E6519F" w:rsidRPr="00E6519F">
        <w:rPr>
          <w:rFonts w:ascii="Calibri" w:hAnsi="Calibri" w:cs="Calibri"/>
          <w:bCs/>
          <w:kern w:val="32"/>
          <w:szCs w:val="22"/>
        </w:rPr>
        <w:t xml:space="preserve"> </w:t>
      </w:r>
      <w:r w:rsidR="00E6519F">
        <w:rPr>
          <w:rFonts w:ascii="Calibri" w:hAnsi="Calibri" w:cs="Calibri"/>
          <w:bCs/>
          <w:kern w:val="32"/>
          <w:szCs w:val="22"/>
        </w:rPr>
        <w:t xml:space="preserve">from WWTP </w:t>
      </w:r>
      <w:r w:rsidR="00E6519F" w:rsidRPr="00E6519F">
        <w:rPr>
          <w:rFonts w:ascii="Calibri" w:hAnsi="Calibri" w:cs="Calibri"/>
          <w:bCs/>
          <w:kern w:val="32"/>
          <w:szCs w:val="22"/>
        </w:rPr>
        <w:t>are currently available at single sites in quantities large enough to support a commercial scale HTL plant</w:t>
      </w:r>
      <w:r w:rsidR="00E6519F">
        <w:rPr>
          <w:rFonts w:ascii="Calibri" w:hAnsi="Calibri" w:cs="Calibri"/>
          <w:bCs/>
          <w:kern w:val="32"/>
          <w:szCs w:val="22"/>
        </w:rPr>
        <w:t xml:space="preserve">.  In addition, the wastewater </w:t>
      </w:r>
      <w:proofErr w:type="spellStart"/>
      <w:r w:rsidR="00E6519F">
        <w:rPr>
          <w:rFonts w:ascii="Calibri" w:hAnsi="Calibri" w:cs="Calibri"/>
          <w:bCs/>
          <w:kern w:val="32"/>
          <w:szCs w:val="22"/>
        </w:rPr>
        <w:t>sludges</w:t>
      </w:r>
      <w:proofErr w:type="spellEnd"/>
      <w:r w:rsidR="00E6519F">
        <w:rPr>
          <w:rFonts w:ascii="Calibri" w:hAnsi="Calibri" w:cs="Calibri"/>
          <w:bCs/>
          <w:kern w:val="32"/>
          <w:szCs w:val="22"/>
        </w:rPr>
        <w:t xml:space="preserve"> contain significant fats, oils, and greases which result in a higher </w:t>
      </w:r>
      <w:proofErr w:type="spellStart"/>
      <w:r w:rsidR="00E6519F">
        <w:rPr>
          <w:rFonts w:ascii="Calibri" w:hAnsi="Calibri" w:cs="Calibri"/>
          <w:bCs/>
          <w:kern w:val="32"/>
          <w:szCs w:val="22"/>
        </w:rPr>
        <w:t>cetane</w:t>
      </w:r>
      <w:proofErr w:type="spellEnd"/>
      <w:r w:rsidR="00E6519F">
        <w:rPr>
          <w:rFonts w:ascii="Calibri" w:hAnsi="Calibri" w:cs="Calibri"/>
          <w:bCs/>
          <w:kern w:val="32"/>
          <w:szCs w:val="22"/>
        </w:rPr>
        <w:t xml:space="preserve"> distillate fuel relative to conventional lignocellulosic feedstocks.  The TEA analysis identified that increasing the liquid hourly space velocity to the algae SOT value (4) will result in </w:t>
      </w:r>
      <w:r w:rsidR="00E6519F" w:rsidRPr="00E6519F">
        <w:rPr>
          <w:rFonts w:ascii="Calibri" w:hAnsi="Calibri" w:cs="Calibri"/>
          <w:bCs/>
          <w:kern w:val="32"/>
          <w:szCs w:val="22"/>
        </w:rPr>
        <w:t xml:space="preserve">target fuel production costs of </w:t>
      </w:r>
      <w:r w:rsidR="00E6519F">
        <w:rPr>
          <w:rFonts w:ascii="Calibri" w:hAnsi="Calibri" w:cs="Calibri"/>
          <w:bCs/>
          <w:kern w:val="32"/>
          <w:szCs w:val="22"/>
        </w:rPr>
        <w:t>&lt;</w:t>
      </w:r>
      <w:r w:rsidR="00E6519F" w:rsidRPr="00E6519F">
        <w:rPr>
          <w:rFonts w:ascii="Calibri" w:hAnsi="Calibri" w:cs="Calibri"/>
          <w:bCs/>
          <w:kern w:val="32"/>
          <w:szCs w:val="22"/>
        </w:rPr>
        <w:t>$3/GGE.</w:t>
      </w:r>
    </w:p>
    <w:p w:rsidR="00D02B72" w:rsidRPr="00FD039F" w:rsidRDefault="00D02B72" w:rsidP="00D02B72">
      <w:pPr>
        <w:keepNext/>
        <w:spacing w:before="240" w:after="60"/>
        <w:outlineLvl w:val="0"/>
        <w:rPr>
          <w:rFonts w:ascii="Calibri" w:hAnsi="Calibri" w:cs="Calibri"/>
          <w:bCs/>
          <w:kern w:val="32"/>
          <w:szCs w:val="22"/>
        </w:rPr>
      </w:pPr>
      <w:r w:rsidRPr="00222760">
        <w:rPr>
          <w:rFonts w:ascii="Calibri" w:hAnsi="Calibri" w:cs="Calibri"/>
          <w:b/>
          <w:bCs/>
          <w:kern w:val="32"/>
          <w:szCs w:val="22"/>
        </w:rPr>
        <w:t>Plans for Next Quarter:</w:t>
      </w:r>
      <w:r>
        <w:rPr>
          <w:rFonts w:ascii="Calibri" w:hAnsi="Calibri" w:cs="Calibri"/>
          <w:bCs/>
          <w:kern w:val="32"/>
          <w:szCs w:val="22"/>
        </w:rPr>
        <w:t xml:space="preserve"> </w:t>
      </w:r>
      <w:r w:rsidR="005175C2">
        <w:rPr>
          <w:rFonts w:ascii="Calibri" w:hAnsi="Calibri" w:cs="Calibri"/>
          <w:bCs/>
          <w:kern w:val="32"/>
          <w:szCs w:val="22"/>
        </w:rPr>
        <w:t>PNNL has been working with various partners and other DOE labs to acquire feedstocks to meet the Q2 milestone, “</w:t>
      </w:r>
      <w:r w:rsidR="005175C2" w:rsidRPr="005175C2">
        <w:rPr>
          <w:rFonts w:ascii="Calibri" w:hAnsi="Calibri" w:cs="Calibri"/>
          <w:bCs/>
          <w:kern w:val="32"/>
          <w:szCs w:val="22"/>
        </w:rPr>
        <w:t xml:space="preserve">Demonstrate 100 hours of time on stream for plug-flow HTL.  Produce ~ 4L of HTL </w:t>
      </w:r>
      <w:proofErr w:type="spellStart"/>
      <w:r w:rsidR="005175C2" w:rsidRPr="005175C2">
        <w:rPr>
          <w:rFonts w:ascii="Calibri" w:hAnsi="Calibri" w:cs="Calibri"/>
          <w:bCs/>
          <w:kern w:val="32"/>
          <w:szCs w:val="22"/>
        </w:rPr>
        <w:t>biocrude</w:t>
      </w:r>
      <w:proofErr w:type="spellEnd"/>
      <w:r w:rsidR="005175C2" w:rsidRPr="005175C2">
        <w:rPr>
          <w:rFonts w:ascii="Calibri" w:hAnsi="Calibri" w:cs="Calibri"/>
          <w:bCs/>
          <w:kern w:val="32"/>
          <w:szCs w:val="22"/>
        </w:rPr>
        <w:t xml:space="preserve"> in a continuous bench scale reactor to demonstrate HTL performance and to provide a feedstock for upgrading.</w:t>
      </w:r>
      <w:r w:rsidR="005175C2">
        <w:rPr>
          <w:rFonts w:ascii="Calibri" w:hAnsi="Calibri" w:cs="Calibri"/>
          <w:bCs/>
          <w:kern w:val="32"/>
          <w:szCs w:val="22"/>
        </w:rPr>
        <w:t xml:space="preserve">”  Operating HTL in the plug flow mode requires operating at high linear line velocities which translates to high overall feed rates.  The feed requirement for </w:t>
      </w:r>
      <w:r w:rsidR="007A77C9">
        <w:rPr>
          <w:rFonts w:ascii="Calibri" w:hAnsi="Calibri" w:cs="Calibri"/>
          <w:bCs/>
          <w:kern w:val="32"/>
          <w:szCs w:val="22"/>
        </w:rPr>
        <w:t xml:space="preserve">the </w:t>
      </w:r>
      <w:r w:rsidR="005175C2">
        <w:rPr>
          <w:rFonts w:ascii="Calibri" w:hAnsi="Calibri" w:cs="Calibri"/>
          <w:bCs/>
          <w:kern w:val="32"/>
          <w:szCs w:val="22"/>
        </w:rPr>
        <w:t xml:space="preserve">100 hours of time on stream </w:t>
      </w:r>
      <w:r w:rsidR="007A77C9">
        <w:rPr>
          <w:rFonts w:ascii="Calibri" w:hAnsi="Calibri" w:cs="Calibri"/>
          <w:bCs/>
          <w:kern w:val="32"/>
          <w:szCs w:val="22"/>
        </w:rPr>
        <w:t xml:space="preserve">is estimated to be over 100 kg of feedstock on a dry basis.  </w:t>
      </w:r>
      <w:r w:rsidR="005175C2">
        <w:rPr>
          <w:rFonts w:ascii="Calibri" w:hAnsi="Calibri" w:cs="Calibri"/>
          <w:bCs/>
          <w:kern w:val="32"/>
          <w:szCs w:val="22"/>
        </w:rPr>
        <w:t xml:space="preserve">INL was able to provide 13 kg of formatted </w:t>
      </w:r>
      <w:r w:rsidR="007A77C9">
        <w:rPr>
          <w:rFonts w:ascii="Calibri" w:hAnsi="Calibri" w:cs="Calibri"/>
          <w:bCs/>
          <w:kern w:val="32"/>
          <w:szCs w:val="22"/>
        </w:rPr>
        <w:t>wood feedstock which only allow approximately 12 hours of time on stream.  PNNL will continue to explore options for additional feedstocks as the only currently available feedstock in quantities approaching 100 kg is for algae.</w:t>
      </w:r>
    </w:p>
    <w:p w:rsidR="00D02B72" w:rsidRDefault="00D02B72" w:rsidP="00D02B72">
      <w:pPr>
        <w:rPr>
          <w:rFonts w:ascii="Calibri" w:hAnsi="Calibri" w:cs="Calibri"/>
          <w:b/>
        </w:rPr>
      </w:pPr>
    </w:p>
    <w:p w:rsidR="00D02B72" w:rsidRDefault="00D02B72" w:rsidP="00D02B72">
      <w:pPr>
        <w:keepNext/>
        <w:spacing w:before="240" w:after="60"/>
        <w:outlineLvl w:val="0"/>
        <w:rPr>
          <w:rFonts w:ascii="Calibri" w:hAnsi="Calibri" w:cs="Calibri"/>
          <w:b/>
          <w:bCs/>
          <w:kern w:val="32"/>
          <w:sz w:val="28"/>
          <w:szCs w:val="28"/>
        </w:rPr>
      </w:pPr>
      <w:r w:rsidRPr="00103D74">
        <w:rPr>
          <w:rFonts w:ascii="Calibri" w:hAnsi="Calibri" w:cs="Calibri"/>
          <w:b/>
          <w:bCs/>
          <w:kern w:val="32"/>
          <w:sz w:val="28"/>
          <w:szCs w:val="28"/>
        </w:rPr>
        <w:t>Background</w:t>
      </w:r>
      <w:r w:rsidR="00691DBC">
        <w:rPr>
          <w:rFonts w:ascii="Calibri" w:hAnsi="Calibri" w:cs="Calibri"/>
          <w:b/>
          <w:bCs/>
          <w:kern w:val="32"/>
          <w:sz w:val="28"/>
          <w:szCs w:val="28"/>
        </w:rPr>
        <w:t xml:space="preserve"> (including other milestones)</w:t>
      </w:r>
    </w:p>
    <w:p w:rsidR="00E6519F" w:rsidRDefault="00D02B72" w:rsidP="00E6519F">
      <w:r w:rsidRPr="005175C2">
        <w:rPr>
          <w:b/>
        </w:rPr>
        <w:t>Project O</w:t>
      </w:r>
      <w:r w:rsidR="005175C2" w:rsidRPr="005175C2">
        <w:rPr>
          <w:b/>
        </w:rPr>
        <w:t>bjectives</w:t>
      </w:r>
      <w:r w:rsidR="00E6519F" w:rsidRPr="005175C2">
        <w:rPr>
          <w:b/>
        </w:rPr>
        <w:t>:</w:t>
      </w:r>
      <w:r w:rsidR="00E6519F">
        <w:t xml:space="preserve">  </w:t>
      </w:r>
      <w:r w:rsidR="00E6519F">
        <w:t xml:space="preserve">The objectives of this project work is to advance the state of hydrothermal liquefaction technology (HTL), improve overall process performance and economics, and determine the value and best pathway to market for the product. The HTL technology has unique and compelling attributes for the production of </w:t>
      </w:r>
      <w:proofErr w:type="spellStart"/>
      <w:r w:rsidR="00E6519F">
        <w:t>biocrude</w:t>
      </w:r>
      <w:proofErr w:type="spellEnd"/>
      <w:r w:rsidR="00E6519F">
        <w:t xml:space="preserve"> from woody, agricultural, and waste feedstocks. This effort will advance the technical readiness/modality of HTL through leveraging existing capabilities, programs, key relationships and the recent HTL developments under national consortiums (NABC and NAABB) and Work for Other (WFO) agreements.  We will focus the R&amp;D efforts on the highest priority challenges identified in internal and independent TEAs and design evaluations.</w:t>
      </w:r>
    </w:p>
    <w:p w:rsidR="00E6519F" w:rsidRDefault="00E6519F" w:rsidP="00E6519F"/>
    <w:p w:rsidR="00E6519F" w:rsidRDefault="00E6519F" w:rsidP="00E6519F">
      <w:r>
        <w:t xml:space="preserve">PNNL has developed processes for preparing biomass slurries (10 to 20wt% solids) for high pressure pumping and conducting heating/reaction in a simple tubular reactor (plug flow).  Separation processes have been developed and demonstrated for solids (primarily ash), gas, and separation of the </w:t>
      </w:r>
      <w:proofErr w:type="spellStart"/>
      <w:r>
        <w:t>biocrude</w:t>
      </w:r>
      <w:proofErr w:type="spellEnd"/>
      <w:r>
        <w:t xml:space="preserve"> from the resulting aqueous product stream by simple gravity settling.  The NABC consortium contributed to the substantial progress on the HTL technology in areas such as plant-scale reactor design, pump ability, materials of construction specification, and </w:t>
      </w:r>
      <w:r>
        <w:lastRenderedPageBreak/>
        <w:t xml:space="preserve">process separations (solids removal, oil/water separations, organic concentration). The upgrading of the </w:t>
      </w:r>
      <w:proofErr w:type="spellStart"/>
      <w:r>
        <w:t>biocrude</w:t>
      </w:r>
      <w:proofErr w:type="spellEnd"/>
      <w:r>
        <w:t xml:space="preserve"> was also demonstrated and evaluations conducted for insertion into existing petroleum refineries.</w:t>
      </w:r>
    </w:p>
    <w:p w:rsidR="00E6519F" w:rsidRDefault="00E6519F" w:rsidP="00E6519F"/>
    <w:p w:rsidR="00E6519F" w:rsidRDefault="00E6519F" w:rsidP="00E6519F">
      <w:r>
        <w:t xml:space="preserve">Technology development activities from recently funded projects has progressed HTL capabilities at PNNL to a fully plug flow reactor system for use in liquefaction that can be operated with online pressure letdown and </w:t>
      </w:r>
      <w:proofErr w:type="spellStart"/>
      <w:r>
        <w:t>biocrude</w:t>
      </w:r>
      <w:proofErr w:type="spellEnd"/>
      <w:r>
        <w:t xml:space="preserve"> product separation.  However, some feedstock specific issues still require a stirred-tank preheater and the equipment remains available in the bench-scale test stand. This HTL system provides the capabilities necessary to evaluate a broader range of feedstock including wet agricultural and industrial wastes</w:t>
      </w:r>
      <w:r w:rsidR="002E0187">
        <w:t>.</w:t>
      </w:r>
    </w:p>
    <w:p w:rsidR="00E6519F" w:rsidRDefault="00E6519F" w:rsidP="00E6519F"/>
    <w:p w:rsidR="00E6519F" w:rsidRDefault="00E6519F" w:rsidP="00E6519F">
      <w:r w:rsidRPr="005175C2">
        <w:rPr>
          <w:b/>
        </w:rPr>
        <w:t xml:space="preserve">Project </w:t>
      </w:r>
      <w:r w:rsidR="00D02B72" w:rsidRPr="005175C2">
        <w:rPr>
          <w:b/>
        </w:rPr>
        <w:t>O</w:t>
      </w:r>
      <w:r w:rsidRPr="005175C2">
        <w:rPr>
          <w:b/>
        </w:rPr>
        <w:t>verview:</w:t>
      </w:r>
      <w:r>
        <w:t xml:space="preserve">  </w:t>
      </w:r>
      <w:r w:rsidRPr="00E6519F">
        <w:t xml:space="preserve"> </w:t>
      </w:r>
      <w:r>
        <w:t xml:space="preserve">Hydrothermal liquefaction is very carbon efficient with regards to the percent carbon converted to </w:t>
      </w:r>
      <w:proofErr w:type="spellStart"/>
      <w:r>
        <w:t>biocrude</w:t>
      </w:r>
      <w:proofErr w:type="spellEnd"/>
      <w:r>
        <w:t xml:space="preserve">, with yields around 50% for woody and agricultural residual feedstocks.  The major loss of carbon is to the aqueous phase, which contains many small water soluble (highly oxygenated) organic compounds.  HTL </w:t>
      </w:r>
      <w:proofErr w:type="spellStart"/>
      <w:r>
        <w:t>biocrude</w:t>
      </w:r>
      <w:proofErr w:type="spellEnd"/>
      <w:r>
        <w:t xml:space="preserve"> has relatively low oxygen content (10 to 20%), but can exhibit undesirable physiochemical properties for certain feedstocks (e.g. viscosities in excess of 1000 </w:t>
      </w:r>
      <w:proofErr w:type="spellStart"/>
      <w:proofErr w:type="gramStart"/>
      <w:r>
        <w:t>cSt</w:t>
      </w:r>
      <w:proofErr w:type="spellEnd"/>
      <w:proofErr w:type="gramEnd"/>
      <w:r>
        <w:t xml:space="preserve"> for wood waste products).  Improvements to the chemical and physical quality of HTL bio-oil and reduction of the fraction of organics reporting to the aqueous stream are essential to the advancement and maturation of the HTL pathway.</w:t>
      </w:r>
    </w:p>
    <w:p w:rsidR="00E6519F" w:rsidRDefault="00E6519F" w:rsidP="00E6519F"/>
    <w:p w:rsidR="00E6519F" w:rsidRDefault="00E6519F" w:rsidP="00E6519F">
      <w:r>
        <w:t xml:space="preserve">This project will continue the development of the HTL technology for fuel production and expand the range of feedstock to include wet wastes.  Expected outcomes upon successful completion of the project include: </w:t>
      </w:r>
    </w:p>
    <w:p w:rsidR="00E6519F" w:rsidRDefault="00E6519F" w:rsidP="00E6519F">
      <w:r>
        <w:t>•</w:t>
      </w:r>
      <w:r>
        <w:tab/>
        <w:t>Expand bench-scale HTL testing with a broader range of biomass and waste feedstocks.</w:t>
      </w:r>
    </w:p>
    <w:p w:rsidR="00E6519F" w:rsidRDefault="00E6519F" w:rsidP="00E6519F">
      <w:r>
        <w:t>•</w:t>
      </w:r>
      <w:r>
        <w:tab/>
        <w:t xml:space="preserve">Determine </w:t>
      </w:r>
      <w:proofErr w:type="spellStart"/>
      <w:r>
        <w:t>biocrude</w:t>
      </w:r>
      <w:proofErr w:type="spellEnd"/>
      <w:r>
        <w:t xml:space="preserve"> yields and quality as a function of feedstock composition.</w:t>
      </w:r>
    </w:p>
    <w:p w:rsidR="00E6519F" w:rsidRDefault="00E6519F" w:rsidP="00E6519F">
      <w:r>
        <w:t>•</w:t>
      </w:r>
      <w:r>
        <w:tab/>
        <w:t>Validate processing improvements and provide compelling process data and detailed chemical characterization to establish the state of the technology for HTL.</w:t>
      </w:r>
    </w:p>
    <w:p w:rsidR="00E6519F" w:rsidRDefault="00E6519F" w:rsidP="00E6519F">
      <w:r>
        <w:t>•</w:t>
      </w:r>
      <w:r>
        <w:tab/>
        <w:t>Demonstrate a step change improvement in HTL processing for fuel production.</w:t>
      </w:r>
    </w:p>
    <w:p w:rsidR="00E6519F" w:rsidRDefault="00E6519F" w:rsidP="00E6519F">
      <w:r>
        <w:t>•</w:t>
      </w:r>
      <w:r>
        <w:tab/>
        <w:t xml:space="preserve">Confirm the value of the of upgraded HTL </w:t>
      </w:r>
      <w:proofErr w:type="spellStart"/>
      <w:r>
        <w:t>biocrude</w:t>
      </w:r>
      <w:proofErr w:type="spellEnd"/>
      <w:r>
        <w:t xml:space="preserve"> and distillate products through detailed characterization and finished fuel property testing.</w:t>
      </w:r>
    </w:p>
    <w:p w:rsidR="00E6519F" w:rsidRDefault="00E6519F" w:rsidP="00E6519F">
      <w:r>
        <w:t>•</w:t>
      </w:r>
      <w:r>
        <w:tab/>
        <w:t xml:space="preserve">Progress towards the BETO $3/GGE case by reducing technical uncertainties in scalable HTL reactor design. </w:t>
      </w:r>
    </w:p>
    <w:p w:rsidR="00E6519F" w:rsidRDefault="00E6519F" w:rsidP="00E6519F">
      <w:r>
        <w:t>•</w:t>
      </w:r>
      <w:r>
        <w:tab/>
        <w:t xml:space="preserve">In collaboration with industrial partners, demonstrate hydrothermal process for converting wet biomass wastes to </w:t>
      </w:r>
      <w:proofErr w:type="spellStart"/>
      <w:r>
        <w:t>biocrude</w:t>
      </w:r>
      <w:proofErr w:type="spellEnd"/>
      <w:r>
        <w:t xml:space="preserve"> for production of liquid hydrocarbon fuels.</w:t>
      </w:r>
    </w:p>
    <w:p w:rsidR="00E6519F" w:rsidRDefault="00E6519F" w:rsidP="00E6519F">
      <w:r>
        <w:t>•</w:t>
      </w:r>
      <w:r>
        <w:tab/>
        <w:t>Complete TEA for the integrated process of wet waste biomass to fuels and goal case to meet BETO’s goal of $3/</w:t>
      </w:r>
      <w:proofErr w:type="spellStart"/>
      <w:r>
        <w:t>gge</w:t>
      </w:r>
      <w:proofErr w:type="spellEnd"/>
      <w:r>
        <w:t>.</w:t>
      </w:r>
    </w:p>
    <w:p w:rsidR="00E6519F" w:rsidRDefault="00E6519F" w:rsidP="00E6519F"/>
    <w:p w:rsidR="00E6519F" w:rsidRDefault="00E6519F" w:rsidP="00E6519F">
      <w:r>
        <w:t xml:space="preserve">PNNL will acquire a boarder range of biomass feedstocks, including feedstock cost estimates and characterization data, and assess/develop approaches for conditioning the feedstock for HTL processing.  Bench-scale, continuous feed experiments will be conducted to baseline HTL performance with various feedstocks and while examining HTL process improvements through modification of the engineering and/or process chemistry.  The impact of </w:t>
      </w:r>
      <w:proofErr w:type="spellStart"/>
      <w:r>
        <w:t>biocrude</w:t>
      </w:r>
      <w:proofErr w:type="spellEnd"/>
      <w:r>
        <w:t xml:space="preserve"> yield and quality will be assessed as a function of feedstock.  Extended HTL runs will then be conducted with the most promising feedstock to generate large enough samples of </w:t>
      </w:r>
      <w:proofErr w:type="spellStart"/>
      <w:r>
        <w:t>biocrude</w:t>
      </w:r>
      <w:proofErr w:type="spellEnd"/>
      <w:r>
        <w:t xml:space="preserve"> for upgrading.</w:t>
      </w:r>
    </w:p>
    <w:p w:rsidR="00E6519F" w:rsidRDefault="00E6519F" w:rsidP="00E6519F"/>
    <w:p w:rsidR="00E6519F" w:rsidRDefault="00E6519F" w:rsidP="00E6519F">
      <w:proofErr w:type="spellStart"/>
      <w:r>
        <w:lastRenderedPageBreak/>
        <w:t>Biocrude</w:t>
      </w:r>
      <w:proofErr w:type="spellEnd"/>
      <w:r>
        <w:t xml:space="preserve"> samples will be upgraded in continuous-flow lab-scale and bench-scale </w:t>
      </w:r>
      <w:proofErr w:type="spellStart"/>
      <w:r>
        <w:t>hydrotreaters</w:t>
      </w:r>
      <w:proofErr w:type="spellEnd"/>
      <w:r>
        <w:t xml:space="preserve"> at PNNL.  PNNL will evaluate </w:t>
      </w:r>
      <w:proofErr w:type="spellStart"/>
      <w:r>
        <w:t>hydrotreating</w:t>
      </w:r>
      <w:proofErr w:type="spellEnd"/>
      <w:r>
        <w:t xml:space="preserve"> performance with the baseline </w:t>
      </w:r>
      <w:proofErr w:type="spellStart"/>
      <w:r>
        <w:t>CoMoS</w:t>
      </w:r>
      <w:proofErr w:type="spellEnd"/>
      <w:r>
        <w:t xml:space="preserve"> catalyst as a function of time on stream (TOS) and extend catalyst lifetime testing up to at least 200 hours of TOS.  The impact on upgrading with improved, higher activity </w:t>
      </w:r>
      <w:proofErr w:type="spellStart"/>
      <w:r>
        <w:t>hydrotreating</w:t>
      </w:r>
      <w:proofErr w:type="spellEnd"/>
      <w:r>
        <w:t xml:space="preserve"> catalyst will be examined.  The upgraded </w:t>
      </w:r>
      <w:proofErr w:type="spellStart"/>
      <w:r>
        <w:t>biocrude</w:t>
      </w:r>
      <w:proofErr w:type="spellEnd"/>
      <w:r>
        <w:t xml:space="preserve"> samples will be analyzed by advanced characterization techniques and further refined to create distillate fractions for fuel characterization.</w:t>
      </w:r>
    </w:p>
    <w:p w:rsidR="00E6519F" w:rsidRDefault="00E6519F" w:rsidP="00E6519F"/>
    <w:p w:rsidR="00E6519F" w:rsidRDefault="00E6519F" w:rsidP="00E6519F">
      <w:r>
        <w:t xml:space="preserve">Detailed characterization of </w:t>
      </w:r>
      <w:proofErr w:type="spellStart"/>
      <w:r>
        <w:t>biocrude</w:t>
      </w:r>
      <w:proofErr w:type="spellEnd"/>
      <w:r>
        <w:t xml:space="preserve"> samples from a wide range of feedstock will be performed, including use of FT-ICR MS at New Mexico State University.   The assessment of </w:t>
      </w:r>
      <w:proofErr w:type="spellStart"/>
      <w:r>
        <w:t>biocrude</w:t>
      </w:r>
      <w:proofErr w:type="spellEnd"/>
      <w:r>
        <w:t xml:space="preserve"> quality includes the relative ease to upgrade, hydrogen requirement, and by the quality of the hydrocarbon products.  For any bio-derived fuel to obtain widespread use it must qualify as “fit-for-purpose” as a drop-in replacement (or blending component) for compression ignition engines, spark ignition engines, or gas turbines.  Upgraded HTL </w:t>
      </w:r>
      <w:proofErr w:type="spellStart"/>
      <w:r>
        <w:t>biocrude</w:t>
      </w:r>
      <w:proofErr w:type="spellEnd"/>
      <w:r>
        <w:t xml:space="preserve"> from wood and forest waste have a high yield to mid-distillate fuel with a high aromatic/high naphthenic content.  To assess the value of upgraded HTL distillate products, physical and chemical properties will be assessed at the PNNL Fuel Testing Laboratory.</w:t>
      </w:r>
    </w:p>
    <w:p w:rsidR="00E6519F" w:rsidRDefault="00E6519F" w:rsidP="00E6519F"/>
    <w:p w:rsidR="00D02B72" w:rsidRDefault="00E6519F" w:rsidP="00E6519F">
      <w:r>
        <w:t>The experimental works will be summarized in data packages and provided to the TEA-LCA team for assessment.  Existing models will be modified based up analytical and engineering results for a range of feedstocks.  A techno-economic assessment of hydrothermal processing and the effect of waste material avoided cost and its impact on the process costs will be completed.  The TEA/LCA team will assess the techno-economic feasibility and progress, evaluate life-cycle impacts, and improve sustainability for hydrothermal processing of biomass wastes.  The process models will be used to conduct sensitivity analyses and identify the most significant areas of the overall process for economic improvement to guide future R&amp;D activities.</w:t>
      </w:r>
    </w:p>
    <w:p w:rsidR="00E6519F" w:rsidRDefault="00E6519F" w:rsidP="00E6519F"/>
    <w:p w:rsidR="00E6519F" w:rsidRPr="00E6519F" w:rsidRDefault="00E6519F" w:rsidP="00E6519F">
      <w:proofErr w:type="gramStart"/>
      <w:r w:rsidRPr="00E6519F">
        <w:rPr>
          <w:b/>
        </w:rPr>
        <w:t>Table 1.</w:t>
      </w:r>
      <w:proofErr w:type="gramEnd"/>
      <w:r w:rsidRPr="00E6519F">
        <w:t xml:space="preserve">  </w:t>
      </w:r>
      <w:proofErr w:type="gramStart"/>
      <w:r w:rsidRPr="00E6519F">
        <w:t>Milestone and Deliverables Table.</w:t>
      </w:r>
      <w:proofErr w:type="gramEnd"/>
    </w:p>
    <w:p w:rsidR="00E6519F" w:rsidRPr="00E6519F" w:rsidRDefault="00E6519F" w:rsidP="00E6519F">
      <w:pPr>
        <w:rPr>
          <w:bCs/>
          <w:iCs/>
        </w:rPr>
      </w:pP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056"/>
        <w:gridCol w:w="1310"/>
        <w:gridCol w:w="976"/>
        <w:gridCol w:w="5053"/>
      </w:tblGrid>
      <w:tr w:rsidR="00E6519F" w:rsidRPr="00E6519F" w:rsidTr="00C84C4E">
        <w:trPr>
          <w:trHeight w:val="1007"/>
        </w:trPr>
        <w:tc>
          <w:tcPr>
            <w:tcW w:w="965" w:type="dxa"/>
            <w:shd w:val="clear" w:color="auto" w:fill="auto"/>
            <w:vAlign w:val="center"/>
            <w:hideMark/>
          </w:tcPr>
          <w:p w:rsidR="00E6519F" w:rsidRPr="00E6519F" w:rsidRDefault="00E6519F" w:rsidP="00E6519F">
            <w:pPr>
              <w:rPr>
                <w:b/>
              </w:rPr>
            </w:pPr>
            <w:r w:rsidRPr="00E6519F">
              <w:rPr>
                <w:b/>
              </w:rPr>
              <w:t>ID Number</w:t>
            </w:r>
          </w:p>
        </w:tc>
        <w:tc>
          <w:tcPr>
            <w:tcW w:w="960" w:type="dxa"/>
            <w:shd w:val="clear" w:color="auto" w:fill="auto"/>
            <w:noWrap/>
            <w:vAlign w:val="center"/>
            <w:hideMark/>
          </w:tcPr>
          <w:p w:rsidR="00E6519F" w:rsidRPr="00E6519F" w:rsidRDefault="00E6519F" w:rsidP="00E6519F">
            <w:pPr>
              <w:rPr>
                <w:b/>
              </w:rPr>
            </w:pPr>
            <w:r w:rsidRPr="00E6519F">
              <w:rPr>
                <w:b/>
              </w:rPr>
              <w:t>Quarter</w:t>
            </w:r>
          </w:p>
        </w:tc>
        <w:tc>
          <w:tcPr>
            <w:tcW w:w="1278" w:type="dxa"/>
            <w:shd w:val="clear" w:color="auto" w:fill="auto"/>
            <w:noWrap/>
            <w:vAlign w:val="center"/>
            <w:hideMark/>
          </w:tcPr>
          <w:p w:rsidR="00E6519F" w:rsidRPr="00E6519F" w:rsidRDefault="00E6519F" w:rsidP="00E6519F">
            <w:pPr>
              <w:rPr>
                <w:b/>
              </w:rPr>
            </w:pPr>
            <w:r w:rsidRPr="00E6519F">
              <w:rPr>
                <w:b/>
              </w:rPr>
              <w:t>Due Date</w:t>
            </w:r>
          </w:p>
        </w:tc>
        <w:tc>
          <w:tcPr>
            <w:tcW w:w="953" w:type="dxa"/>
            <w:shd w:val="clear" w:color="auto" w:fill="auto"/>
            <w:vAlign w:val="center"/>
            <w:hideMark/>
          </w:tcPr>
          <w:p w:rsidR="00E6519F" w:rsidRPr="00E6519F" w:rsidRDefault="00E6519F" w:rsidP="00E6519F">
            <w:pPr>
              <w:rPr>
                <w:b/>
              </w:rPr>
            </w:pPr>
            <w:r w:rsidRPr="00E6519F">
              <w:rPr>
                <w:b/>
              </w:rPr>
              <w:t>Type</w:t>
            </w:r>
          </w:p>
        </w:tc>
        <w:tc>
          <w:tcPr>
            <w:tcW w:w="5309" w:type="dxa"/>
            <w:shd w:val="clear" w:color="auto" w:fill="auto"/>
            <w:vAlign w:val="center"/>
            <w:hideMark/>
          </w:tcPr>
          <w:p w:rsidR="00E6519F" w:rsidRPr="00E6519F" w:rsidRDefault="00E6519F" w:rsidP="00E6519F">
            <w:pPr>
              <w:rPr>
                <w:b/>
              </w:rPr>
            </w:pPr>
            <w:r w:rsidRPr="00E6519F">
              <w:rPr>
                <w:b/>
              </w:rPr>
              <w:t>Narrative</w:t>
            </w:r>
          </w:p>
        </w:tc>
      </w:tr>
      <w:tr w:rsidR="00E6519F" w:rsidRPr="00E6519F" w:rsidTr="00C84C4E">
        <w:trPr>
          <w:trHeight w:val="1007"/>
        </w:trPr>
        <w:tc>
          <w:tcPr>
            <w:tcW w:w="965" w:type="dxa"/>
            <w:shd w:val="clear" w:color="auto" w:fill="auto"/>
            <w:vAlign w:val="center"/>
            <w:hideMark/>
          </w:tcPr>
          <w:p w:rsidR="00E6519F" w:rsidRPr="00E6519F" w:rsidRDefault="00E6519F" w:rsidP="00E6519F">
            <w:r w:rsidRPr="00E6519F">
              <w:t>M1</w:t>
            </w:r>
          </w:p>
        </w:tc>
        <w:tc>
          <w:tcPr>
            <w:tcW w:w="960" w:type="dxa"/>
            <w:shd w:val="clear" w:color="auto" w:fill="auto"/>
            <w:noWrap/>
            <w:vAlign w:val="center"/>
            <w:hideMark/>
          </w:tcPr>
          <w:p w:rsidR="00E6519F" w:rsidRPr="00E6519F" w:rsidRDefault="00E6519F" w:rsidP="00E6519F">
            <w:r w:rsidRPr="00E6519F">
              <w:t>Q1</w:t>
            </w:r>
          </w:p>
        </w:tc>
        <w:tc>
          <w:tcPr>
            <w:tcW w:w="1278" w:type="dxa"/>
            <w:shd w:val="clear" w:color="auto" w:fill="auto"/>
            <w:noWrap/>
            <w:vAlign w:val="center"/>
            <w:hideMark/>
          </w:tcPr>
          <w:p w:rsidR="00E6519F" w:rsidRPr="00E6519F" w:rsidRDefault="00E6519F" w:rsidP="007A77C9">
            <w:r w:rsidRPr="00E6519F">
              <w:t>12/31/201</w:t>
            </w:r>
            <w:r w:rsidR="007A77C9">
              <w:t>5</w:t>
            </w:r>
          </w:p>
        </w:tc>
        <w:tc>
          <w:tcPr>
            <w:tcW w:w="953" w:type="dxa"/>
            <w:shd w:val="clear" w:color="auto" w:fill="auto"/>
            <w:vAlign w:val="center"/>
            <w:hideMark/>
          </w:tcPr>
          <w:p w:rsidR="00E6519F" w:rsidRPr="00E6519F" w:rsidRDefault="00E6519F" w:rsidP="00E6519F">
            <w:r w:rsidRPr="00E6519F">
              <w:t>Regular</w:t>
            </w:r>
          </w:p>
        </w:tc>
        <w:tc>
          <w:tcPr>
            <w:tcW w:w="5309" w:type="dxa"/>
            <w:shd w:val="clear" w:color="auto" w:fill="auto"/>
            <w:vAlign w:val="center"/>
            <w:hideMark/>
          </w:tcPr>
          <w:p w:rsidR="00E6519F" w:rsidRPr="00E6519F" w:rsidRDefault="007A77C9" w:rsidP="00E6519F">
            <w:r w:rsidRPr="007A77C9">
              <w:t>Brief BETO on outcomes of Wet Waste TEA and strategy for focused testing to address areas of highest technical risk and economic uncertainty and validate SOT assumptions.</w:t>
            </w:r>
          </w:p>
        </w:tc>
      </w:tr>
      <w:tr w:rsidR="00E6519F" w:rsidRPr="00E6519F" w:rsidTr="00C84C4E">
        <w:trPr>
          <w:trHeight w:val="1275"/>
        </w:trPr>
        <w:tc>
          <w:tcPr>
            <w:tcW w:w="965" w:type="dxa"/>
            <w:shd w:val="clear" w:color="auto" w:fill="auto"/>
            <w:vAlign w:val="center"/>
            <w:hideMark/>
          </w:tcPr>
          <w:p w:rsidR="00E6519F" w:rsidRPr="00E6519F" w:rsidRDefault="00E6519F" w:rsidP="00E6519F">
            <w:r w:rsidRPr="00E6519F">
              <w:t>M2</w:t>
            </w:r>
          </w:p>
        </w:tc>
        <w:tc>
          <w:tcPr>
            <w:tcW w:w="960" w:type="dxa"/>
            <w:shd w:val="clear" w:color="auto" w:fill="auto"/>
            <w:noWrap/>
            <w:vAlign w:val="center"/>
            <w:hideMark/>
          </w:tcPr>
          <w:p w:rsidR="00E6519F" w:rsidRPr="00E6519F" w:rsidRDefault="00E6519F" w:rsidP="00E6519F">
            <w:r w:rsidRPr="00E6519F">
              <w:t>Q2</w:t>
            </w:r>
          </w:p>
        </w:tc>
        <w:tc>
          <w:tcPr>
            <w:tcW w:w="1278" w:type="dxa"/>
            <w:shd w:val="clear" w:color="auto" w:fill="auto"/>
            <w:noWrap/>
            <w:vAlign w:val="center"/>
            <w:hideMark/>
          </w:tcPr>
          <w:p w:rsidR="00E6519F" w:rsidRPr="00E6519F" w:rsidRDefault="00E6519F" w:rsidP="007A77C9">
            <w:r w:rsidRPr="00E6519F">
              <w:t>3/31/201</w:t>
            </w:r>
            <w:r w:rsidR="007A77C9">
              <w:t>6</w:t>
            </w:r>
          </w:p>
        </w:tc>
        <w:tc>
          <w:tcPr>
            <w:tcW w:w="953" w:type="dxa"/>
            <w:shd w:val="clear" w:color="auto" w:fill="auto"/>
            <w:vAlign w:val="center"/>
            <w:hideMark/>
          </w:tcPr>
          <w:p w:rsidR="00E6519F" w:rsidRPr="00E6519F" w:rsidRDefault="00E6519F" w:rsidP="00E6519F">
            <w:r w:rsidRPr="00E6519F">
              <w:t>Regular</w:t>
            </w:r>
          </w:p>
        </w:tc>
        <w:tc>
          <w:tcPr>
            <w:tcW w:w="5309" w:type="dxa"/>
            <w:shd w:val="clear" w:color="auto" w:fill="auto"/>
            <w:vAlign w:val="center"/>
            <w:hideMark/>
          </w:tcPr>
          <w:p w:rsidR="00E6519F" w:rsidRPr="00E6519F" w:rsidRDefault="005175C2" w:rsidP="002E0187">
            <w:r w:rsidRPr="005175C2">
              <w:t xml:space="preserve">Demonstrate 100 hours of time on stream for plug-flow HTL.  Produce ~4L of HTL </w:t>
            </w:r>
            <w:proofErr w:type="spellStart"/>
            <w:r w:rsidRPr="005175C2">
              <w:t>biocrude</w:t>
            </w:r>
            <w:proofErr w:type="spellEnd"/>
            <w:r w:rsidRPr="005175C2">
              <w:t xml:space="preserve"> in a continuous bench scale reactor to demonstrate HTL performance and to provide a feedstock for upgrading.</w:t>
            </w:r>
          </w:p>
        </w:tc>
      </w:tr>
      <w:tr w:rsidR="00E6519F" w:rsidRPr="00E6519F" w:rsidTr="007A77C9">
        <w:trPr>
          <w:trHeight w:val="620"/>
        </w:trPr>
        <w:tc>
          <w:tcPr>
            <w:tcW w:w="965" w:type="dxa"/>
            <w:shd w:val="clear" w:color="auto" w:fill="auto"/>
            <w:vAlign w:val="center"/>
            <w:hideMark/>
          </w:tcPr>
          <w:p w:rsidR="00E6519F" w:rsidRPr="00E6519F" w:rsidRDefault="00E6519F" w:rsidP="00E6519F">
            <w:r w:rsidRPr="00E6519F">
              <w:t>M3</w:t>
            </w:r>
          </w:p>
        </w:tc>
        <w:tc>
          <w:tcPr>
            <w:tcW w:w="960" w:type="dxa"/>
            <w:shd w:val="clear" w:color="auto" w:fill="auto"/>
            <w:noWrap/>
            <w:vAlign w:val="center"/>
            <w:hideMark/>
          </w:tcPr>
          <w:p w:rsidR="00E6519F" w:rsidRPr="00E6519F" w:rsidRDefault="00E6519F" w:rsidP="00E6519F">
            <w:r w:rsidRPr="00E6519F">
              <w:t>Q3</w:t>
            </w:r>
          </w:p>
        </w:tc>
        <w:tc>
          <w:tcPr>
            <w:tcW w:w="1278" w:type="dxa"/>
            <w:shd w:val="clear" w:color="auto" w:fill="auto"/>
            <w:noWrap/>
            <w:vAlign w:val="center"/>
            <w:hideMark/>
          </w:tcPr>
          <w:p w:rsidR="00E6519F" w:rsidRPr="00E6519F" w:rsidRDefault="00E6519F" w:rsidP="00E6519F">
            <w:r w:rsidRPr="00E6519F">
              <w:t>6/30/201</w:t>
            </w:r>
            <w:r w:rsidR="007A77C9">
              <w:t>6</w:t>
            </w:r>
          </w:p>
        </w:tc>
        <w:tc>
          <w:tcPr>
            <w:tcW w:w="953" w:type="dxa"/>
            <w:shd w:val="clear" w:color="auto" w:fill="auto"/>
            <w:vAlign w:val="center"/>
            <w:hideMark/>
          </w:tcPr>
          <w:p w:rsidR="00E6519F" w:rsidRPr="00E6519F" w:rsidRDefault="00E6519F" w:rsidP="00E6519F">
            <w:r w:rsidRPr="00E6519F">
              <w:t>Regular</w:t>
            </w:r>
          </w:p>
        </w:tc>
        <w:tc>
          <w:tcPr>
            <w:tcW w:w="5309" w:type="dxa"/>
            <w:shd w:val="clear" w:color="auto" w:fill="auto"/>
            <w:vAlign w:val="center"/>
            <w:hideMark/>
          </w:tcPr>
          <w:p w:rsidR="00E6519F" w:rsidRPr="00E6519F" w:rsidRDefault="007A77C9" w:rsidP="00E6519F">
            <w:r w:rsidRPr="007A77C9">
              <w:t>Acquire 3 feedstocks from industrial partners identified in resource assessment and complete bench-scale HTL tests sufficient for product (</w:t>
            </w:r>
            <w:proofErr w:type="spellStart"/>
            <w:r w:rsidRPr="007A77C9">
              <w:t>biocrude</w:t>
            </w:r>
            <w:proofErr w:type="spellEnd"/>
            <w:r w:rsidRPr="007A77C9">
              <w:t xml:space="preserve">) analysis (500 ml </w:t>
            </w:r>
            <w:proofErr w:type="spellStart"/>
            <w:r w:rsidRPr="007A77C9">
              <w:t>biocrude</w:t>
            </w:r>
            <w:proofErr w:type="spellEnd"/>
            <w:r w:rsidRPr="007A77C9">
              <w:t xml:space="preserve">) as well as production of aqueous byproduct (1 gallon) sufficient for testing.  Quantify product yields and </w:t>
            </w:r>
            <w:r w:rsidRPr="007A77C9">
              <w:lastRenderedPageBreak/>
              <w:t xml:space="preserve">qualities (including </w:t>
            </w:r>
            <w:proofErr w:type="spellStart"/>
            <w:r w:rsidRPr="007A77C9">
              <w:t>biocrude</w:t>
            </w:r>
            <w:proofErr w:type="spellEnd"/>
            <w:r w:rsidRPr="007A77C9">
              <w:t xml:space="preserve"> viscosity, density, and CHNOS).</w:t>
            </w:r>
          </w:p>
        </w:tc>
      </w:tr>
      <w:tr w:rsidR="00E6519F" w:rsidRPr="00E6519F" w:rsidTr="00C84C4E">
        <w:trPr>
          <w:trHeight w:val="720"/>
        </w:trPr>
        <w:tc>
          <w:tcPr>
            <w:tcW w:w="965" w:type="dxa"/>
            <w:shd w:val="clear" w:color="auto" w:fill="auto"/>
            <w:vAlign w:val="center"/>
            <w:hideMark/>
          </w:tcPr>
          <w:p w:rsidR="00E6519F" w:rsidRPr="00E6519F" w:rsidRDefault="00E6519F" w:rsidP="00E6519F">
            <w:r w:rsidRPr="00E6519F">
              <w:lastRenderedPageBreak/>
              <w:t>M4</w:t>
            </w:r>
          </w:p>
        </w:tc>
        <w:tc>
          <w:tcPr>
            <w:tcW w:w="960" w:type="dxa"/>
            <w:shd w:val="clear" w:color="auto" w:fill="auto"/>
            <w:noWrap/>
            <w:vAlign w:val="center"/>
            <w:hideMark/>
          </w:tcPr>
          <w:p w:rsidR="00E6519F" w:rsidRPr="00E6519F" w:rsidRDefault="00E6519F" w:rsidP="00E6519F">
            <w:r w:rsidRPr="00E6519F">
              <w:t>Q4</w:t>
            </w:r>
          </w:p>
        </w:tc>
        <w:tc>
          <w:tcPr>
            <w:tcW w:w="1278" w:type="dxa"/>
            <w:shd w:val="clear" w:color="auto" w:fill="auto"/>
            <w:noWrap/>
            <w:vAlign w:val="center"/>
          </w:tcPr>
          <w:p w:rsidR="00E6519F" w:rsidRPr="00E6519F" w:rsidRDefault="00E6519F" w:rsidP="007A77C9">
            <w:r w:rsidRPr="00E6519F">
              <w:t>9/30/201</w:t>
            </w:r>
            <w:r w:rsidR="007A77C9">
              <w:t>6</w:t>
            </w:r>
          </w:p>
        </w:tc>
        <w:tc>
          <w:tcPr>
            <w:tcW w:w="953" w:type="dxa"/>
            <w:shd w:val="clear" w:color="auto" w:fill="auto"/>
            <w:vAlign w:val="center"/>
            <w:hideMark/>
          </w:tcPr>
          <w:p w:rsidR="00E6519F" w:rsidRPr="00E6519F" w:rsidRDefault="00E6519F" w:rsidP="00E6519F">
            <w:r w:rsidRPr="00E6519F">
              <w:t>Regular</w:t>
            </w:r>
          </w:p>
        </w:tc>
        <w:tc>
          <w:tcPr>
            <w:tcW w:w="5309" w:type="dxa"/>
            <w:shd w:val="clear" w:color="auto" w:fill="auto"/>
            <w:vAlign w:val="center"/>
            <w:hideMark/>
          </w:tcPr>
          <w:p w:rsidR="00E6519F" w:rsidRPr="00E6519F" w:rsidRDefault="007A77C9" w:rsidP="00E6519F">
            <w:r w:rsidRPr="007A77C9">
              <w:t xml:space="preserve">Upgrade and refine 4L of HTL </w:t>
            </w:r>
            <w:proofErr w:type="spellStart"/>
            <w:r w:rsidRPr="007A77C9">
              <w:t>biocrude</w:t>
            </w:r>
            <w:proofErr w:type="spellEnd"/>
            <w:r w:rsidRPr="007A77C9">
              <w:t xml:space="preserve"> to assess upgrading yields and generate samples for fuel testing. Brief BETO on combustion properties for fuels (or fuel blends) from upgraded HTL </w:t>
            </w:r>
            <w:proofErr w:type="spellStart"/>
            <w:r w:rsidRPr="007A77C9">
              <w:t>biocrude</w:t>
            </w:r>
            <w:proofErr w:type="spellEnd"/>
            <w:r w:rsidRPr="007A77C9">
              <w:t xml:space="preserve"> obtained in plug-flow HTL configuration.</w:t>
            </w:r>
          </w:p>
        </w:tc>
      </w:tr>
      <w:tr w:rsidR="007A77C9" w:rsidRPr="00E6519F" w:rsidTr="00C84C4E">
        <w:trPr>
          <w:trHeight w:val="720"/>
        </w:trPr>
        <w:tc>
          <w:tcPr>
            <w:tcW w:w="965" w:type="dxa"/>
            <w:shd w:val="clear" w:color="auto" w:fill="auto"/>
            <w:vAlign w:val="center"/>
          </w:tcPr>
          <w:p w:rsidR="007A77C9" w:rsidRPr="00E6519F" w:rsidRDefault="007A77C9" w:rsidP="00E6519F">
            <w:r>
              <w:t>GN</w:t>
            </w:r>
          </w:p>
        </w:tc>
        <w:tc>
          <w:tcPr>
            <w:tcW w:w="960" w:type="dxa"/>
            <w:shd w:val="clear" w:color="auto" w:fill="auto"/>
            <w:noWrap/>
            <w:vAlign w:val="center"/>
          </w:tcPr>
          <w:p w:rsidR="007A77C9" w:rsidRPr="00E6519F" w:rsidRDefault="007A77C9" w:rsidP="00E6519F">
            <w:r>
              <w:t>Q2</w:t>
            </w:r>
          </w:p>
        </w:tc>
        <w:tc>
          <w:tcPr>
            <w:tcW w:w="1278" w:type="dxa"/>
            <w:shd w:val="clear" w:color="auto" w:fill="auto"/>
            <w:noWrap/>
            <w:vAlign w:val="center"/>
          </w:tcPr>
          <w:p w:rsidR="007A77C9" w:rsidRPr="00E6519F" w:rsidRDefault="007A77C9" w:rsidP="00E6519F">
            <w:r>
              <w:t>3/31/2016</w:t>
            </w:r>
          </w:p>
        </w:tc>
        <w:tc>
          <w:tcPr>
            <w:tcW w:w="953" w:type="dxa"/>
            <w:shd w:val="clear" w:color="auto" w:fill="auto"/>
            <w:vAlign w:val="center"/>
          </w:tcPr>
          <w:p w:rsidR="007A77C9" w:rsidRPr="00E6519F" w:rsidRDefault="007A77C9" w:rsidP="00E6519F">
            <w:r>
              <w:t>G/NG</w:t>
            </w:r>
          </w:p>
        </w:tc>
        <w:tc>
          <w:tcPr>
            <w:tcW w:w="5309" w:type="dxa"/>
            <w:shd w:val="clear" w:color="auto" w:fill="auto"/>
            <w:vAlign w:val="center"/>
          </w:tcPr>
          <w:p w:rsidR="007A77C9" w:rsidRPr="007A77C9" w:rsidRDefault="007A77C9" w:rsidP="00E6519F">
            <w:r w:rsidRPr="007A77C9">
              <w:t>CAT HTL to Meet 2015 Cost Target for pyrolysis and path forward for HTL wet waste industrial demonstration</w:t>
            </w:r>
          </w:p>
        </w:tc>
      </w:tr>
    </w:tbl>
    <w:p w:rsidR="00E6519F" w:rsidRPr="00103D74" w:rsidRDefault="00E6519F" w:rsidP="00E6519F"/>
    <w:p w:rsidR="00D02B72" w:rsidRDefault="00D02B72" w:rsidP="00D02B72">
      <w:pPr>
        <w:keepNext/>
        <w:spacing w:before="360" w:after="60"/>
        <w:outlineLvl w:val="0"/>
        <w:rPr>
          <w:rFonts w:ascii="Calibri" w:hAnsi="Calibri" w:cs="Calibri"/>
          <w:b/>
          <w:bCs/>
          <w:kern w:val="32"/>
          <w:szCs w:val="28"/>
        </w:rPr>
      </w:pPr>
      <w:r w:rsidRPr="00367372">
        <w:rPr>
          <w:rFonts w:ascii="Calibri" w:hAnsi="Calibri" w:cs="Calibri"/>
          <w:b/>
          <w:bCs/>
          <w:kern w:val="32"/>
          <w:sz w:val="28"/>
          <w:szCs w:val="28"/>
        </w:rPr>
        <w:t>Experimental Methods</w:t>
      </w:r>
    </w:p>
    <w:p w:rsidR="00496951" w:rsidRPr="00496951" w:rsidRDefault="00496951" w:rsidP="00D02B72">
      <w:pPr>
        <w:keepNext/>
        <w:spacing w:before="360" w:after="60"/>
        <w:outlineLvl w:val="0"/>
        <w:rPr>
          <w:rFonts w:ascii="Calibri" w:hAnsi="Calibri" w:cs="Calibri"/>
          <w:bCs/>
          <w:kern w:val="32"/>
          <w:szCs w:val="28"/>
        </w:rPr>
      </w:pPr>
      <w:r>
        <w:rPr>
          <w:rFonts w:ascii="Calibri" w:hAnsi="Calibri" w:cs="Calibri"/>
          <w:bCs/>
          <w:kern w:val="32"/>
          <w:szCs w:val="28"/>
        </w:rPr>
        <w:t xml:space="preserve">PNNL has assembled continuous flow reactors for both HTL and upgrading of HTL </w:t>
      </w:r>
      <w:proofErr w:type="spellStart"/>
      <w:r>
        <w:rPr>
          <w:rFonts w:ascii="Calibri" w:hAnsi="Calibri" w:cs="Calibri"/>
          <w:bCs/>
          <w:kern w:val="32"/>
          <w:szCs w:val="28"/>
        </w:rPr>
        <w:t>biocrude</w:t>
      </w:r>
      <w:proofErr w:type="spellEnd"/>
      <w:r>
        <w:rPr>
          <w:rFonts w:ascii="Calibri" w:hAnsi="Calibri" w:cs="Calibri"/>
          <w:bCs/>
          <w:kern w:val="32"/>
          <w:szCs w:val="28"/>
        </w:rPr>
        <w:t xml:space="preserve"> to hydrocarbons.  The reactors are large enough to allow good mass balance, yield, and conversion calculations while utilizing relatively small </w:t>
      </w:r>
      <w:r w:rsidR="001D0579">
        <w:rPr>
          <w:rFonts w:ascii="Calibri" w:hAnsi="Calibri" w:cs="Calibri"/>
          <w:bCs/>
          <w:kern w:val="32"/>
          <w:szCs w:val="28"/>
        </w:rPr>
        <w:t xml:space="preserve">feedstock and </w:t>
      </w:r>
      <w:proofErr w:type="spellStart"/>
      <w:r w:rsidR="001D0579">
        <w:rPr>
          <w:rFonts w:ascii="Calibri" w:hAnsi="Calibri" w:cs="Calibri"/>
          <w:bCs/>
          <w:kern w:val="32"/>
          <w:szCs w:val="28"/>
        </w:rPr>
        <w:t>biocrude</w:t>
      </w:r>
      <w:proofErr w:type="spellEnd"/>
      <w:r w:rsidR="001D0579">
        <w:rPr>
          <w:rFonts w:ascii="Calibri" w:hAnsi="Calibri" w:cs="Calibri"/>
          <w:bCs/>
          <w:kern w:val="32"/>
          <w:szCs w:val="28"/>
        </w:rPr>
        <w:t xml:space="preserve"> </w:t>
      </w:r>
      <w:r>
        <w:rPr>
          <w:rFonts w:ascii="Calibri" w:hAnsi="Calibri" w:cs="Calibri"/>
          <w:bCs/>
          <w:kern w:val="32"/>
          <w:szCs w:val="28"/>
        </w:rPr>
        <w:t>sample sizes.  The result</w:t>
      </w:r>
      <w:r w:rsidR="001D0579">
        <w:rPr>
          <w:rFonts w:ascii="Calibri" w:hAnsi="Calibri" w:cs="Calibri"/>
          <w:bCs/>
          <w:kern w:val="32"/>
          <w:szCs w:val="28"/>
        </w:rPr>
        <w:t>ing upgraded</w:t>
      </w:r>
      <w:r>
        <w:rPr>
          <w:rFonts w:ascii="Calibri" w:hAnsi="Calibri" w:cs="Calibri"/>
          <w:bCs/>
          <w:kern w:val="32"/>
          <w:szCs w:val="28"/>
        </w:rPr>
        <w:t xml:space="preserve"> hydrocarbon samples are large enough to allow fractionation and fuel property testing.  The results of the testing </w:t>
      </w:r>
      <w:r w:rsidR="001D0579">
        <w:rPr>
          <w:rFonts w:ascii="Calibri" w:hAnsi="Calibri" w:cs="Calibri"/>
          <w:bCs/>
          <w:kern w:val="32"/>
          <w:szCs w:val="28"/>
        </w:rPr>
        <w:t xml:space="preserve">at PNNL </w:t>
      </w:r>
      <w:r>
        <w:rPr>
          <w:rFonts w:ascii="Calibri" w:hAnsi="Calibri" w:cs="Calibri"/>
          <w:bCs/>
          <w:kern w:val="32"/>
          <w:szCs w:val="28"/>
        </w:rPr>
        <w:t xml:space="preserve">are at a large enough scale to support process model development, techno-economic analysis, and assessment of the environmental impact as renewable fuels. </w:t>
      </w:r>
    </w:p>
    <w:p w:rsidR="00D02B72" w:rsidRDefault="00D02B72" w:rsidP="00D02B72">
      <w:pPr>
        <w:spacing w:before="240" w:after="60"/>
        <w:rPr>
          <w:rFonts w:ascii="Calibri" w:hAnsi="Calibri" w:cs="Calibri"/>
          <w:b/>
          <w:bCs/>
          <w:kern w:val="32"/>
          <w:sz w:val="28"/>
          <w:szCs w:val="28"/>
        </w:rPr>
      </w:pPr>
      <w:r w:rsidRPr="00E245B8">
        <w:rPr>
          <w:rFonts w:ascii="Calibri" w:hAnsi="Calibri" w:cs="Calibri"/>
          <w:b/>
          <w:bCs/>
          <w:kern w:val="32"/>
          <w:sz w:val="28"/>
          <w:szCs w:val="28"/>
        </w:rPr>
        <w:t>Results and Discussion</w:t>
      </w:r>
    </w:p>
    <w:p w:rsidR="00496951" w:rsidRDefault="00496951" w:rsidP="00496951">
      <w:pPr>
        <w:spacing w:before="240" w:after="60"/>
        <w:rPr>
          <w:rFonts w:ascii="Calibri" w:hAnsi="Calibri" w:cs="Calibri"/>
        </w:rPr>
      </w:pPr>
      <w:r w:rsidRPr="00022E7A">
        <w:rPr>
          <w:rFonts w:ascii="Calibri" w:hAnsi="Calibri" w:cs="Calibri"/>
          <w:b/>
        </w:rPr>
        <w:t>WERF data packages</w:t>
      </w:r>
      <w:r>
        <w:rPr>
          <w:rFonts w:ascii="Calibri" w:hAnsi="Calibri" w:cs="Calibri"/>
          <w:b/>
        </w:rPr>
        <w:t xml:space="preserve">:  </w:t>
      </w:r>
      <w:r w:rsidRPr="00022E7A">
        <w:rPr>
          <w:rFonts w:ascii="Calibri" w:hAnsi="Calibri" w:cs="Calibri"/>
        </w:rPr>
        <w:t xml:space="preserve">Complete mass balance calculations, all analytical data, and scans of the run binders were prepared and sent to </w:t>
      </w:r>
      <w:proofErr w:type="spellStart"/>
      <w:r w:rsidRPr="00022E7A">
        <w:rPr>
          <w:rFonts w:ascii="Calibri" w:hAnsi="Calibri" w:cs="Calibri"/>
        </w:rPr>
        <w:t>Leidos</w:t>
      </w:r>
      <w:proofErr w:type="spellEnd"/>
      <w:r w:rsidRPr="00022E7A">
        <w:rPr>
          <w:rFonts w:ascii="Calibri" w:hAnsi="Calibri" w:cs="Calibri"/>
        </w:rPr>
        <w:t xml:space="preserve"> for validation and reporting of the four WERF HTL runs conducted over the summer. Support and clarification was provided to </w:t>
      </w:r>
      <w:proofErr w:type="spellStart"/>
      <w:r w:rsidRPr="00022E7A">
        <w:rPr>
          <w:rFonts w:ascii="Calibri" w:hAnsi="Calibri" w:cs="Calibri"/>
        </w:rPr>
        <w:t>Leidos</w:t>
      </w:r>
      <w:proofErr w:type="spellEnd"/>
      <w:r w:rsidRPr="00022E7A">
        <w:rPr>
          <w:rFonts w:ascii="Calibri" w:hAnsi="Calibri" w:cs="Calibri"/>
        </w:rPr>
        <w:t xml:space="preserve"> on an ongoing basis.</w:t>
      </w:r>
      <w:r>
        <w:rPr>
          <w:rFonts w:ascii="Calibri" w:hAnsi="Calibri" w:cs="Calibri"/>
        </w:rPr>
        <w:t xml:space="preserve">  </w:t>
      </w:r>
      <w:proofErr w:type="spellStart"/>
      <w:r>
        <w:rPr>
          <w:rFonts w:ascii="Calibri" w:hAnsi="Calibri" w:cs="Calibri"/>
        </w:rPr>
        <w:t>Leidos</w:t>
      </w:r>
      <w:proofErr w:type="spellEnd"/>
      <w:r>
        <w:rPr>
          <w:rFonts w:ascii="Calibri" w:hAnsi="Calibri" w:cs="Calibri"/>
        </w:rPr>
        <w:t xml:space="preserve"> completed the draft validation report on December 29 and provided a copy to PNNL for review.  PNNL will complete the report review in Q2 before the WERF scheduled review meeting at PNNL in February.</w:t>
      </w:r>
      <w:r w:rsidRPr="00022E7A">
        <w:rPr>
          <w:rFonts w:ascii="Calibri" w:hAnsi="Calibri" w:cs="Calibri"/>
        </w:rPr>
        <w:t xml:space="preserve"> </w:t>
      </w:r>
    </w:p>
    <w:p w:rsidR="002E0187" w:rsidRDefault="00496951" w:rsidP="00496951">
      <w:pPr>
        <w:spacing w:before="240" w:after="60"/>
        <w:rPr>
          <w:rFonts w:ascii="Calibri" w:hAnsi="Calibri" w:cs="Calibri"/>
          <w:bCs/>
          <w:kern w:val="32"/>
          <w:szCs w:val="28"/>
        </w:rPr>
      </w:pPr>
      <w:r w:rsidRPr="00022E7A">
        <w:rPr>
          <w:rFonts w:ascii="Calibri" w:hAnsi="Calibri" w:cs="Calibri"/>
        </w:rPr>
        <w:t>The results from WERF testing were presented at tcbiomass2015 in Chicago on November 4, 2015. The work was well-received and a number of inquiries/discussions were initiated about future processing of wet wastes at HTL.</w:t>
      </w:r>
      <w:r w:rsidR="002E0187" w:rsidRPr="002E0187">
        <w:rPr>
          <w:rFonts w:ascii="Calibri" w:hAnsi="Calibri" w:cs="Calibri"/>
          <w:b/>
          <w:bCs/>
          <w:kern w:val="32"/>
          <w:szCs w:val="28"/>
        </w:rPr>
        <w:t>TEA for Wet Wastes</w:t>
      </w:r>
      <w:r w:rsidR="002E0187">
        <w:rPr>
          <w:rFonts w:ascii="Calibri" w:hAnsi="Calibri" w:cs="Calibri"/>
          <w:b/>
          <w:bCs/>
          <w:kern w:val="32"/>
          <w:szCs w:val="28"/>
        </w:rPr>
        <w:t xml:space="preserve">:  </w:t>
      </w:r>
      <w:r w:rsidR="002E0187" w:rsidRPr="002E0187">
        <w:rPr>
          <w:rFonts w:ascii="Calibri" w:hAnsi="Calibri" w:cs="Calibri"/>
          <w:bCs/>
          <w:kern w:val="32"/>
          <w:szCs w:val="28"/>
        </w:rPr>
        <w:t xml:space="preserve">The base case scenario for the </w:t>
      </w:r>
      <w:r w:rsidR="002E0187">
        <w:rPr>
          <w:rFonts w:ascii="Calibri" w:hAnsi="Calibri" w:cs="Calibri"/>
          <w:bCs/>
          <w:kern w:val="32"/>
          <w:szCs w:val="28"/>
        </w:rPr>
        <w:t xml:space="preserve">wet waste techno-economic </w:t>
      </w:r>
      <w:r w:rsidR="002E0187" w:rsidRPr="002E0187">
        <w:rPr>
          <w:rFonts w:ascii="Calibri" w:hAnsi="Calibri" w:cs="Calibri"/>
          <w:bCs/>
          <w:kern w:val="32"/>
          <w:szCs w:val="28"/>
        </w:rPr>
        <w:t xml:space="preserve">analysis consists of 25 HTL plants, each processing 100 dry ton/day of sludge waste, feeding into a centralized </w:t>
      </w:r>
      <w:proofErr w:type="spellStart"/>
      <w:r w:rsidR="002E0187" w:rsidRPr="002E0187">
        <w:rPr>
          <w:rFonts w:ascii="Calibri" w:hAnsi="Calibri" w:cs="Calibri"/>
          <w:bCs/>
          <w:kern w:val="32"/>
          <w:szCs w:val="28"/>
        </w:rPr>
        <w:t>biocrude</w:t>
      </w:r>
      <w:proofErr w:type="spellEnd"/>
      <w:r w:rsidR="002E0187" w:rsidRPr="002E0187">
        <w:rPr>
          <w:rFonts w:ascii="Calibri" w:hAnsi="Calibri" w:cs="Calibri"/>
          <w:bCs/>
          <w:kern w:val="32"/>
          <w:szCs w:val="28"/>
        </w:rPr>
        <w:t xml:space="preserve"> upgrading facility that produces 5,047 barrel per standard day of final fuel.  This scale was chosen based upon initial wastewater treatment plant data gathered by the PNNL resource assessment team and a rough estimate of what the potential sludge availability might be within a 100-mile radius.  It is assumed that sludge is available at no cost and </w:t>
      </w:r>
      <w:proofErr w:type="spellStart"/>
      <w:r w:rsidR="002E0187" w:rsidRPr="002E0187">
        <w:rPr>
          <w:rFonts w:ascii="Calibri" w:hAnsi="Calibri" w:cs="Calibri"/>
          <w:bCs/>
          <w:kern w:val="32"/>
          <w:szCs w:val="28"/>
        </w:rPr>
        <w:t>biocrude</w:t>
      </w:r>
      <w:proofErr w:type="spellEnd"/>
      <w:r w:rsidR="002E0187" w:rsidRPr="002E0187">
        <w:rPr>
          <w:rFonts w:ascii="Calibri" w:hAnsi="Calibri" w:cs="Calibri"/>
          <w:bCs/>
          <w:kern w:val="32"/>
          <w:szCs w:val="28"/>
        </w:rPr>
        <w:t xml:space="preserve"> is shipped for $0.10/</w:t>
      </w:r>
      <w:proofErr w:type="spellStart"/>
      <w:r w:rsidR="002E0187" w:rsidRPr="002E0187">
        <w:rPr>
          <w:rFonts w:ascii="Calibri" w:hAnsi="Calibri" w:cs="Calibri"/>
          <w:bCs/>
          <w:kern w:val="32"/>
          <w:szCs w:val="28"/>
        </w:rPr>
        <w:t>gge</w:t>
      </w:r>
      <w:proofErr w:type="spellEnd"/>
      <w:r w:rsidR="002E0187" w:rsidRPr="002E0187">
        <w:rPr>
          <w:rFonts w:ascii="Calibri" w:hAnsi="Calibri" w:cs="Calibri"/>
          <w:bCs/>
          <w:kern w:val="32"/>
          <w:szCs w:val="28"/>
        </w:rPr>
        <w:t xml:space="preserve">.  The base case assumptions result in a minimum </w:t>
      </w:r>
      <w:proofErr w:type="spellStart"/>
      <w:r w:rsidR="002E0187" w:rsidRPr="002E0187">
        <w:rPr>
          <w:rFonts w:ascii="Calibri" w:hAnsi="Calibri" w:cs="Calibri"/>
          <w:bCs/>
          <w:kern w:val="32"/>
          <w:szCs w:val="28"/>
        </w:rPr>
        <w:t>biocrude</w:t>
      </w:r>
      <w:proofErr w:type="spellEnd"/>
      <w:r w:rsidR="002E0187" w:rsidRPr="002E0187">
        <w:rPr>
          <w:rFonts w:ascii="Calibri" w:hAnsi="Calibri" w:cs="Calibri"/>
          <w:bCs/>
          <w:kern w:val="32"/>
          <w:szCs w:val="28"/>
        </w:rPr>
        <w:t xml:space="preserve"> selling price of $4.09/</w:t>
      </w:r>
      <w:proofErr w:type="spellStart"/>
      <w:r w:rsidR="002E0187" w:rsidRPr="002E0187">
        <w:rPr>
          <w:rFonts w:ascii="Calibri" w:hAnsi="Calibri" w:cs="Calibri"/>
          <w:bCs/>
          <w:kern w:val="32"/>
          <w:szCs w:val="28"/>
        </w:rPr>
        <w:t>gge</w:t>
      </w:r>
      <w:proofErr w:type="spellEnd"/>
      <w:r w:rsidR="002E0187" w:rsidRPr="002E0187">
        <w:rPr>
          <w:rFonts w:ascii="Calibri" w:hAnsi="Calibri" w:cs="Calibri"/>
          <w:bCs/>
          <w:kern w:val="32"/>
          <w:szCs w:val="28"/>
        </w:rPr>
        <w:t xml:space="preserve"> and a minimum final upgraded fuel selling price of $5.15/</w:t>
      </w:r>
      <w:proofErr w:type="spellStart"/>
      <w:r w:rsidR="002E0187" w:rsidRPr="002E0187">
        <w:rPr>
          <w:rFonts w:ascii="Calibri" w:hAnsi="Calibri" w:cs="Calibri"/>
          <w:bCs/>
          <w:kern w:val="32"/>
          <w:szCs w:val="28"/>
        </w:rPr>
        <w:t>gge</w:t>
      </w:r>
      <w:proofErr w:type="spellEnd"/>
      <w:r w:rsidR="002E0187" w:rsidRPr="002E0187">
        <w:rPr>
          <w:rFonts w:ascii="Calibri" w:hAnsi="Calibri" w:cs="Calibri"/>
          <w:bCs/>
          <w:kern w:val="32"/>
          <w:szCs w:val="28"/>
        </w:rPr>
        <w:t xml:space="preserve">.  </w:t>
      </w:r>
    </w:p>
    <w:p w:rsidR="002E0187" w:rsidRPr="002E0187" w:rsidRDefault="002E0187" w:rsidP="002E0187">
      <w:pPr>
        <w:spacing w:before="240" w:after="60"/>
        <w:rPr>
          <w:rFonts w:ascii="Calibri" w:hAnsi="Calibri" w:cs="Calibri"/>
          <w:bCs/>
          <w:kern w:val="32"/>
          <w:szCs w:val="28"/>
        </w:rPr>
      </w:pPr>
      <w:r w:rsidRPr="002E0187">
        <w:rPr>
          <w:rFonts w:ascii="Calibri" w:hAnsi="Calibri" w:cs="Calibri"/>
          <w:bCs/>
          <w:kern w:val="32"/>
          <w:szCs w:val="28"/>
        </w:rPr>
        <w:lastRenderedPageBreak/>
        <w:t xml:space="preserve">Several areas of process improvement and refinements to the analysis have the potential to favorably impact economics relative to </w:t>
      </w:r>
      <w:r>
        <w:rPr>
          <w:rFonts w:ascii="Calibri" w:hAnsi="Calibri" w:cs="Calibri"/>
          <w:bCs/>
          <w:kern w:val="32"/>
          <w:szCs w:val="28"/>
        </w:rPr>
        <w:t xml:space="preserve">the base case; </w:t>
      </w:r>
      <w:r w:rsidRPr="002E0187">
        <w:rPr>
          <w:rFonts w:ascii="Calibri" w:hAnsi="Calibri" w:cs="Calibri"/>
          <w:bCs/>
          <w:kern w:val="32"/>
          <w:szCs w:val="28"/>
        </w:rPr>
        <w:t xml:space="preserve">Optimization of HTL </w:t>
      </w:r>
      <w:proofErr w:type="spellStart"/>
      <w:r w:rsidRPr="002E0187">
        <w:rPr>
          <w:rFonts w:ascii="Calibri" w:hAnsi="Calibri" w:cs="Calibri"/>
          <w:bCs/>
          <w:kern w:val="32"/>
          <w:szCs w:val="28"/>
        </w:rPr>
        <w:t>biocrude</w:t>
      </w:r>
      <w:proofErr w:type="spellEnd"/>
      <w:r w:rsidRPr="002E0187">
        <w:rPr>
          <w:rFonts w:ascii="Calibri" w:hAnsi="Calibri" w:cs="Calibri"/>
          <w:bCs/>
          <w:kern w:val="32"/>
          <w:szCs w:val="28"/>
        </w:rPr>
        <w:t xml:space="preserve"> yield</w:t>
      </w:r>
      <w:r>
        <w:rPr>
          <w:rFonts w:ascii="Calibri" w:hAnsi="Calibri" w:cs="Calibri"/>
          <w:bCs/>
          <w:kern w:val="32"/>
          <w:szCs w:val="28"/>
        </w:rPr>
        <w:t xml:space="preserve">, </w:t>
      </w:r>
      <w:r w:rsidRPr="002E0187">
        <w:rPr>
          <w:rFonts w:ascii="Calibri" w:hAnsi="Calibri" w:cs="Calibri"/>
          <w:bCs/>
          <w:kern w:val="32"/>
          <w:szCs w:val="28"/>
        </w:rPr>
        <w:t>Optimization of HTL sludge feed solids content</w:t>
      </w:r>
      <w:r>
        <w:rPr>
          <w:rFonts w:ascii="Calibri" w:hAnsi="Calibri" w:cs="Calibri"/>
          <w:bCs/>
          <w:kern w:val="32"/>
          <w:szCs w:val="28"/>
        </w:rPr>
        <w:t xml:space="preserve">, </w:t>
      </w:r>
      <w:r w:rsidRPr="002E0187">
        <w:rPr>
          <w:rFonts w:ascii="Calibri" w:hAnsi="Calibri" w:cs="Calibri"/>
          <w:bCs/>
          <w:kern w:val="32"/>
          <w:szCs w:val="28"/>
        </w:rPr>
        <w:t xml:space="preserve">Optimization of upgraded </w:t>
      </w:r>
      <w:proofErr w:type="spellStart"/>
      <w:r w:rsidRPr="002E0187">
        <w:rPr>
          <w:rFonts w:ascii="Calibri" w:hAnsi="Calibri" w:cs="Calibri"/>
          <w:bCs/>
          <w:kern w:val="32"/>
          <w:szCs w:val="28"/>
        </w:rPr>
        <w:t>biocrude</w:t>
      </w:r>
      <w:proofErr w:type="spellEnd"/>
      <w:r w:rsidRPr="002E0187">
        <w:rPr>
          <w:rFonts w:ascii="Calibri" w:hAnsi="Calibri" w:cs="Calibri"/>
          <w:bCs/>
          <w:kern w:val="32"/>
          <w:szCs w:val="28"/>
        </w:rPr>
        <w:t xml:space="preserve"> yield</w:t>
      </w:r>
      <w:r>
        <w:rPr>
          <w:rFonts w:ascii="Calibri" w:hAnsi="Calibri" w:cs="Calibri"/>
          <w:bCs/>
          <w:kern w:val="32"/>
          <w:szCs w:val="28"/>
        </w:rPr>
        <w:t xml:space="preserve">, </w:t>
      </w:r>
      <w:r w:rsidRPr="002E0187">
        <w:rPr>
          <w:rFonts w:ascii="Calibri" w:hAnsi="Calibri" w:cs="Calibri"/>
          <w:bCs/>
          <w:kern w:val="32"/>
          <w:szCs w:val="28"/>
        </w:rPr>
        <w:t>Inclusion of cost savings associated with avoided sludge disposal (sludge credit)</w:t>
      </w:r>
      <w:r>
        <w:rPr>
          <w:rFonts w:ascii="Calibri" w:hAnsi="Calibri" w:cs="Calibri"/>
          <w:bCs/>
          <w:kern w:val="32"/>
          <w:szCs w:val="28"/>
        </w:rPr>
        <w:t>, and</w:t>
      </w:r>
      <w:r w:rsidR="001323E0">
        <w:rPr>
          <w:rFonts w:ascii="Calibri" w:hAnsi="Calibri" w:cs="Calibri"/>
          <w:bCs/>
          <w:kern w:val="32"/>
          <w:szCs w:val="28"/>
        </w:rPr>
        <w:t xml:space="preserve"> </w:t>
      </w:r>
      <w:r w:rsidRPr="002E0187">
        <w:rPr>
          <w:rFonts w:ascii="Calibri" w:hAnsi="Calibri" w:cs="Calibri"/>
          <w:bCs/>
          <w:kern w:val="32"/>
          <w:szCs w:val="28"/>
        </w:rPr>
        <w:t>Combined large and small HTL scales (e.g., in metropolitan and outlying areas)</w:t>
      </w:r>
      <w:r w:rsidR="001323E0">
        <w:rPr>
          <w:rFonts w:ascii="Calibri" w:hAnsi="Calibri" w:cs="Calibri"/>
          <w:bCs/>
          <w:kern w:val="32"/>
          <w:szCs w:val="28"/>
        </w:rPr>
        <w:t>.  With these</w:t>
      </w:r>
      <w:r w:rsidRPr="002E0187">
        <w:rPr>
          <w:rFonts w:ascii="Calibri" w:hAnsi="Calibri" w:cs="Calibri"/>
          <w:bCs/>
          <w:kern w:val="32"/>
          <w:szCs w:val="28"/>
        </w:rPr>
        <w:t xml:space="preserve"> combined improvements</w:t>
      </w:r>
      <w:r w:rsidR="001323E0">
        <w:rPr>
          <w:rFonts w:ascii="Calibri" w:hAnsi="Calibri" w:cs="Calibri"/>
          <w:bCs/>
          <w:kern w:val="32"/>
          <w:szCs w:val="28"/>
        </w:rPr>
        <w:t xml:space="preserve">, </w:t>
      </w:r>
      <w:r w:rsidRPr="002E0187">
        <w:rPr>
          <w:rFonts w:ascii="Calibri" w:hAnsi="Calibri" w:cs="Calibri"/>
          <w:bCs/>
          <w:kern w:val="32"/>
          <w:szCs w:val="28"/>
        </w:rPr>
        <w:t xml:space="preserve">the minimum selling price of </w:t>
      </w:r>
      <w:proofErr w:type="spellStart"/>
      <w:r w:rsidRPr="002E0187">
        <w:rPr>
          <w:rFonts w:ascii="Calibri" w:hAnsi="Calibri" w:cs="Calibri"/>
          <w:bCs/>
          <w:kern w:val="32"/>
          <w:szCs w:val="28"/>
        </w:rPr>
        <w:t>biocrude</w:t>
      </w:r>
      <w:proofErr w:type="spellEnd"/>
      <w:r w:rsidRPr="002E0187">
        <w:rPr>
          <w:rFonts w:ascii="Calibri" w:hAnsi="Calibri" w:cs="Calibri"/>
          <w:bCs/>
          <w:kern w:val="32"/>
          <w:szCs w:val="28"/>
        </w:rPr>
        <w:t xml:space="preserve"> and final fuel </w:t>
      </w:r>
      <w:r w:rsidR="001323E0" w:rsidRPr="002E0187">
        <w:rPr>
          <w:rFonts w:ascii="Calibri" w:hAnsi="Calibri" w:cs="Calibri"/>
          <w:bCs/>
          <w:kern w:val="32"/>
          <w:szCs w:val="28"/>
        </w:rPr>
        <w:t xml:space="preserve">can potentially reduce </w:t>
      </w:r>
      <w:r w:rsidRPr="002E0187">
        <w:rPr>
          <w:rFonts w:ascii="Calibri" w:hAnsi="Calibri" w:cs="Calibri"/>
          <w:bCs/>
          <w:kern w:val="32"/>
          <w:szCs w:val="28"/>
        </w:rPr>
        <w:t>to $2.37/</w:t>
      </w:r>
      <w:proofErr w:type="spellStart"/>
      <w:r w:rsidRPr="002E0187">
        <w:rPr>
          <w:rFonts w:ascii="Calibri" w:hAnsi="Calibri" w:cs="Calibri"/>
          <w:bCs/>
          <w:kern w:val="32"/>
          <w:szCs w:val="28"/>
        </w:rPr>
        <w:t>gge</w:t>
      </w:r>
      <w:proofErr w:type="spellEnd"/>
      <w:r w:rsidRPr="002E0187">
        <w:rPr>
          <w:rFonts w:ascii="Calibri" w:hAnsi="Calibri" w:cs="Calibri"/>
          <w:bCs/>
          <w:kern w:val="32"/>
          <w:szCs w:val="28"/>
        </w:rPr>
        <w:t xml:space="preserve"> and $2.92/</w:t>
      </w:r>
      <w:proofErr w:type="spellStart"/>
      <w:r w:rsidRPr="002E0187">
        <w:rPr>
          <w:rFonts w:ascii="Calibri" w:hAnsi="Calibri" w:cs="Calibri"/>
          <w:bCs/>
          <w:kern w:val="32"/>
          <w:szCs w:val="28"/>
        </w:rPr>
        <w:t>gge</w:t>
      </w:r>
      <w:proofErr w:type="spellEnd"/>
      <w:r w:rsidRPr="002E0187">
        <w:rPr>
          <w:rFonts w:ascii="Calibri" w:hAnsi="Calibri" w:cs="Calibri"/>
          <w:bCs/>
          <w:kern w:val="32"/>
          <w:szCs w:val="28"/>
        </w:rPr>
        <w:t>, respectively.  Further improvements may be possible through recovery of higher value components from the HTL aqueous phase, as being investigated under separate PNNL projects.</w:t>
      </w:r>
    </w:p>
    <w:p w:rsidR="00022E7A" w:rsidRPr="00022E7A" w:rsidRDefault="00022E7A" w:rsidP="00022E7A">
      <w:pPr>
        <w:spacing w:before="240" w:after="60"/>
        <w:rPr>
          <w:rFonts w:ascii="Calibri" w:hAnsi="Calibri" w:cs="Calibri"/>
        </w:rPr>
      </w:pPr>
      <w:r w:rsidRPr="00022E7A">
        <w:rPr>
          <w:rFonts w:ascii="Calibri" w:hAnsi="Calibri" w:cs="Calibri"/>
          <w:b/>
        </w:rPr>
        <w:t>W</w:t>
      </w:r>
      <w:r w:rsidR="001323E0">
        <w:rPr>
          <w:rFonts w:ascii="Calibri" w:hAnsi="Calibri" w:cs="Calibri"/>
          <w:b/>
        </w:rPr>
        <w:t xml:space="preserve">et </w:t>
      </w:r>
      <w:r w:rsidRPr="00022E7A">
        <w:rPr>
          <w:rFonts w:ascii="Calibri" w:hAnsi="Calibri" w:cs="Calibri"/>
          <w:b/>
        </w:rPr>
        <w:t>W</w:t>
      </w:r>
      <w:r w:rsidR="001323E0">
        <w:rPr>
          <w:rFonts w:ascii="Calibri" w:hAnsi="Calibri" w:cs="Calibri"/>
          <w:b/>
        </w:rPr>
        <w:t>aste</w:t>
      </w:r>
      <w:r w:rsidRPr="00022E7A">
        <w:rPr>
          <w:rFonts w:ascii="Calibri" w:hAnsi="Calibri" w:cs="Calibri"/>
          <w:b/>
        </w:rPr>
        <w:t>-05 HTL Run</w:t>
      </w:r>
      <w:r w:rsidR="00660112">
        <w:rPr>
          <w:rFonts w:ascii="Calibri" w:hAnsi="Calibri" w:cs="Calibri"/>
          <w:b/>
        </w:rPr>
        <w:t>,</w:t>
      </w:r>
      <w:r w:rsidRPr="00022E7A">
        <w:rPr>
          <w:rFonts w:ascii="Calibri" w:hAnsi="Calibri" w:cs="Calibri"/>
          <w:b/>
        </w:rPr>
        <w:t xml:space="preserve"> IPA Brewer’s Grains</w:t>
      </w:r>
      <w:r w:rsidR="001323E0">
        <w:rPr>
          <w:rFonts w:ascii="Calibri" w:hAnsi="Calibri" w:cs="Calibri"/>
          <w:b/>
        </w:rPr>
        <w:t xml:space="preserve">:  </w:t>
      </w:r>
      <w:r w:rsidRPr="00022E7A">
        <w:rPr>
          <w:rFonts w:ascii="Calibri" w:hAnsi="Calibri" w:cs="Calibri"/>
        </w:rPr>
        <w:t xml:space="preserve">Ten gallons of brewer’s spent grains were collected from Ice Harbor Brewery in Kennewick, WA. </w:t>
      </w:r>
      <w:r w:rsidR="001323E0">
        <w:rPr>
          <w:rFonts w:ascii="Calibri" w:hAnsi="Calibri" w:cs="Calibri"/>
        </w:rPr>
        <w:t xml:space="preserve"> As part of the brewing process t</w:t>
      </w:r>
      <w:r w:rsidRPr="00022E7A">
        <w:rPr>
          <w:rFonts w:ascii="Calibri" w:hAnsi="Calibri" w:cs="Calibri"/>
        </w:rPr>
        <w:t xml:space="preserve">he grains were cracked, malted, and extracted with water at 154°F for approximately 1 hour. </w:t>
      </w:r>
      <w:r w:rsidR="001323E0">
        <w:rPr>
          <w:rFonts w:ascii="Calibri" w:hAnsi="Calibri" w:cs="Calibri"/>
        </w:rPr>
        <w:t xml:space="preserve"> </w:t>
      </w:r>
      <w:r w:rsidRPr="00022E7A">
        <w:rPr>
          <w:rFonts w:ascii="Calibri" w:hAnsi="Calibri" w:cs="Calibri"/>
        </w:rPr>
        <w:t xml:space="preserve">The brew master estimated that 75% of the fermentable sugars had been extracted. </w:t>
      </w:r>
      <w:r w:rsidR="001323E0">
        <w:rPr>
          <w:rFonts w:ascii="Calibri" w:hAnsi="Calibri" w:cs="Calibri"/>
        </w:rPr>
        <w:t xml:space="preserve"> </w:t>
      </w:r>
      <w:r w:rsidRPr="00022E7A">
        <w:rPr>
          <w:rFonts w:ascii="Calibri" w:hAnsi="Calibri" w:cs="Calibri"/>
        </w:rPr>
        <w:t xml:space="preserve">The extracted grains </w:t>
      </w:r>
      <w:r w:rsidR="001323E0">
        <w:rPr>
          <w:rFonts w:ascii="Calibri" w:hAnsi="Calibri" w:cs="Calibri"/>
        </w:rPr>
        <w:t xml:space="preserve">required </w:t>
      </w:r>
      <w:r w:rsidRPr="00022E7A">
        <w:rPr>
          <w:rFonts w:ascii="Calibri" w:hAnsi="Calibri" w:cs="Calibri"/>
        </w:rPr>
        <w:t>feed formatting process</w:t>
      </w:r>
      <w:r w:rsidR="001323E0">
        <w:rPr>
          <w:rFonts w:ascii="Calibri" w:hAnsi="Calibri" w:cs="Calibri"/>
        </w:rPr>
        <w:t xml:space="preserve"> for pumping to the bench-scale HTL system</w:t>
      </w:r>
      <w:r w:rsidRPr="00022E7A">
        <w:rPr>
          <w:rFonts w:ascii="Calibri" w:hAnsi="Calibri" w:cs="Calibri"/>
        </w:rPr>
        <w:t xml:space="preserve">. </w:t>
      </w:r>
      <w:r w:rsidR="001323E0">
        <w:rPr>
          <w:rFonts w:ascii="Calibri" w:hAnsi="Calibri" w:cs="Calibri"/>
        </w:rPr>
        <w:t>T</w:t>
      </w:r>
      <w:r w:rsidRPr="00022E7A">
        <w:rPr>
          <w:rFonts w:ascii="Calibri" w:hAnsi="Calibri" w:cs="Calibri"/>
        </w:rPr>
        <w:t>he</w:t>
      </w:r>
      <w:r w:rsidR="001323E0">
        <w:rPr>
          <w:rFonts w:ascii="Calibri" w:hAnsi="Calibri" w:cs="Calibri"/>
        </w:rPr>
        <w:t xml:space="preserve"> wet feed was formatted using a</w:t>
      </w:r>
      <w:r w:rsidRPr="00022E7A">
        <w:rPr>
          <w:rFonts w:ascii="Calibri" w:hAnsi="Calibri" w:cs="Calibri"/>
        </w:rPr>
        <w:t xml:space="preserve"> wet milling process</w:t>
      </w:r>
      <w:r w:rsidR="001323E0">
        <w:rPr>
          <w:rFonts w:ascii="Calibri" w:hAnsi="Calibri" w:cs="Calibri"/>
        </w:rPr>
        <w:t xml:space="preserve"> which was</w:t>
      </w:r>
      <w:r w:rsidRPr="00022E7A">
        <w:rPr>
          <w:rFonts w:ascii="Calibri" w:hAnsi="Calibri" w:cs="Calibri"/>
        </w:rPr>
        <w:t xml:space="preserve"> carried out batch-wise (1-2 L/batch) to create </w:t>
      </w:r>
      <w:proofErr w:type="gramStart"/>
      <w:r w:rsidRPr="00022E7A">
        <w:rPr>
          <w:rFonts w:ascii="Calibri" w:hAnsi="Calibri" w:cs="Calibri"/>
        </w:rPr>
        <w:t xml:space="preserve">a </w:t>
      </w:r>
      <w:proofErr w:type="spellStart"/>
      <w:r w:rsidRPr="00022E7A">
        <w:rPr>
          <w:rFonts w:ascii="Calibri" w:hAnsi="Calibri" w:cs="Calibri"/>
        </w:rPr>
        <w:t>pumpable</w:t>
      </w:r>
      <w:proofErr w:type="spellEnd"/>
      <w:proofErr w:type="gramEnd"/>
      <w:r w:rsidRPr="00022E7A">
        <w:rPr>
          <w:rFonts w:ascii="Calibri" w:hAnsi="Calibri" w:cs="Calibri"/>
        </w:rPr>
        <w:t xml:space="preserve"> slurry. </w:t>
      </w:r>
      <w:r w:rsidR="001323E0">
        <w:rPr>
          <w:rFonts w:ascii="Calibri" w:hAnsi="Calibri" w:cs="Calibri"/>
        </w:rPr>
        <w:t xml:space="preserve"> </w:t>
      </w:r>
      <w:r w:rsidRPr="00022E7A">
        <w:rPr>
          <w:rFonts w:ascii="Calibri" w:hAnsi="Calibri" w:cs="Calibri"/>
        </w:rPr>
        <w:t xml:space="preserve">The feed slurry was 13.6 </w:t>
      </w:r>
      <w:proofErr w:type="spellStart"/>
      <w:r w:rsidRPr="00022E7A">
        <w:rPr>
          <w:rFonts w:ascii="Calibri" w:hAnsi="Calibri" w:cs="Calibri"/>
        </w:rPr>
        <w:t>wt</w:t>
      </w:r>
      <w:proofErr w:type="spellEnd"/>
      <w:r w:rsidRPr="00022E7A">
        <w:rPr>
          <w:rFonts w:ascii="Calibri" w:hAnsi="Calibri" w:cs="Calibri"/>
        </w:rPr>
        <w:t xml:space="preserve">% solids </w:t>
      </w:r>
      <w:r w:rsidR="001323E0">
        <w:rPr>
          <w:rFonts w:ascii="Calibri" w:hAnsi="Calibri" w:cs="Calibri"/>
        </w:rPr>
        <w:t>and</w:t>
      </w:r>
      <w:r w:rsidRPr="00022E7A">
        <w:rPr>
          <w:rFonts w:ascii="Calibri" w:hAnsi="Calibri" w:cs="Calibri"/>
        </w:rPr>
        <w:t xml:space="preserve"> 0.5 </w:t>
      </w:r>
      <w:proofErr w:type="spellStart"/>
      <w:r w:rsidRPr="00022E7A">
        <w:rPr>
          <w:rFonts w:ascii="Calibri" w:hAnsi="Calibri" w:cs="Calibri"/>
        </w:rPr>
        <w:t>wt</w:t>
      </w:r>
      <w:proofErr w:type="spellEnd"/>
      <w:r w:rsidRPr="00022E7A">
        <w:rPr>
          <w:rFonts w:ascii="Calibri" w:hAnsi="Calibri" w:cs="Calibri"/>
        </w:rPr>
        <w:t>% sodium carbonate added as a buffering agent</w:t>
      </w:r>
      <w:r w:rsidR="001323E0">
        <w:rPr>
          <w:rFonts w:ascii="Calibri" w:hAnsi="Calibri" w:cs="Calibri"/>
        </w:rPr>
        <w:t xml:space="preserve"> as a precaution since this feed has not been run and had an unknown nitrogen content (protein content)</w:t>
      </w:r>
      <w:r w:rsidRPr="00022E7A">
        <w:rPr>
          <w:rFonts w:ascii="Calibri" w:hAnsi="Calibri" w:cs="Calibri"/>
        </w:rPr>
        <w:t xml:space="preserve">. The feed was relatively low ash at ~6 </w:t>
      </w:r>
      <w:proofErr w:type="spellStart"/>
      <w:r w:rsidRPr="00022E7A">
        <w:rPr>
          <w:rFonts w:ascii="Calibri" w:hAnsi="Calibri" w:cs="Calibri"/>
        </w:rPr>
        <w:t>wt</w:t>
      </w:r>
      <w:proofErr w:type="spellEnd"/>
      <w:r w:rsidRPr="00022E7A">
        <w:rPr>
          <w:rFonts w:ascii="Calibri" w:hAnsi="Calibri" w:cs="Calibri"/>
        </w:rPr>
        <w:t>%.</w:t>
      </w:r>
    </w:p>
    <w:p w:rsidR="00022E7A" w:rsidRPr="00022E7A" w:rsidRDefault="00022E7A" w:rsidP="00022E7A">
      <w:pPr>
        <w:spacing w:before="240" w:after="60"/>
        <w:rPr>
          <w:rFonts w:ascii="Calibri" w:hAnsi="Calibri" w:cs="Calibri"/>
        </w:rPr>
      </w:pPr>
      <w:r w:rsidRPr="00022E7A">
        <w:rPr>
          <w:rFonts w:ascii="Calibri" w:hAnsi="Calibri" w:cs="Calibri"/>
        </w:rPr>
        <w:t xml:space="preserve">The HTL run was conducted in </w:t>
      </w:r>
      <w:r w:rsidR="001323E0">
        <w:rPr>
          <w:rFonts w:ascii="Calibri" w:hAnsi="Calibri" w:cs="Calibri"/>
        </w:rPr>
        <w:t>bench-scale continuous feed HTL system (</w:t>
      </w:r>
      <w:r w:rsidRPr="00022E7A">
        <w:rPr>
          <w:rFonts w:ascii="Calibri" w:hAnsi="Calibri" w:cs="Calibri"/>
        </w:rPr>
        <w:t>CRS-2</w:t>
      </w:r>
      <w:r w:rsidR="001323E0">
        <w:rPr>
          <w:rFonts w:ascii="Calibri" w:hAnsi="Calibri" w:cs="Calibri"/>
        </w:rPr>
        <w:t>)</w:t>
      </w:r>
      <w:r w:rsidRPr="00022E7A">
        <w:rPr>
          <w:rFonts w:ascii="Calibri" w:hAnsi="Calibri" w:cs="Calibri"/>
        </w:rPr>
        <w:t xml:space="preserve"> in the pure plug flow configuration at baseline conditions (350°C, 3000 psig). </w:t>
      </w:r>
      <w:r w:rsidR="001323E0">
        <w:rPr>
          <w:rFonts w:ascii="Calibri" w:hAnsi="Calibri" w:cs="Calibri"/>
        </w:rPr>
        <w:t xml:space="preserve"> </w:t>
      </w:r>
      <w:r w:rsidRPr="00022E7A">
        <w:rPr>
          <w:rFonts w:ascii="Calibri" w:hAnsi="Calibri" w:cs="Calibri"/>
        </w:rPr>
        <w:t xml:space="preserve">The feed rate was 4 L/h (initially 2 L/h) for a nominal LHSV=8 h-1. </w:t>
      </w:r>
      <w:r w:rsidR="001323E0">
        <w:rPr>
          <w:rFonts w:ascii="Calibri" w:hAnsi="Calibri" w:cs="Calibri"/>
        </w:rPr>
        <w:t xml:space="preserve"> </w:t>
      </w:r>
      <w:r w:rsidR="00E076BC">
        <w:rPr>
          <w:rFonts w:ascii="Calibri" w:hAnsi="Calibri" w:cs="Calibri"/>
        </w:rPr>
        <w:t xml:space="preserve">This is a feed rate 4 times higher than the baseline for lignocellulosic feedstocks and 2 times higher than the SOT for algae HTL.  </w:t>
      </w:r>
      <w:r w:rsidRPr="00022E7A">
        <w:rPr>
          <w:rFonts w:ascii="Calibri" w:hAnsi="Calibri" w:cs="Calibri"/>
        </w:rPr>
        <w:t xml:space="preserve">The feed was successfully processed into gravity-separable </w:t>
      </w:r>
      <w:proofErr w:type="spellStart"/>
      <w:r w:rsidRPr="00022E7A">
        <w:rPr>
          <w:rFonts w:ascii="Calibri" w:hAnsi="Calibri" w:cs="Calibri"/>
        </w:rPr>
        <w:t>biocrude</w:t>
      </w:r>
      <w:proofErr w:type="spellEnd"/>
      <w:r w:rsidRPr="00022E7A">
        <w:rPr>
          <w:rFonts w:ascii="Calibri" w:hAnsi="Calibri" w:cs="Calibri"/>
        </w:rPr>
        <w:t xml:space="preserve"> over a period of approximately 9 hours (&gt;30L of slurry converted). </w:t>
      </w:r>
      <w:r w:rsidR="001323E0">
        <w:rPr>
          <w:rFonts w:ascii="Calibri" w:hAnsi="Calibri" w:cs="Calibri"/>
        </w:rPr>
        <w:t xml:space="preserve"> </w:t>
      </w:r>
      <w:r w:rsidRPr="00022E7A">
        <w:rPr>
          <w:rFonts w:ascii="Calibri" w:hAnsi="Calibri" w:cs="Calibri"/>
        </w:rPr>
        <w:t xml:space="preserve">The oil density was 1.05 g/cc and the viscosity was similar to a wood-based </w:t>
      </w:r>
      <w:proofErr w:type="spellStart"/>
      <w:r w:rsidRPr="00022E7A">
        <w:rPr>
          <w:rFonts w:ascii="Calibri" w:hAnsi="Calibri" w:cs="Calibri"/>
        </w:rPr>
        <w:t>biocrude</w:t>
      </w:r>
      <w:proofErr w:type="spellEnd"/>
      <w:r w:rsidRPr="00022E7A">
        <w:rPr>
          <w:rFonts w:ascii="Calibri" w:hAnsi="Calibri" w:cs="Calibri"/>
        </w:rPr>
        <w:t xml:space="preserve"> at 8,100 </w:t>
      </w:r>
      <w:proofErr w:type="spellStart"/>
      <w:proofErr w:type="gramStart"/>
      <w:r w:rsidRPr="00022E7A">
        <w:rPr>
          <w:rFonts w:ascii="Calibri" w:hAnsi="Calibri" w:cs="Calibri"/>
        </w:rPr>
        <w:t>cSt</w:t>
      </w:r>
      <w:proofErr w:type="spellEnd"/>
      <w:proofErr w:type="gramEnd"/>
      <w:r w:rsidRPr="00022E7A">
        <w:rPr>
          <w:rFonts w:ascii="Calibri" w:hAnsi="Calibri" w:cs="Calibri"/>
        </w:rPr>
        <w:t xml:space="preserve"> at 40°C.</w:t>
      </w:r>
      <w:r w:rsidR="001323E0">
        <w:rPr>
          <w:rFonts w:ascii="Calibri" w:hAnsi="Calibri" w:cs="Calibri"/>
        </w:rPr>
        <w:t xml:space="preserve"> </w:t>
      </w:r>
      <w:r w:rsidRPr="00022E7A">
        <w:rPr>
          <w:rFonts w:ascii="Calibri" w:hAnsi="Calibri" w:cs="Calibri"/>
        </w:rPr>
        <w:t xml:space="preserve"> The oil samples were relatively high in moisture with 14 and </w:t>
      </w:r>
      <w:proofErr w:type="gramStart"/>
      <w:r w:rsidRPr="00022E7A">
        <w:rPr>
          <w:rFonts w:ascii="Calibri" w:hAnsi="Calibri" w:cs="Calibri"/>
        </w:rPr>
        <w:t xml:space="preserve">25 </w:t>
      </w:r>
      <w:proofErr w:type="spellStart"/>
      <w:r w:rsidRPr="00022E7A">
        <w:rPr>
          <w:rFonts w:ascii="Calibri" w:hAnsi="Calibri" w:cs="Calibri"/>
        </w:rPr>
        <w:t>wt</w:t>
      </w:r>
      <w:proofErr w:type="spellEnd"/>
      <w:r w:rsidRPr="00022E7A">
        <w:rPr>
          <w:rFonts w:ascii="Calibri" w:hAnsi="Calibri" w:cs="Calibri"/>
        </w:rPr>
        <w:t>% moisture for the steady state and rapid let-down oils, respectively</w:t>
      </w:r>
      <w:proofErr w:type="gramEnd"/>
      <w:r w:rsidRPr="00022E7A">
        <w:rPr>
          <w:rFonts w:ascii="Calibri" w:hAnsi="Calibri" w:cs="Calibri"/>
        </w:rPr>
        <w:t xml:space="preserve">. </w:t>
      </w:r>
      <w:r w:rsidR="001323E0">
        <w:rPr>
          <w:rFonts w:ascii="Calibri" w:hAnsi="Calibri" w:cs="Calibri"/>
        </w:rPr>
        <w:t xml:space="preserve"> </w:t>
      </w:r>
      <w:r w:rsidR="001D0579">
        <w:rPr>
          <w:rFonts w:ascii="Calibri" w:hAnsi="Calibri" w:cs="Calibri"/>
        </w:rPr>
        <w:t xml:space="preserve">Over 600 mL of </w:t>
      </w:r>
      <w:proofErr w:type="spellStart"/>
      <w:r w:rsidR="001D0579">
        <w:rPr>
          <w:rFonts w:ascii="Calibri" w:hAnsi="Calibri" w:cs="Calibri"/>
        </w:rPr>
        <w:t>biocrude</w:t>
      </w:r>
      <w:proofErr w:type="spellEnd"/>
      <w:r w:rsidR="001D0579">
        <w:rPr>
          <w:rFonts w:ascii="Calibri" w:hAnsi="Calibri" w:cs="Calibri"/>
        </w:rPr>
        <w:t xml:space="preserve"> was collected for upgrading in Q2.  The aqueous product was collected and characterized.  </w:t>
      </w:r>
      <w:r w:rsidRPr="00022E7A">
        <w:rPr>
          <w:rFonts w:ascii="Calibri" w:hAnsi="Calibri" w:cs="Calibri"/>
        </w:rPr>
        <w:t xml:space="preserve">The COD of the aqueous phase ranged from 55,000-60,000 mg O/L, a typical value for a </w:t>
      </w:r>
      <w:r w:rsidR="001D0579">
        <w:rPr>
          <w:rFonts w:ascii="Calibri" w:hAnsi="Calibri" w:cs="Calibri"/>
        </w:rPr>
        <w:t>ligno</w:t>
      </w:r>
      <w:r w:rsidRPr="00022E7A">
        <w:rPr>
          <w:rFonts w:ascii="Calibri" w:hAnsi="Calibri" w:cs="Calibri"/>
        </w:rPr>
        <w:t xml:space="preserve">cellulosic feedstock. </w:t>
      </w:r>
    </w:p>
    <w:p w:rsidR="00CD0EAD" w:rsidRDefault="00022E7A" w:rsidP="00022E7A">
      <w:pPr>
        <w:spacing w:before="240" w:after="60"/>
        <w:rPr>
          <w:rFonts w:ascii="Calibri" w:hAnsi="Calibri" w:cs="Calibri"/>
        </w:rPr>
      </w:pPr>
      <w:proofErr w:type="spellStart"/>
      <w:r w:rsidRPr="00022E7A">
        <w:rPr>
          <w:rFonts w:ascii="Calibri" w:hAnsi="Calibri" w:cs="Calibri"/>
          <w:b/>
        </w:rPr>
        <w:t>Hydrotreating</w:t>
      </w:r>
      <w:proofErr w:type="spellEnd"/>
      <w:r w:rsidRPr="00022E7A">
        <w:rPr>
          <w:rFonts w:ascii="Calibri" w:hAnsi="Calibri" w:cs="Calibri"/>
          <w:b/>
        </w:rPr>
        <w:t xml:space="preserve"> of </w:t>
      </w:r>
      <w:r w:rsidR="001D0579">
        <w:rPr>
          <w:rFonts w:ascii="Calibri" w:hAnsi="Calibri" w:cs="Calibri"/>
          <w:b/>
        </w:rPr>
        <w:t>W</w:t>
      </w:r>
      <w:r w:rsidRPr="00022E7A">
        <w:rPr>
          <w:rFonts w:ascii="Calibri" w:hAnsi="Calibri" w:cs="Calibri"/>
          <w:b/>
        </w:rPr>
        <w:t xml:space="preserve">et </w:t>
      </w:r>
      <w:r w:rsidR="001D0579">
        <w:rPr>
          <w:rFonts w:ascii="Calibri" w:hAnsi="Calibri" w:cs="Calibri"/>
          <w:b/>
        </w:rPr>
        <w:t>W</w:t>
      </w:r>
      <w:r w:rsidRPr="00022E7A">
        <w:rPr>
          <w:rFonts w:ascii="Calibri" w:hAnsi="Calibri" w:cs="Calibri"/>
          <w:b/>
        </w:rPr>
        <w:t xml:space="preserve">aste HTL </w:t>
      </w:r>
      <w:proofErr w:type="spellStart"/>
      <w:r w:rsidRPr="00022E7A">
        <w:rPr>
          <w:rFonts w:ascii="Calibri" w:hAnsi="Calibri" w:cs="Calibri"/>
          <w:b/>
        </w:rPr>
        <w:t>biocrudes</w:t>
      </w:r>
      <w:proofErr w:type="spellEnd"/>
      <w:r w:rsidR="00660112">
        <w:rPr>
          <w:rFonts w:ascii="Calibri" w:hAnsi="Calibri" w:cs="Calibri"/>
          <w:b/>
        </w:rPr>
        <w:t xml:space="preserve">:  </w:t>
      </w:r>
      <w:r w:rsidR="00464065">
        <w:rPr>
          <w:rFonts w:ascii="Calibri" w:hAnsi="Calibri" w:cs="Calibri"/>
        </w:rPr>
        <w:t xml:space="preserve">Three </w:t>
      </w:r>
      <w:proofErr w:type="spellStart"/>
      <w:r w:rsidR="00464065">
        <w:rPr>
          <w:rFonts w:ascii="Calibri" w:hAnsi="Calibri" w:cs="Calibri"/>
        </w:rPr>
        <w:t>hydrotreater</w:t>
      </w:r>
      <w:proofErr w:type="spellEnd"/>
      <w:r w:rsidR="00464065">
        <w:rPr>
          <w:rFonts w:ascii="Calibri" w:hAnsi="Calibri" w:cs="Calibri"/>
        </w:rPr>
        <w:t xml:space="preserve"> runs were completed in Q1 with HTL </w:t>
      </w:r>
      <w:proofErr w:type="spellStart"/>
      <w:r w:rsidR="00464065">
        <w:rPr>
          <w:rFonts w:ascii="Calibri" w:hAnsi="Calibri" w:cs="Calibri"/>
        </w:rPr>
        <w:t>biocrude</w:t>
      </w:r>
      <w:proofErr w:type="spellEnd"/>
      <w:r w:rsidR="00464065">
        <w:rPr>
          <w:rFonts w:ascii="Calibri" w:hAnsi="Calibri" w:cs="Calibri"/>
        </w:rPr>
        <w:t xml:space="preserve"> samples.  The first run was conducted with two </w:t>
      </w:r>
      <w:proofErr w:type="spellStart"/>
      <w:r w:rsidR="00464065">
        <w:rPr>
          <w:rFonts w:ascii="Calibri" w:hAnsi="Calibri" w:cs="Calibri"/>
        </w:rPr>
        <w:t>biocrude</w:t>
      </w:r>
      <w:proofErr w:type="spellEnd"/>
      <w:r w:rsidR="00464065">
        <w:rPr>
          <w:rFonts w:ascii="Calibri" w:hAnsi="Calibri" w:cs="Calibri"/>
        </w:rPr>
        <w:t xml:space="preserve"> samples derived from the HTL of the WWTP </w:t>
      </w:r>
      <w:proofErr w:type="spellStart"/>
      <w:r w:rsidR="00464065">
        <w:rPr>
          <w:rFonts w:ascii="Calibri" w:hAnsi="Calibri" w:cs="Calibri"/>
        </w:rPr>
        <w:t>sludges</w:t>
      </w:r>
      <w:proofErr w:type="spellEnd"/>
      <w:r w:rsidR="00464065">
        <w:rPr>
          <w:rFonts w:ascii="Calibri" w:hAnsi="Calibri" w:cs="Calibri"/>
        </w:rPr>
        <w:t xml:space="preserve">.  The second </w:t>
      </w:r>
      <w:proofErr w:type="spellStart"/>
      <w:r w:rsidR="00464065">
        <w:rPr>
          <w:rFonts w:ascii="Calibri" w:hAnsi="Calibri" w:cs="Calibri"/>
        </w:rPr>
        <w:t>hydrotreater</w:t>
      </w:r>
      <w:proofErr w:type="spellEnd"/>
      <w:r w:rsidR="00464065">
        <w:rPr>
          <w:rFonts w:ascii="Calibri" w:hAnsi="Calibri" w:cs="Calibri"/>
        </w:rPr>
        <w:t xml:space="preserve"> run was conducted with </w:t>
      </w:r>
      <w:proofErr w:type="spellStart"/>
      <w:r w:rsidR="00464065">
        <w:rPr>
          <w:rFonts w:ascii="Calibri" w:hAnsi="Calibri" w:cs="Calibri"/>
        </w:rPr>
        <w:t>biocrude</w:t>
      </w:r>
      <w:proofErr w:type="spellEnd"/>
      <w:r w:rsidR="00464065">
        <w:rPr>
          <w:rFonts w:ascii="Calibri" w:hAnsi="Calibri" w:cs="Calibri"/>
        </w:rPr>
        <w:t xml:space="preserve"> from HTL of grape pomace, a wet waste from regional wineries.  The third </w:t>
      </w:r>
      <w:proofErr w:type="spellStart"/>
      <w:r w:rsidR="00464065">
        <w:rPr>
          <w:rFonts w:ascii="Calibri" w:hAnsi="Calibri" w:cs="Calibri"/>
        </w:rPr>
        <w:t>hydrotreater</w:t>
      </w:r>
      <w:proofErr w:type="spellEnd"/>
      <w:r w:rsidR="00464065">
        <w:rPr>
          <w:rFonts w:ascii="Calibri" w:hAnsi="Calibri" w:cs="Calibri"/>
        </w:rPr>
        <w:t xml:space="preserve"> run was conducted with slurry comprised of oleaginous yeast that was grown on hydrolyzed corn </w:t>
      </w:r>
      <w:proofErr w:type="spellStart"/>
      <w:r w:rsidR="00464065">
        <w:rPr>
          <w:rFonts w:ascii="Calibri" w:hAnsi="Calibri" w:cs="Calibri"/>
        </w:rPr>
        <w:t>stover</w:t>
      </w:r>
      <w:proofErr w:type="spellEnd"/>
      <w:r w:rsidR="00464065">
        <w:rPr>
          <w:rFonts w:ascii="Calibri" w:hAnsi="Calibri" w:cs="Calibri"/>
        </w:rPr>
        <w:t xml:space="preserve"> feedstock (including the lignin fraction.  All HT runs were successful in generating a hydrocarbon product with good yield of distillate range fuels as demonstrated by simulated distillation</w:t>
      </w:r>
      <w:r w:rsidR="00A16BC3">
        <w:rPr>
          <w:rFonts w:ascii="Calibri" w:hAnsi="Calibri" w:cs="Calibri"/>
        </w:rPr>
        <w:t>.</w:t>
      </w:r>
      <w:r w:rsidR="00464065">
        <w:rPr>
          <w:rFonts w:ascii="Calibri" w:hAnsi="Calibri" w:cs="Calibri"/>
        </w:rPr>
        <w:t xml:space="preserve"> </w:t>
      </w:r>
      <w:r w:rsidR="00A16BC3">
        <w:rPr>
          <w:rFonts w:ascii="Calibri" w:hAnsi="Calibri" w:cs="Calibri"/>
        </w:rPr>
        <w:t xml:space="preserve"> </w:t>
      </w:r>
      <w:r w:rsidR="00464065">
        <w:rPr>
          <w:rFonts w:ascii="Calibri" w:hAnsi="Calibri" w:cs="Calibri"/>
        </w:rPr>
        <w:t>Figure 1</w:t>
      </w:r>
      <w:r w:rsidR="00A16BC3">
        <w:rPr>
          <w:rFonts w:ascii="Calibri" w:hAnsi="Calibri" w:cs="Calibri"/>
        </w:rPr>
        <w:t xml:space="preserve"> compares the results from the WWTP primary sludge and </w:t>
      </w:r>
      <w:proofErr w:type="spellStart"/>
      <w:r w:rsidR="00A16BC3">
        <w:rPr>
          <w:rFonts w:ascii="Calibri" w:hAnsi="Calibri" w:cs="Calibri"/>
        </w:rPr>
        <w:t>tetraselmis</w:t>
      </w:r>
      <w:proofErr w:type="spellEnd"/>
      <w:r w:rsidR="00A16BC3">
        <w:rPr>
          <w:rFonts w:ascii="Calibri" w:hAnsi="Calibri" w:cs="Calibri"/>
        </w:rPr>
        <w:t xml:space="preserve"> marine algae</w:t>
      </w:r>
      <w:r w:rsidRPr="00022E7A">
        <w:rPr>
          <w:rFonts w:ascii="Calibri" w:hAnsi="Calibri" w:cs="Calibri"/>
        </w:rPr>
        <w:t>.</w:t>
      </w:r>
      <w:r w:rsidR="00A16BC3">
        <w:rPr>
          <w:rFonts w:ascii="Calibri" w:hAnsi="Calibri" w:cs="Calibri"/>
        </w:rPr>
        <w:t xml:space="preserve">  The upgraded products from both feedstocks were very similar with respect to yield of distillate fuel, ~75%.</w:t>
      </w:r>
      <w:r w:rsidR="00464065">
        <w:rPr>
          <w:rFonts w:ascii="Calibri" w:hAnsi="Calibri" w:cs="Calibri"/>
        </w:rPr>
        <w:t xml:space="preserve">  </w:t>
      </w:r>
      <w:r w:rsidR="00CD0EAD">
        <w:rPr>
          <w:rFonts w:ascii="Calibri" w:hAnsi="Calibri" w:cs="Calibri"/>
        </w:rPr>
        <w:t xml:space="preserve">The simulated distillate curve for petroleum derived diesel is included for comparison to the upgraded </w:t>
      </w:r>
      <w:proofErr w:type="spellStart"/>
      <w:r w:rsidR="00CD0EAD">
        <w:rPr>
          <w:rFonts w:ascii="Calibri" w:hAnsi="Calibri" w:cs="Calibri"/>
        </w:rPr>
        <w:t>biocrude</w:t>
      </w:r>
      <w:proofErr w:type="spellEnd"/>
      <w:r w:rsidR="00CD0EAD">
        <w:rPr>
          <w:rFonts w:ascii="Calibri" w:hAnsi="Calibri" w:cs="Calibri"/>
        </w:rPr>
        <w:t xml:space="preserve"> samples.</w:t>
      </w:r>
    </w:p>
    <w:p w:rsidR="00022E7A" w:rsidRPr="00022E7A" w:rsidRDefault="00464065" w:rsidP="00022E7A">
      <w:pPr>
        <w:spacing w:before="240" w:after="60"/>
        <w:rPr>
          <w:rFonts w:ascii="Calibri" w:hAnsi="Calibri" w:cs="Calibri"/>
        </w:rPr>
      </w:pPr>
      <w:r>
        <w:rPr>
          <w:rFonts w:ascii="Calibri" w:hAnsi="Calibri" w:cs="Calibri"/>
        </w:rPr>
        <w:lastRenderedPageBreak/>
        <w:t xml:space="preserve">The normal paraffin contribution to the </w:t>
      </w:r>
      <w:r w:rsidR="00A16BC3">
        <w:rPr>
          <w:rFonts w:ascii="Calibri" w:hAnsi="Calibri" w:cs="Calibri"/>
        </w:rPr>
        <w:t>die</w:t>
      </w:r>
      <w:r>
        <w:rPr>
          <w:rFonts w:ascii="Calibri" w:hAnsi="Calibri" w:cs="Calibri"/>
        </w:rPr>
        <w:t>sel distillate range was surprising high for the upgraded WWTP sludge</w:t>
      </w:r>
      <w:r w:rsidR="001A381F">
        <w:rPr>
          <w:rFonts w:ascii="Calibri" w:hAnsi="Calibri" w:cs="Calibri"/>
        </w:rPr>
        <w:t xml:space="preserve"> </w:t>
      </w:r>
      <w:proofErr w:type="spellStart"/>
      <w:r>
        <w:rPr>
          <w:rFonts w:ascii="Calibri" w:hAnsi="Calibri" w:cs="Calibri"/>
        </w:rPr>
        <w:t>biocrude</w:t>
      </w:r>
      <w:proofErr w:type="spellEnd"/>
      <w:r w:rsidR="001A381F">
        <w:rPr>
          <w:rFonts w:ascii="Calibri" w:hAnsi="Calibri" w:cs="Calibri"/>
        </w:rPr>
        <w:t xml:space="preserve">. </w:t>
      </w:r>
      <w:r>
        <w:rPr>
          <w:rFonts w:ascii="Calibri" w:hAnsi="Calibri" w:cs="Calibri"/>
        </w:rPr>
        <w:t xml:space="preserve"> Figure 2</w:t>
      </w:r>
      <w:r w:rsidR="001A381F">
        <w:rPr>
          <w:rFonts w:ascii="Calibri" w:hAnsi="Calibri" w:cs="Calibri"/>
        </w:rPr>
        <w:t xml:space="preserve"> shows a comparison of the GC-FID chromatograms for upgraded WWTP primary sludge and </w:t>
      </w:r>
      <w:proofErr w:type="spellStart"/>
      <w:r w:rsidR="001A381F">
        <w:rPr>
          <w:rFonts w:ascii="Calibri" w:hAnsi="Calibri" w:cs="Calibri"/>
        </w:rPr>
        <w:t>tetraselmis</w:t>
      </w:r>
      <w:proofErr w:type="spellEnd"/>
      <w:r w:rsidR="001A381F">
        <w:rPr>
          <w:rFonts w:ascii="Calibri" w:hAnsi="Calibri" w:cs="Calibri"/>
        </w:rPr>
        <w:t xml:space="preserve"> derived </w:t>
      </w:r>
      <w:proofErr w:type="spellStart"/>
      <w:r w:rsidR="001A381F">
        <w:rPr>
          <w:rFonts w:ascii="Calibri" w:hAnsi="Calibri" w:cs="Calibri"/>
        </w:rPr>
        <w:t>biocrudes</w:t>
      </w:r>
      <w:proofErr w:type="spellEnd"/>
      <w:r>
        <w:rPr>
          <w:rFonts w:ascii="Calibri" w:hAnsi="Calibri" w:cs="Calibri"/>
        </w:rPr>
        <w:t>.</w:t>
      </w:r>
      <w:r w:rsidR="001A381F">
        <w:rPr>
          <w:rFonts w:ascii="Calibri" w:hAnsi="Calibri" w:cs="Calibri"/>
        </w:rPr>
        <w:t xml:space="preserve">  The yield of n-alkanes is similar with the upgraded WWTP sludge having </w:t>
      </w:r>
      <w:bookmarkStart w:id="0" w:name="_GoBack"/>
      <w:bookmarkEnd w:id="0"/>
      <w:r w:rsidR="001A381F">
        <w:rPr>
          <w:rFonts w:ascii="Calibri" w:hAnsi="Calibri" w:cs="Calibri"/>
        </w:rPr>
        <w:t>higher n-C18 content and a wider overall n-alkane distribution.</w:t>
      </w:r>
      <w:r>
        <w:rPr>
          <w:rFonts w:ascii="Calibri" w:hAnsi="Calibri" w:cs="Calibri"/>
        </w:rPr>
        <w:t xml:space="preserve">  The high lipid content of the </w:t>
      </w:r>
      <w:r w:rsidR="00A16BC3">
        <w:rPr>
          <w:rFonts w:ascii="Calibri" w:hAnsi="Calibri" w:cs="Calibri"/>
        </w:rPr>
        <w:t>WWTP primary sludge resulted in a distillate high in n-alkanes in the C-15 to C-18 range</w:t>
      </w:r>
      <w:r w:rsidR="00E644B0">
        <w:rPr>
          <w:rFonts w:ascii="Calibri" w:hAnsi="Calibri" w:cs="Calibri"/>
        </w:rPr>
        <w:t>.</w:t>
      </w:r>
      <w:r w:rsidR="001A381F">
        <w:rPr>
          <w:rFonts w:ascii="Calibri" w:hAnsi="Calibri" w:cs="Calibri"/>
        </w:rPr>
        <w:t xml:space="preserve">  A chromatogram for a QC diesel is included which shows the wide range of n-alkanes in petroleum derived fuel.</w:t>
      </w:r>
    </w:p>
    <w:p w:rsidR="00A16BC3" w:rsidRPr="00607FE7" w:rsidRDefault="00607FE7" w:rsidP="00D02B72">
      <w:pPr>
        <w:keepNext/>
        <w:spacing w:before="240" w:after="60"/>
        <w:outlineLvl w:val="0"/>
        <w:rPr>
          <w:rFonts w:ascii="Calibri" w:hAnsi="Calibri" w:cs="Calibri"/>
          <w:bCs/>
          <w:kern w:val="32"/>
          <w:sz w:val="28"/>
          <w:szCs w:val="28"/>
        </w:rPr>
      </w:pPr>
      <w:r>
        <w:rPr>
          <w:rFonts w:ascii="Calibri" w:hAnsi="Calibri" w:cs="Calibri"/>
          <w:bCs/>
          <w:noProof/>
          <w:kern w:val="32"/>
          <w:sz w:val="28"/>
          <w:szCs w:val="28"/>
        </w:rPr>
        <w:drawing>
          <wp:inline distT="0" distB="0" distL="0" distR="0" wp14:anchorId="35176617">
            <wp:extent cx="6267450" cy="50050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5005070"/>
                    </a:xfrm>
                    <a:prstGeom prst="rect">
                      <a:avLst/>
                    </a:prstGeom>
                    <a:noFill/>
                  </pic:spPr>
                </pic:pic>
              </a:graphicData>
            </a:graphic>
          </wp:inline>
        </w:drawing>
      </w:r>
    </w:p>
    <w:p w:rsidR="001A381F" w:rsidRDefault="001A381F" w:rsidP="00D02B72">
      <w:pPr>
        <w:keepNext/>
        <w:spacing w:before="240" w:after="60"/>
        <w:outlineLvl w:val="0"/>
        <w:rPr>
          <w:rFonts w:ascii="Calibri" w:hAnsi="Calibri" w:cs="Calibri"/>
          <w:bCs/>
          <w:kern w:val="32"/>
          <w:szCs w:val="28"/>
        </w:rPr>
      </w:pPr>
      <w:proofErr w:type="gramStart"/>
      <w:r w:rsidRPr="001A381F">
        <w:rPr>
          <w:rFonts w:ascii="Calibri" w:hAnsi="Calibri" w:cs="Calibri"/>
          <w:b/>
          <w:bCs/>
          <w:kern w:val="32"/>
          <w:szCs w:val="28"/>
        </w:rPr>
        <w:t>Figure 1.</w:t>
      </w:r>
      <w:proofErr w:type="gramEnd"/>
      <w:r w:rsidRPr="001A381F">
        <w:rPr>
          <w:rFonts w:ascii="Calibri" w:hAnsi="Calibri" w:cs="Calibri"/>
          <w:b/>
          <w:bCs/>
          <w:kern w:val="32"/>
          <w:szCs w:val="28"/>
        </w:rPr>
        <w:t xml:space="preserve">  </w:t>
      </w:r>
      <w:proofErr w:type="gramStart"/>
      <w:r>
        <w:rPr>
          <w:rFonts w:ascii="Calibri" w:hAnsi="Calibri" w:cs="Calibri"/>
          <w:bCs/>
          <w:kern w:val="32"/>
          <w:szCs w:val="28"/>
        </w:rPr>
        <w:t xml:space="preserve">A comparison of HTL and upgraded products from WWTP primary sludge and </w:t>
      </w:r>
      <w:proofErr w:type="spellStart"/>
      <w:r>
        <w:rPr>
          <w:rFonts w:ascii="Calibri" w:hAnsi="Calibri" w:cs="Calibri"/>
          <w:bCs/>
          <w:kern w:val="32"/>
          <w:szCs w:val="28"/>
        </w:rPr>
        <w:t>tetraselmis</w:t>
      </w:r>
      <w:proofErr w:type="spellEnd"/>
      <w:r>
        <w:rPr>
          <w:rFonts w:ascii="Calibri" w:hAnsi="Calibri" w:cs="Calibri"/>
          <w:bCs/>
          <w:kern w:val="32"/>
          <w:szCs w:val="28"/>
        </w:rPr>
        <w:t xml:space="preserve"> marine algae.</w:t>
      </w:r>
      <w:proofErr w:type="gramEnd"/>
      <w:r>
        <w:rPr>
          <w:rFonts w:ascii="Calibri" w:hAnsi="Calibri" w:cs="Calibri"/>
          <w:bCs/>
          <w:kern w:val="32"/>
          <w:szCs w:val="28"/>
        </w:rPr>
        <w:t xml:space="preserve">  The upgraded </w:t>
      </w:r>
      <w:proofErr w:type="spellStart"/>
      <w:r>
        <w:rPr>
          <w:rFonts w:ascii="Calibri" w:hAnsi="Calibri" w:cs="Calibri"/>
          <w:bCs/>
          <w:kern w:val="32"/>
          <w:szCs w:val="28"/>
        </w:rPr>
        <w:t>biocrude</w:t>
      </w:r>
      <w:proofErr w:type="spellEnd"/>
      <w:r>
        <w:rPr>
          <w:rFonts w:ascii="Calibri" w:hAnsi="Calibri" w:cs="Calibri"/>
          <w:bCs/>
          <w:kern w:val="32"/>
          <w:szCs w:val="28"/>
        </w:rPr>
        <w:t xml:space="preserve"> from both feedstocks has high yields of distillate range hydrocarbons.</w:t>
      </w:r>
      <w:r w:rsidR="00C01D62">
        <w:rPr>
          <w:rFonts w:ascii="Calibri" w:hAnsi="Calibri" w:cs="Calibri"/>
          <w:bCs/>
          <w:kern w:val="32"/>
          <w:szCs w:val="28"/>
        </w:rPr>
        <w:t xml:space="preserve">  The simulated distillation data for petroleum derived diesel is included for comparison.</w:t>
      </w:r>
    </w:p>
    <w:p w:rsidR="001A381F" w:rsidRDefault="001A381F">
      <w:pPr>
        <w:rPr>
          <w:rFonts w:ascii="Calibri" w:hAnsi="Calibri" w:cs="Calibri"/>
          <w:bCs/>
          <w:kern w:val="32"/>
          <w:szCs w:val="28"/>
        </w:rPr>
      </w:pPr>
      <w:r>
        <w:rPr>
          <w:rFonts w:ascii="Calibri" w:hAnsi="Calibri" w:cs="Calibri"/>
          <w:bCs/>
          <w:kern w:val="32"/>
          <w:szCs w:val="28"/>
        </w:rPr>
        <w:br w:type="page"/>
      </w:r>
    </w:p>
    <w:p w:rsidR="001A381F" w:rsidRPr="001A381F" w:rsidRDefault="001A381F" w:rsidP="00D02B72">
      <w:pPr>
        <w:keepNext/>
        <w:spacing w:before="240" w:after="60"/>
        <w:outlineLvl w:val="0"/>
        <w:rPr>
          <w:rFonts w:ascii="Calibri" w:hAnsi="Calibri" w:cs="Calibri"/>
          <w:bCs/>
          <w:kern w:val="32"/>
          <w:szCs w:val="28"/>
        </w:rPr>
      </w:pPr>
      <w:r>
        <w:rPr>
          <w:rFonts w:ascii="Calibri" w:hAnsi="Calibri" w:cs="Calibri"/>
          <w:bCs/>
          <w:noProof/>
          <w:kern w:val="32"/>
          <w:szCs w:val="28"/>
        </w:rPr>
        <w:lastRenderedPageBreak/>
        <w:drawing>
          <wp:inline distT="0" distB="0" distL="0" distR="0" wp14:anchorId="191F7590">
            <wp:extent cx="5499100" cy="45237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0" cy="4523740"/>
                    </a:xfrm>
                    <a:prstGeom prst="rect">
                      <a:avLst/>
                    </a:prstGeom>
                    <a:noFill/>
                  </pic:spPr>
                </pic:pic>
              </a:graphicData>
            </a:graphic>
          </wp:inline>
        </w:drawing>
      </w:r>
    </w:p>
    <w:p w:rsidR="00C01D62" w:rsidRDefault="001A381F" w:rsidP="00D02B72">
      <w:pPr>
        <w:keepNext/>
        <w:spacing w:before="240" w:after="60"/>
        <w:outlineLvl w:val="0"/>
        <w:rPr>
          <w:rFonts w:ascii="Calibri" w:hAnsi="Calibri" w:cs="Calibri"/>
        </w:rPr>
      </w:pPr>
      <w:proofErr w:type="gramStart"/>
      <w:r w:rsidRPr="001A381F">
        <w:rPr>
          <w:rFonts w:ascii="Calibri" w:hAnsi="Calibri" w:cs="Calibri"/>
          <w:b/>
          <w:bCs/>
          <w:kern w:val="32"/>
          <w:szCs w:val="28"/>
        </w:rPr>
        <w:t>Figure 2.</w:t>
      </w:r>
      <w:proofErr w:type="gramEnd"/>
      <w:r>
        <w:rPr>
          <w:rFonts w:ascii="Calibri" w:hAnsi="Calibri" w:cs="Calibri"/>
          <w:b/>
          <w:bCs/>
          <w:kern w:val="32"/>
          <w:szCs w:val="28"/>
        </w:rPr>
        <w:t xml:space="preserve">  </w:t>
      </w:r>
      <w:r w:rsidR="00C01D62">
        <w:rPr>
          <w:rFonts w:ascii="Calibri" w:hAnsi="Calibri" w:cs="Calibri"/>
          <w:bCs/>
          <w:kern w:val="32"/>
          <w:szCs w:val="28"/>
        </w:rPr>
        <w:t>A</w:t>
      </w:r>
      <w:r w:rsidR="00C01D62" w:rsidRPr="00C01D62">
        <w:rPr>
          <w:rFonts w:ascii="Calibri" w:hAnsi="Calibri" w:cs="Calibri"/>
        </w:rPr>
        <w:t xml:space="preserve"> </w:t>
      </w:r>
      <w:r w:rsidR="00C01D62">
        <w:rPr>
          <w:rFonts w:ascii="Calibri" w:hAnsi="Calibri" w:cs="Calibri"/>
        </w:rPr>
        <w:t xml:space="preserve">comparison of the GC-FID chromatograms for upgraded WWTP primary sludge and </w:t>
      </w:r>
      <w:proofErr w:type="spellStart"/>
      <w:r w:rsidR="00C01D62">
        <w:rPr>
          <w:rFonts w:ascii="Calibri" w:hAnsi="Calibri" w:cs="Calibri"/>
        </w:rPr>
        <w:t>tetraselmis</w:t>
      </w:r>
      <w:proofErr w:type="spellEnd"/>
      <w:r w:rsidR="00C01D62">
        <w:rPr>
          <w:rFonts w:ascii="Calibri" w:hAnsi="Calibri" w:cs="Calibri"/>
        </w:rPr>
        <w:t xml:space="preserve"> derived </w:t>
      </w:r>
      <w:proofErr w:type="spellStart"/>
      <w:r w:rsidR="00C01D62">
        <w:rPr>
          <w:rFonts w:ascii="Calibri" w:hAnsi="Calibri" w:cs="Calibri"/>
        </w:rPr>
        <w:t>biocrudes</w:t>
      </w:r>
      <w:proofErr w:type="spellEnd"/>
      <w:r w:rsidR="00C01D62">
        <w:rPr>
          <w:rFonts w:ascii="Calibri" w:hAnsi="Calibri" w:cs="Calibri"/>
        </w:rPr>
        <w:t>.  For reference, the chromatogram for petroleum diesel is included.</w:t>
      </w:r>
    </w:p>
    <w:p w:rsidR="00D02B72" w:rsidRPr="00233BC6" w:rsidRDefault="00D02B72" w:rsidP="00D02B72">
      <w:pPr>
        <w:keepNext/>
        <w:spacing w:before="240" w:after="60"/>
        <w:outlineLvl w:val="0"/>
        <w:rPr>
          <w:rFonts w:ascii="Calibri" w:hAnsi="Calibri" w:cs="Calibri"/>
          <w:b/>
          <w:bCs/>
          <w:kern w:val="32"/>
          <w:sz w:val="28"/>
          <w:szCs w:val="28"/>
        </w:rPr>
      </w:pPr>
      <w:r w:rsidRPr="00233BC6">
        <w:rPr>
          <w:rFonts w:ascii="Calibri" w:hAnsi="Calibri" w:cs="Calibri"/>
          <w:b/>
          <w:bCs/>
          <w:kern w:val="32"/>
          <w:sz w:val="28"/>
          <w:szCs w:val="28"/>
        </w:rPr>
        <w:t>Conclusions and Future Work</w:t>
      </w:r>
    </w:p>
    <w:p w:rsidR="00D02B72" w:rsidRDefault="00D02B72" w:rsidP="00D02B72">
      <w:r w:rsidRPr="00E644B0">
        <w:rPr>
          <w:b/>
        </w:rPr>
        <w:t xml:space="preserve">Conclusions:  </w:t>
      </w:r>
      <w:r w:rsidR="00E644B0">
        <w:t xml:space="preserve">Wet wastes provide an ideal feedstock for HTL processing to produce a </w:t>
      </w:r>
      <w:proofErr w:type="spellStart"/>
      <w:r w:rsidR="00E644B0">
        <w:t>biocrude</w:t>
      </w:r>
      <w:proofErr w:type="spellEnd"/>
      <w:r w:rsidR="00E644B0">
        <w:t xml:space="preserve"> product.  The </w:t>
      </w:r>
      <w:proofErr w:type="spellStart"/>
      <w:r w:rsidR="00E644B0">
        <w:t>biocrude</w:t>
      </w:r>
      <w:proofErr w:type="spellEnd"/>
      <w:r w:rsidR="00E644B0">
        <w:t xml:space="preserve"> can be easily upgraded to a hydrocarbon product with high yield to the distillate range.  The upgraded product from WWTP </w:t>
      </w:r>
      <w:proofErr w:type="spellStart"/>
      <w:r w:rsidR="00E644B0">
        <w:t>sludges</w:t>
      </w:r>
      <w:proofErr w:type="spellEnd"/>
      <w:r w:rsidR="00E644B0">
        <w:t xml:space="preserve"> and grape pomace waste had surprising high paraffin yield in the diesel distillate range which results in higher </w:t>
      </w:r>
      <w:proofErr w:type="spellStart"/>
      <w:r w:rsidR="00E644B0">
        <w:t>cetane</w:t>
      </w:r>
      <w:proofErr w:type="spellEnd"/>
      <w:r w:rsidR="00E644B0">
        <w:t xml:space="preserve"> value fuels than the usual lignocellulosic feedstocks.</w:t>
      </w:r>
    </w:p>
    <w:p w:rsidR="00E644B0" w:rsidRPr="00E644B0" w:rsidRDefault="00E644B0" w:rsidP="00D02B72"/>
    <w:p w:rsidR="00D02B72" w:rsidRPr="00E644B0" w:rsidRDefault="00D02B72" w:rsidP="00D02B72">
      <w:r w:rsidRPr="00E644B0">
        <w:rPr>
          <w:b/>
        </w:rPr>
        <w:t>Future work:</w:t>
      </w:r>
      <w:r w:rsidR="00E644B0">
        <w:rPr>
          <w:b/>
        </w:rPr>
        <w:t xml:space="preserve">  </w:t>
      </w:r>
      <w:r w:rsidR="00E644B0">
        <w:t>PNNL will continue examining new waste feedstocks for HTL processing.  With the goal of longer time on stream runs and production of larger quantities of fuel for property and engine testing, large quantities of feedstock will be required.  PNNL will continue to work with industry and other national laboratories to acquire feedstocks for future testing.</w:t>
      </w:r>
    </w:p>
    <w:p w:rsidR="00E644B0" w:rsidRDefault="00E644B0">
      <w:pPr>
        <w:rPr>
          <w:rFonts w:ascii="Calibri" w:hAnsi="Calibri" w:cs="Calibri"/>
          <w:b/>
          <w:bCs/>
          <w:kern w:val="32"/>
          <w:sz w:val="28"/>
          <w:szCs w:val="32"/>
        </w:rPr>
      </w:pPr>
    </w:p>
    <w:p w:rsidR="00E644B0" w:rsidRDefault="00E644B0" w:rsidP="00E644B0">
      <w:pPr>
        <w:keepNext/>
        <w:spacing w:before="240" w:after="60"/>
        <w:outlineLvl w:val="0"/>
        <w:rPr>
          <w:rFonts w:ascii="Calibri" w:hAnsi="Calibri" w:cs="Calibri"/>
          <w:b/>
          <w:bCs/>
          <w:kern w:val="32"/>
          <w:sz w:val="28"/>
          <w:szCs w:val="28"/>
        </w:rPr>
      </w:pPr>
      <w:r>
        <w:rPr>
          <w:rFonts w:ascii="Calibri" w:hAnsi="Calibri" w:cs="Calibri"/>
          <w:b/>
          <w:bCs/>
          <w:kern w:val="32"/>
          <w:sz w:val="28"/>
          <w:szCs w:val="28"/>
        </w:rPr>
        <w:lastRenderedPageBreak/>
        <w:t>Publications and Presentations</w:t>
      </w:r>
    </w:p>
    <w:p w:rsidR="00E644B0" w:rsidRDefault="00E644B0" w:rsidP="00474C81">
      <w:pPr>
        <w:keepNext/>
        <w:spacing w:before="240" w:after="60"/>
        <w:outlineLvl w:val="0"/>
        <w:rPr>
          <w:rFonts w:ascii="Calibri" w:hAnsi="Calibri" w:cs="Calibri"/>
          <w:bCs/>
          <w:kern w:val="32"/>
          <w:szCs w:val="28"/>
        </w:rPr>
      </w:pPr>
      <w:r>
        <w:rPr>
          <w:rFonts w:ascii="Calibri" w:hAnsi="Calibri" w:cs="Calibri"/>
          <w:bCs/>
          <w:kern w:val="32"/>
          <w:szCs w:val="28"/>
        </w:rPr>
        <w:t>A manuscrip</w:t>
      </w:r>
      <w:r w:rsidR="00474C81">
        <w:rPr>
          <w:rFonts w:ascii="Calibri" w:hAnsi="Calibri" w:cs="Calibri"/>
          <w:bCs/>
          <w:kern w:val="32"/>
          <w:szCs w:val="28"/>
        </w:rPr>
        <w:t xml:space="preserve">t was prepared and submitted to </w:t>
      </w:r>
      <w:r w:rsidR="00474C81" w:rsidRPr="00474C81">
        <w:rPr>
          <w:rFonts w:ascii="Calibri" w:hAnsi="Calibri" w:cs="Calibri"/>
          <w:bCs/>
          <w:kern w:val="32"/>
          <w:szCs w:val="28"/>
        </w:rPr>
        <w:t>ACS Sustainable Chemistry &amp; Engineering</w:t>
      </w:r>
      <w:r w:rsidR="00474C81">
        <w:rPr>
          <w:rFonts w:ascii="Calibri" w:hAnsi="Calibri" w:cs="Calibri"/>
          <w:bCs/>
          <w:kern w:val="32"/>
          <w:szCs w:val="28"/>
        </w:rPr>
        <w:t xml:space="preserve"> for publication, “</w:t>
      </w:r>
      <w:r w:rsidR="00474C81" w:rsidRPr="00474C81">
        <w:rPr>
          <w:rFonts w:ascii="Calibri" w:hAnsi="Calibri" w:cs="Calibri"/>
          <w:bCs/>
          <w:kern w:val="32"/>
          <w:szCs w:val="28"/>
        </w:rPr>
        <w:t>Hydrothermal Processing of Grape Pomace Feedsto</w:t>
      </w:r>
      <w:r w:rsidR="00474C81">
        <w:rPr>
          <w:rFonts w:ascii="Calibri" w:hAnsi="Calibri" w:cs="Calibri"/>
          <w:bCs/>
          <w:kern w:val="32"/>
          <w:szCs w:val="28"/>
        </w:rPr>
        <w:t xml:space="preserve">cks in Continuous-Flow Reactors,” </w:t>
      </w:r>
      <w:r w:rsidR="00474C81" w:rsidRPr="00474C81">
        <w:rPr>
          <w:rFonts w:ascii="Calibri" w:hAnsi="Calibri" w:cs="Calibri"/>
          <w:bCs/>
          <w:kern w:val="32"/>
          <w:szCs w:val="28"/>
        </w:rPr>
        <w:t xml:space="preserve">Douglas C. Elliott, Andrew J. Schmidt, Todd R. Hart, </w:t>
      </w:r>
      <w:r w:rsidR="00474C81">
        <w:rPr>
          <w:rFonts w:ascii="Calibri" w:hAnsi="Calibri" w:cs="Calibri"/>
          <w:bCs/>
          <w:kern w:val="32"/>
          <w:szCs w:val="28"/>
        </w:rPr>
        <w:t xml:space="preserve">and </w:t>
      </w:r>
      <w:r w:rsidR="00474C81" w:rsidRPr="00474C81">
        <w:rPr>
          <w:rFonts w:ascii="Calibri" w:hAnsi="Calibri" w:cs="Calibri"/>
          <w:bCs/>
          <w:kern w:val="32"/>
          <w:szCs w:val="28"/>
        </w:rPr>
        <w:t>Justin M. Billing</w:t>
      </w:r>
    </w:p>
    <w:p w:rsidR="00474C81" w:rsidRPr="00E644B0" w:rsidRDefault="00474C81" w:rsidP="00474C81">
      <w:pPr>
        <w:keepNext/>
        <w:spacing w:before="240" w:after="60"/>
        <w:outlineLvl w:val="0"/>
        <w:rPr>
          <w:rFonts w:ascii="Calibri" w:hAnsi="Calibri" w:cs="Calibri"/>
          <w:bCs/>
          <w:kern w:val="32"/>
          <w:szCs w:val="28"/>
        </w:rPr>
      </w:pPr>
      <w:r>
        <w:rPr>
          <w:rFonts w:ascii="Calibri" w:hAnsi="Calibri" w:cs="Calibri"/>
          <w:bCs/>
          <w:kern w:val="32"/>
          <w:szCs w:val="28"/>
        </w:rPr>
        <w:t xml:space="preserve">A paper summarizing the HTL of the WWTP </w:t>
      </w:r>
      <w:proofErr w:type="spellStart"/>
      <w:r>
        <w:rPr>
          <w:rFonts w:ascii="Calibri" w:hAnsi="Calibri" w:cs="Calibri"/>
          <w:bCs/>
          <w:kern w:val="32"/>
          <w:szCs w:val="28"/>
        </w:rPr>
        <w:t>sludges</w:t>
      </w:r>
      <w:proofErr w:type="spellEnd"/>
      <w:r>
        <w:rPr>
          <w:rFonts w:ascii="Calibri" w:hAnsi="Calibri" w:cs="Calibri"/>
          <w:bCs/>
          <w:kern w:val="32"/>
          <w:szCs w:val="28"/>
        </w:rPr>
        <w:t xml:space="preserve"> was presented at tcbiomass2015, “</w:t>
      </w:r>
      <w:r w:rsidRPr="00474C81">
        <w:rPr>
          <w:rFonts w:ascii="Calibri" w:hAnsi="Calibri" w:cs="Calibri"/>
          <w:bCs/>
          <w:kern w:val="32"/>
          <w:szCs w:val="28"/>
        </w:rPr>
        <w:t>Continuous Flow Hydrothermal Liquefaction of Biomass Feedstock</w:t>
      </w:r>
      <w:r>
        <w:rPr>
          <w:rFonts w:ascii="Calibri" w:hAnsi="Calibri" w:cs="Calibri"/>
          <w:bCs/>
          <w:kern w:val="32"/>
          <w:szCs w:val="28"/>
        </w:rPr>
        <w:t xml:space="preserve">,” </w:t>
      </w:r>
      <w:r w:rsidRPr="00474C81">
        <w:rPr>
          <w:rFonts w:ascii="Calibri" w:hAnsi="Calibri" w:cs="Calibri"/>
          <w:b/>
          <w:bCs/>
          <w:kern w:val="32"/>
          <w:szCs w:val="28"/>
        </w:rPr>
        <w:t>Justin Billing</w:t>
      </w:r>
      <w:r w:rsidRPr="00474C81">
        <w:rPr>
          <w:rFonts w:ascii="Calibri" w:hAnsi="Calibri" w:cs="Calibri"/>
          <w:bCs/>
          <w:kern w:val="32"/>
          <w:szCs w:val="28"/>
        </w:rPr>
        <w:t xml:space="preserve">, Andy Schmidt, Todd Hart, Gary Maupin, Karl Albrecht, Huamin Wang, Dan Anderson, Rich Hallen, </w:t>
      </w:r>
      <w:r>
        <w:rPr>
          <w:rFonts w:ascii="Calibri" w:hAnsi="Calibri" w:cs="Calibri"/>
          <w:bCs/>
          <w:kern w:val="32"/>
          <w:szCs w:val="28"/>
        </w:rPr>
        <w:t xml:space="preserve">and </w:t>
      </w:r>
      <w:r w:rsidRPr="00474C81">
        <w:rPr>
          <w:rFonts w:ascii="Calibri" w:hAnsi="Calibri" w:cs="Calibri"/>
          <w:bCs/>
          <w:kern w:val="32"/>
          <w:szCs w:val="28"/>
        </w:rPr>
        <w:t>Doug Elliott</w:t>
      </w:r>
      <w:r>
        <w:rPr>
          <w:rFonts w:ascii="Calibri" w:hAnsi="Calibri" w:cs="Calibri"/>
          <w:bCs/>
          <w:kern w:val="32"/>
          <w:szCs w:val="28"/>
        </w:rPr>
        <w:t xml:space="preserve">. November 4, 2015.  </w:t>
      </w:r>
      <w:proofErr w:type="gramStart"/>
      <w:r>
        <w:rPr>
          <w:rFonts w:ascii="Calibri" w:hAnsi="Calibri" w:cs="Calibri"/>
          <w:bCs/>
          <w:kern w:val="32"/>
          <w:szCs w:val="28"/>
        </w:rPr>
        <w:t>PNNL-SA-109490.</w:t>
      </w:r>
      <w:proofErr w:type="gramEnd"/>
    </w:p>
    <w:p w:rsidR="00D02B72" w:rsidRPr="00A067A8" w:rsidRDefault="00A067A8" w:rsidP="00474C81">
      <w:pPr>
        <w:rPr>
          <w:rFonts w:ascii="Calibri" w:hAnsi="Calibri" w:cs="Calibri"/>
          <w:b/>
          <w:bCs/>
          <w:kern w:val="32"/>
          <w:sz w:val="36"/>
          <w:szCs w:val="32"/>
        </w:rPr>
      </w:pPr>
      <w:r>
        <w:rPr>
          <w:rFonts w:ascii="Calibri" w:hAnsi="Calibri" w:cs="Calibri"/>
          <w:b/>
          <w:bCs/>
          <w:kern w:val="32"/>
          <w:sz w:val="28"/>
          <w:szCs w:val="32"/>
        </w:rPr>
        <w:br w:type="page"/>
      </w:r>
      <w:r w:rsidRPr="00A067A8">
        <w:rPr>
          <w:rFonts w:ascii="Calibri" w:hAnsi="Calibri" w:cs="Calibri"/>
          <w:b/>
          <w:bCs/>
          <w:kern w:val="32"/>
          <w:sz w:val="36"/>
          <w:szCs w:val="32"/>
        </w:rPr>
        <w:lastRenderedPageBreak/>
        <w:t>APPENDIX A</w:t>
      </w:r>
    </w:p>
    <w:p w:rsidR="00A067A8" w:rsidRDefault="00A067A8" w:rsidP="00A067A8">
      <w:pPr>
        <w:keepNext/>
        <w:spacing w:before="360" w:after="60"/>
        <w:jc w:val="center"/>
        <w:outlineLvl w:val="0"/>
        <w:rPr>
          <w:rFonts w:ascii="Calibri" w:hAnsi="Calibri" w:cs="Calibri"/>
          <w:b/>
          <w:bCs/>
          <w:kern w:val="32"/>
          <w:sz w:val="28"/>
          <w:szCs w:val="32"/>
        </w:rPr>
      </w:pPr>
    </w:p>
    <w:p w:rsidR="00A067A8" w:rsidRPr="002E0187" w:rsidRDefault="002E0187" w:rsidP="00A067A8">
      <w:pPr>
        <w:rPr>
          <w:rFonts w:ascii="Arial" w:hAnsi="Arial" w:cs="Arial"/>
          <w:b/>
          <w:i/>
          <w:sz w:val="28"/>
          <w:szCs w:val="22"/>
        </w:rPr>
      </w:pPr>
      <w:r>
        <w:rPr>
          <w:rFonts w:ascii="Arial" w:hAnsi="Arial" w:cs="Arial"/>
          <w:b/>
          <w:i/>
          <w:sz w:val="28"/>
          <w:szCs w:val="22"/>
        </w:rPr>
        <w:t>Milestone</w:t>
      </w:r>
    </w:p>
    <w:p w:rsidR="00A067A8" w:rsidRPr="00B96909" w:rsidRDefault="00A067A8" w:rsidP="00A067A8">
      <w:pPr>
        <w:rPr>
          <w:rFonts w:cs="Arial"/>
          <w:b/>
          <w:szCs w:val="22"/>
        </w:rPr>
      </w:pPr>
    </w:p>
    <w:p w:rsidR="00A067A8" w:rsidRPr="00B96909" w:rsidRDefault="00A067A8" w:rsidP="00A067A8">
      <w:pPr>
        <w:jc w:val="both"/>
        <w:rPr>
          <w:rFonts w:cs="Arial"/>
          <w:szCs w:val="22"/>
        </w:rPr>
      </w:pPr>
      <w:r w:rsidRPr="00B96909">
        <w:rPr>
          <w:rFonts w:cs="Arial"/>
          <w:szCs w:val="22"/>
        </w:rPr>
        <w:t>“Brief BETO on outcomes of Wet Waste TEA and strategy for focused testing to address areas of highest technical risk and economic uncertainty and validate SOT assumptions.”</w:t>
      </w:r>
    </w:p>
    <w:p w:rsidR="00A067A8" w:rsidRPr="00B96909" w:rsidRDefault="00A067A8" w:rsidP="00A067A8">
      <w:pPr>
        <w:jc w:val="both"/>
        <w:rPr>
          <w:rFonts w:cs="Arial"/>
          <w:szCs w:val="22"/>
        </w:rPr>
      </w:pPr>
    </w:p>
    <w:p w:rsidR="00A067A8" w:rsidRPr="002E0187" w:rsidRDefault="00A067A8" w:rsidP="00A067A8">
      <w:pPr>
        <w:jc w:val="both"/>
        <w:rPr>
          <w:rFonts w:ascii="Arial" w:hAnsi="Arial" w:cs="Arial"/>
          <w:b/>
          <w:i/>
          <w:sz w:val="28"/>
          <w:szCs w:val="22"/>
        </w:rPr>
      </w:pPr>
      <w:r w:rsidRPr="002E0187">
        <w:rPr>
          <w:rFonts w:ascii="Arial" w:hAnsi="Arial" w:cs="Arial"/>
          <w:b/>
          <w:i/>
          <w:sz w:val="28"/>
          <w:szCs w:val="22"/>
        </w:rPr>
        <w:t>Milestone A</w:t>
      </w:r>
      <w:r w:rsidR="002E0187">
        <w:rPr>
          <w:rFonts w:ascii="Arial" w:hAnsi="Arial" w:cs="Arial"/>
          <w:b/>
          <w:i/>
          <w:sz w:val="28"/>
          <w:szCs w:val="22"/>
        </w:rPr>
        <w:t>ccomplishment</w:t>
      </w:r>
    </w:p>
    <w:p w:rsidR="00A067A8" w:rsidRPr="00B96909" w:rsidRDefault="00A067A8" w:rsidP="00A067A8">
      <w:pPr>
        <w:jc w:val="both"/>
        <w:rPr>
          <w:rFonts w:cs="Arial"/>
          <w:b/>
          <w:szCs w:val="22"/>
        </w:rPr>
      </w:pPr>
    </w:p>
    <w:p w:rsidR="00A067A8" w:rsidRDefault="00A067A8" w:rsidP="00A067A8">
      <w:pPr>
        <w:rPr>
          <w:rFonts w:cs="Arial"/>
          <w:szCs w:val="22"/>
        </w:rPr>
      </w:pPr>
      <w:r w:rsidRPr="00B96909">
        <w:rPr>
          <w:rFonts w:cs="Arial"/>
          <w:szCs w:val="22"/>
        </w:rPr>
        <w:t>A</w:t>
      </w:r>
      <w:r>
        <w:rPr>
          <w:rFonts w:cs="Arial"/>
          <w:szCs w:val="22"/>
        </w:rPr>
        <w:t>n</w:t>
      </w:r>
      <w:r w:rsidRPr="00B96909">
        <w:rPr>
          <w:rFonts w:cs="Arial"/>
          <w:szCs w:val="22"/>
        </w:rPr>
        <w:t xml:space="preserve"> </w:t>
      </w:r>
      <w:r>
        <w:rPr>
          <w:rFonts w:cs="Arial"/>
          <w:szCs w:val="22"/>
        </w:rPr>
        <w:t>initial</w:t>
      </w:r>
      <w:r w:rsidRPr="00B96909">
        <w:rPr>
          <w:rFonts w:cs="Arial"/>
          <w:szCs w:val="22"/>
        </w:rPr>
        <w:t xml:space="preserve"> process model</w:t>
      </w:r>
      <w:r>
        <w:rPr>
          <w:rFonts w:cs="Arial"/>
          <w:szCs w:val="22"/>
        </w:rPr>
        <w:t xml:space="preserve"> and techno-economic assessment</w:t>
      </w:r>
      <w:r w:rsidR="004B1A51">
        <w:rPr>
          <w:rFonts w:cs="Arial"/>
          <w:szCs w:val="22"/>
        </w:rPr>
        <w:t xml:space="preserve"> (TEA)</w:t>
      </w:r>
      <w:r>
        <w:rPr>
          <w:rFonts w:cs="Arial"/>
          <w:szCs w:val="22"/>
        </w:rPr>
        <w:t xml:space="preserve"> was</w:t>
      </w:r>
      <w:r w:rsidRPr="00B96909">
        <w:rPr>
          <w:rFonts w:cs="Arial"/>
          <w:szCs w:val="22"/>
        </w:rPr>
        <w:t xml:space="preserve"> completed for </w:t>
      </w:r>
      <w:r w:rsidR="004B1A51">
        <w:rPr>
          <w:rFonts w:cs="Arial"/>
          <w:szCs w:val="22"/>
        </w:rPr>
        <w:t xml:space="preserve">the hydrothermal liquefaction (HTL) of a wet waste feedstock.  Specifically, the process model and TEA </w:t>
      </w:r>
      <w:r w:rsidR="004B1A51">
        <w:rPr>
          <w:rFonts w:cs="Arial"/>
          <w:szCs w:val="22"/>
        </w:rPr>
        <w:t xml:space="preserve">for </w:t>
      </w:r>
      <w:r w:rsidR="004B1A51" w:rsidRPr="00B96909">
        <w:rPr>
          <w:rFonts w:cs="Arial"/>
          <w:szCs w:val="22"/>
        </w:rPr>
        <w:t>fuel produc</w:t>
      </w:r>
      <w:r w:rsidR="004B1A51">
        <w:rPr>
          <w:rFonts w:cs="Arial"/>
          <w:szCs w:val="22"/>
        </w:rPr>
        <w:t>tion</w:t>
      </w:r>
      <w:r w:rsidR="004B1A51" w:rsidRPr="00B96909">
        <w:rPr>
          <w:rFonts w:cs="Arial"/>
          <w:szCs w:val="22"/>
        </w:rPr>
        <w:t xml:space="preserve"> </w:t>
      </w:r>
      <w:r w:rsidR="004B1A51">
        <w:rPr>
          <w:rFonts w:cs="Arial"/>
          <w:szCs w:val="22"/>
        </w:rPr>
        <w:t xml:space="preserve">were developed </w:t>
      </w:r>
      <w:r w:rsidRPr="00B96909">
        <w:rPr>
          <w:rFonts w:cs="Arial"/>
          <w:szCs w:val="22"/>
        </w:rPr>
        <w:t xml:space="preserve">from hydrothermal liquefaction and upgrading </w:t>
      </w:r>
      <w:r w:rsidR="004B1A51">
        <w:rPr>
          <w:rFonts w:cs="Arial"/>
          <w:szCs w:val="22"/>
        </w:rPr>
        <w:t xml:space="preserve">data from the processing </w:t>
      </w:r>
      <w:r w:rsidRPr="00B96909">
        <w:rPr>
          <w:rFonts w:cs="Arial"/>
          <w:szCs w:val="22"/>
        </w:rPr>
        <w:t xml:space="preserve">of sludge waste from a municipal wastewater treatment plant (WWTP).  The model is adapted from previous work by Jones </w:t>
      </w:r>
      <w:r w:rsidRPr="00F20BAA">
        <w:rPr>
          <w:rFonts w:cs="Arial"/>
          <w:i/>
          <w:szCs w:val="22"/>
        </w:rPr>
        <w:t>et al</w:t>
      </w:r>
      <w:r w:rsidRPr="00B96909">
        <w:rPr>
          <w:rFonts w:cs="Arial"/>
          <w:szCs w:val="22"/>
        </w:rPr>
        <w:t xml:space="preserve"> (2014) for </w:t>
      </w:r>
      <w:r w:rsidR="004B1A51">
        <w:rPr>
          <w:rFonts w:cs="Arial"/>
          <w:szCs w:val="22"/>
        </w:rPr>
        <w:t xml:space="preserve">the </w:t>
      </w:r>
      <w:r w:rsidRPr="00B96909">
        <w:rPr>
          <w:rFonts w:cs="Arial"/>
          <w:szCs w:val="22"/>
        </w:rPr>
        <w:t>HTL</w:t>
      </w:r>
      <w:r w:rsidR="004B1A51">
        <w:rPr>
          <w:rFonts w:cs="Arial"/>
          <w:szCs w:val="22"/>
        </w:rPr>
        <w:t xml:space="preserve"> and upgrading of algal feedstock.  The HTL </w:t>
      </w:r>
      <w:r w:rsidRPr="00B96909">
        <w:rPr>
          <w:rFonts w:cs="Arial"/>
          <w:szCs w:val="22"/>
        </w:rPr>
        <w:t xml:space="preserve">experimental </w:t>
      </w:r>
      <w:r w:rsidR="004B1A51">
        <w:rPr>
          <w:rFonts w:cs="Arial"/>
          <w:szCs w:val="22"/>
        </w:rPr>
        <w:t xml:space="preserve">plan was developed in collaboration with the Water Environmental Research Foundation (WERF) </w:t>
      </w:r>
      <w:r w:rsidR="000178D0">
        <w:rPr>
          <w:rFonts w:cs="Arial"/>
          <w:szCs w:val="22"/>
        </w:rPr>
        <w:t xml:space="preserve">The </w:t>
      </w:r>
      <w:r w:rsidRPr="00B96909">
        <w:rPr>
          <w:rFonts w:cs="Arial"/>
          <w:szCs w:val="22"/>
        </w:rPr>
        <w:t xml:space="preserve">data </w:t>
      </w:r>
      <w:r w:rsidR="000178D0">
        <w:rPr>
          <w:rFonts w:cs="Arial"/>
          <w:szCs w:val="22"/>
        </w:rPr>
        <w:t xml:space="preserve">used for the TEA </w:t>
      </w:r>
      <w:r w:rsidR="004B1A51">
        <w:rPr>
          <w:rFonts w:cs="Arial"/>
          <w:szCs w:val="22"/>
        </w:rPr>
        <w:t xml:space="preserve">was </w:t>
      </w:r>
      <w:r w:rsidRPr="00B96909">
        <w:rPr>
          <w:rFonts w:cs="Arial"/>
          <w:szCs w:val="22"/>
        </w:rPr>
        <w:t xml:space="preserve">generated in FY2015 </w:t>
      </w:r>
      <w:r w:rsidR="004B1A51">
        <w:rPr>
          <w:rFonts w:cs="Arial"/>
          <w:szCs w:val="22"/>
        </w:rPr>
        <w:t>utilizing the</w:t>
      </w:r>
      <w:r w:rsidRPr="00B96909">
        <w:rPr>
          <w:rFonts w:cs="Arial"/>
          <w:szCs w:val="22"/>
        </w:rPr>
        <w:t xml:space="preserve"> </w:t>
      </w:r>
      <w:r>
        <w:rPr>
          <w:rFonts w:cs="Arial"/>
          <w:szCs w:val="22"/>
        </w:rPr>
        <w:t xml:space="preserve">bench-scale </w:t>
      </w:r>
      <w:r w:rsidRPr="00B96909">
        <w:rPr>
          <w:rFonts w:cs="Arial"/>
          <w:szCs w:val="22"/>
        </w:rPr>
        <w:t xml:space="preserve">HTL </w:t>
      </w:r>
      <w:r w:rsidR="004B1A51">
        <w:rPr>
          <w:rFonts w:cs="Arial"/>
          <w:szCs w:val="22"/>
        </w:rPr>
        <w:t>system</w:t>
      </w:r>
      <w:r>
        <w:rPr>
          <w:rFonts w:cs="Arial"/>
          <w:szCs w:val="22"/>
        </w:rPr>
        <w:t xml:space="preserve"> </w:t>
      </w:r>
      <w:r w:rsidRPr="00B96909">
        <w:rPr>
          <w:rFonts w:cs="Arial"/>
          <w:szCs w:val="22"/>
        </w:rPr>
        <w:t xml:space="preserve">of sludge waste streams received from the </w:t>
      </w:r>
      <w:proofErr w:type="spellStart"/>
      <w:r w:rsidRPr="00B96909">
        <w:rPr>
          <w:rFonts w:cs="Arial"/>
          <w:szCs w:val="22"/>
        </w:rPr>
        <w:t>Annacis</w:t>
      </w:r>
      <w:proofErr w:type="spellEnd"/>
      <w:r w:rsidRPr="00B96909">
        <w:rPr>
          <w:rFonts w:cs="Arial"/>
          <w:szCs w:val="22"/>
        </w:rPr>
        <w:t xml:space="preserve"> Island WWTP in Vancouver, B.C.  </w:t>
      </w:r>
    </w:p>
    <w:p w:rsidR="00A067A8" w:rsidRDefault="00A067A8" w:rsidP="00A067A8">
      <w:pPr>
        <w:rPr>
          <w:rFonts w:cs="Arial"/>
          <w:szCs w:val="22"/>
        </w:rPr>
      </w:pPr>
    </w:p>
    <w:p w:rsidR="00A067A8" w:rsidRPr="002E0187" w:rsidRDefault="00A067A8" w:rsidP="00A067A8">
      <w:pPr>
        <w:jc w:val="both"/>
        <w:rPr>
          <w:rFonts w:ascii="Arial" w:hAnsi="Arial" w:cs="Arial"/>
          <w:b/>
          <w:i/>
          <w:sz w:val="28"/>
          <w:szCs w:val="22"/>
        </w:rPr>
      </w:pPr>
      <w:r w:rsidRPr="002E0187">
        <w:rPr>
          <w:rFonts w:ascii="Arial" w:hAnsi="Arial" w:cs="Arial"/>
          <w:b/>
          <w:i/>
          <w:sz w:val="28"/>
          <w:szCs w:val="22"/>
        </w:rPr>
        <w:t>Future Work</w:t>
      </w:r>
    </w:p>
    <w:p w:rsidR="00A067A8" w:rsidRDefault="00A067A8" w:rsidP="00A067A8">
      <w:pPr>
        <w:rPr>
          <w:rFonts w:cs="Arial"/>
          <w:szCs w:val="22"/>
        </w:rPr>
      </w:pPr>
    </w:p>
    <w:p w:rsidR="00A067A8" w:rsidRPr="00C24CDF" w:rsidRDefault="00A067A8" w:rsidP="00A067A8">
      <w:r>
        <w:rPr>
          <w:rFonts w:cs="Arial"/>
          <w:szCs w:val="22"/>
        </w:rPr>
        <w:t>This TEA is based on limited HTL testing of wastewater sludge from a single</w:t>
      </w:r>
      <w:r w:rsidR="000178D0">
        <w:rPr>
          <w:rFonts w:cs="Arial"/>
          <w:szCs w:val="22"/>
        </w:rPr>
        <w:t xml:space="preserve"> feedstock</w:t>
      </w:r>
      <w:r>
        <w:rPr>
          <w:rFonts w:cs="Arial"/>
          <w:szCs w:val="22"/>
        </w:rPr>
        <w:t xml:space="preserve"> source </w:t>
      </w:r>
      <w:r w:rsidR="000178D0">
        <w:rPr>
          <w:rFonts w:cs="Arial"/>
          <w:szCs w:val="22"/>
        </w:rPr>
        <w:t xml:space="preserve">and utilizing </w:t>
      </w:r>
      <w:r>
        <w:rPr>
          <w:rFonts w:cs="Arial"/>
          <w:szCs w:val="22"/>
        </w:rPr>
        <w:t>conservati</w:t>
      </w:r>
      <w:r w:rsidR="000178D0">
        <w:rPr>
          <w:rFonts w:cs="Arial"/>
          <w:szCs w:val="22"/>
        </w:rPr>
        <w:t>ve</w:t>
      </w:r>
      <w:r>
        <w:rPr>
          <w:rFonts w:cs="Arial"/>
          <w:szCs w:val="22"/>
        </w:rPr>
        <w:t xml:space="preserve"> </w:t>
      </w:r>
      <w:r w:rsidR="000178D0">
        <w:rPr>
          <w:rFonts w:cs="Arial"/>
          <w:szCs w:val="22"/>
        </w:rPr>
        <w:t xml:space="preserve">HTL </w:t>
      </w:r>
      <w:r>
        <w:rPr>
          <w:rFonts w:cs="Arial"/>
          <w:szCs w:val="22"/>
        </w:rPr>
        <w:t xml:space="preserve">processing conditions.  </w:t>
      </w:r>
      <w:r w:rsidRPr="00B96909">
        <w:rPr>
          <w:rFonts w:cs="Arial"/>
          <w:szCs w:val="22"/>
        </w:rPr>
        <w:t>Refinements to the model should</w:t>
      </w:r>
      <w:r w:rsidR="000178D0">
        <w:rPr>
          <w:rFonts w:cs="Arial"/>
          <w:szCs w:val="22"/>
        </w:rPr>
        <w:t xml:space="preserve"> also</w:t>
      </w:r>
      <w:r w:rsidRPr="00B96909">
        <w:rPr>
          <w:rFonts w:cs="Arial"/>
          <w:szCs w:val="22"/>
        </w:rPr>
        <w:t xml:space="preserve"> be made in the future, including a more detailed cross-check of modeled </w:t>
      </w:r>
      <w:proofErr w:type="spellStart"/>
      <w:r>
        <w:rPr>
          <w:rFonts w:cs="Arial"/>
          <w:szCs w:val="22"/>
        </w:rPr>
        <w:t>biocrude</w:t>
      </w:r>
      <w:proofErr w:type="spellEnd"/>
      <w:r w:rsidRPr="00B96909">
        <w:rPr>
          <w:rFonts w:cs="Arial"/>
          <w:szCs w:val="22"/>
        </w:rPr>
        <w:t xml:space="preserve"> components with the experimental GCMS data.  </w:t>
      </w:r>
      <w:r>
        <w:t xml:space="preserve">Environmental sustainability metrics analysis is needed to understand the broader impact of this technology pathway. </w:t>
      </w:r>
      <w:r w:rsidR="000178D0">
        <w:t xml:space="preserve"> </w:t>
      </w:r>
      <w:r w:rsidRPr="00B96909">
        <w:rPr>
          <w:rFonts w:cs="Arial"/>
          <w:szCs w:val="22"/>
        </w:rPr>
        <w:t xml:space="preserve">This </w:t>
      </w:r>
      <w:r w:rsidR="000178D0">
        <w:rPr>
          <w:rFonts w:cs="Arial"/>
          <w:szCs w:val="22"/>
        </w:rPr>
        <w:t>appendix</w:t>
      </w:r>
      <w:r w:rsidRPr="00B96909">
        <w:rPr>
          <w:rFonts w:cs="Arial"/>
          <w:szCs w:val="22"/>
        </w:rPr>
        <w:t xml:space="preserve"> serves as </w:t>
      </w:r>
      <w:r w:rsidR="000178D0">
        <w:rPr>
          <w:rFonts w:cs="Arial"/>
          <w:szCs w:val="22"/>
        </w:rPr>
        <w:t>the initial</w:t>
      </w:r>
      <w:r w:rsidRPr="00B96909">
        <w:rPr>
          <w:rFonts w:cs="Arial"/>
          <w:szCs w:val="22"/>
        </w:rPr>
        <w:t xml:space="preserve"> briefing to BETO on the results of this work.</w:t>
      </w:r>
      <w:r w:rsidR="000178D0">
        <w:rPr>
          <w:rFonts w:cs="Arial"/>
          <w:szCs w:val="22"/>
        </w:rPr>
        <w:t xml:space="preserve">  WERF has conducted an independent validation of the experimental work and has scheduled a review meeting at PNNL in February.  Upon completion of the review, a final report will be issued by WERF including recommendations for future work.</w:t>
      </w:r>
    </w:p>
    <w:p w:rsidR="00A067A8" w:rsidRDefault="00A067A8" w:rsidP="00A067A8">
      <w:pPr>
        <w:jc w:val="both"/>
        <w:rPr>
          <w:rFonts w:cs="Arial"/>
          <w:szCs w:val="22"/>
        </w:rPr>
      </w:pPr>
    </w:p>
    <w:p w:rsidR="00A067A8" w:rsidRPr="00FB089A" w:rsidRDefault="00A067A8" w:rsidP="00A067A8">
      <w:pPr>
        <w:pStyle w:val="Heading2"/>
      </w:pPr>
      <w:r>
        <w:t>Summary</w:t>
      </w:r>
    </w:p>
    <w:p w:rsidR="00A067A8" w:rsidRDefault="00A067A8" w:rsidP="00A067A8">
      <w:pPr>
        <w:jc w:val="both"/>
        <w:rPr>
          <w:rFonts w:cs="Arial"/>
          <w:szCs w:val="22"/>
        </w:rPr>
      </w:pPr>
    </w:p>
    <w:p w:rsidR="00A067A8" w:rsidRDefault="00A067A8" w:rsidP="00A067A8">
      <w:pPr>
        <w:jc w:val="both"/>
        <w:rPr>
          <w:rFonts w:cs="Arial"/>
          <w:szCs w:val="22"/>
        </w:rPr>
      </w:pPr>
      <w:r>
        <w:rPr>
          <w:rFonts w:cs="Arial"/>
          <w:szCs w:val="22"/>
        </w:rPr>
        <w:t xml:space="preserve">The base case scenario for the analysis consists of 25 HTL plants, each processing 100 dry ton/day of sludge waste, feeding into a centralized </w:t>
      </w:r>
      <w:proofErr w:type="spellStart"/>
      <w:r>
        <w:rPr>
          <w:rFonts w:cs="Arial"/>
          <w:szCs w:val="22"/>
        </w:rPr>
        <w:t>biocrude</w:t>
      </w:r>
      <w:proofErr w:type="spellEnd"/>
      <w:r>
        <w:rPr>
          <w:rFonts w:cs="Arial"/>
          <w:szCs w:val="22"/>
        </w:rPr>
        <w:t xml:space="preserve"> upgrading facility that produces 5,047 barrel per standard day of final fuel.  This scale was chosen based upon initial wastewater treatment plant data gathered by the PNNL resource assessment team and a rough estimate of what the potential sludge availability might be within a 100-mile radius.  It is assumed that sludge is available at no cost and </w:t>
      </w:r>
      <w:proofErr w:type="spellStart"/>
      <w:r>
        <w:rPr>
          <w:rFonts w:cs="Arial"/>
          <w:szCs w:val="22"/>
        </w:rPr>
        <w:t>biocrude</w:t>
      </w:r>
      <w:proofErr w:type="spellEnd"/>
      <w:r>
        <w:rPr>
          <w:rFonts w:cs="Arial"/>
          <w:szCs w:val="22"/>
        </w:rPr>
        <w:t xml:space="preserve"> is shipped for $0.10/</w:t>
      </w:r>
      <w:proofErr w:type="spellStart"/>
      <w:r>
        <w:rPr>
          <w:rFonts w:cs="Arial"/>
          <w:szCs w:val="22"/>
        </w:rPr>
        <w:t>gge</w:t>
      </w:r>
      <w:proofErr w:type="spellEnd"/>
      <w:r>
        <w:rPr>
          <w:rFonts w:cs="Arial"/>
          <w:szCs w:val="22"/>
        </w:rPr>
        <w:t xml:space="preserve">.  The base case assumptions result in a minimum </w:t>
      </w:r>
      <w:proofErr w:type="spellStart"/>
      <w:r>
        <w:rPr>
          <w:rFonts w:cs="Arial"/>
          <w:szCs w:val="22"/>
        </w:rPr>
        <w:t>biocrude</w:t>
      </w:r>
      <w:proofErr w:type="spellEnd"/>
      <w:r>
        <w:rPr>
          <w:rFonts w:cs="Arial"/>
          <w:szCs w:val="22"/>
        </w:rPr>
        <w:t xml:space="preserve"> selling price of $4.09/</w:t>
      </w:r>
      <w:proofErr w:type="spellStart"/>
      <w:r>
        <w:rPr>
          <w:rFonts w:cs="Arial"/>
          <w:szCs w:val="22"/>
        </w:rPr>
        <w:t>gge</w:t>
      </w:r>
      <w:proofErr w:type="spellEnd"/>
      <w:r>
        <w:rPr>
          <w:rFonts w:cs="Arial"/>
          <w:szCs w:val="22"/>
        </w:rPr>
        <w:t xml:space="preserve"> and a minimum final upgraded fuel selling price of $5.15/</w:t>
      </w:r>
      <w:proofErr w:type="spellStart"/>
      <w:r>
        <w:rPr>
          <w:rFonts w:cs="Arial"/>
          <w:szCs w:val="22"/>
        </w:rPr>
        <w:t>gge</w:t>
      </w:r>
      <w:proofErr w:type="spellEnd"/>
      <w:r>
        <w:rPr>
          <w:rFonts w:cs="Arial"/>
          <w:szCs w:val="22"/>
        </w:rPr>
        <w:t xml:space="preserve">.  </w:t>
      </w:r>
    </w:p>
    <w:p w:rsidR="00A067A8" w:rsidRDefault="00A067A8" w:rsidP="00A067A8">
      <w:pPr>
        <w:jc w:val="both"/>
        <w:rPr>
          <w:rFonts w:cs="Arial"/>
          <w:szCs w:val="22"/>
        </w:rPr>
      </w:pPr>
    </w:p>
    <w:p w:rsidR="00A067A8" w:rsidRDefault="00A067A8" w:rsidP="00A067A8">
      <w:pPr>
        <w:jc w:val="both"/>
        <w:rPr>
          <w:rFonts w:cs="Arial"/>
          <w:szCs w:val="22"/>
        </w:rPr>
      </w:pPr>
      <w:r>
        <w:rPr>
          <w:rFonts w:cs="Arial"/>
          <w:szCs w:val="22"/>
        </w:rPr>
        <w:lastRenderedPageBreak/>
        <w:t>Several areas of process improvement and refinements to the analysis have the potential to favorably impact economics relative to the base case:</w:t>
      </w:r>
    </w:p>
    <w:p w:rsidR="00A067A8" w:rsidRDefault="00A067A8" w:rsidP="00A067A8">
      <w:pPr>
        <w:jc w:val="both"/>
        <w:rPr>
          <w:rFonts w:cs="Arial"/>
          <w:szCs w:val="22"/>
        </w:rPr>
      </w:pPr>
    </w:p>
    <w:p w:rsidR="00A067A8" w:rsidRPr="00207737" w:rsidRDefault="00A067A8" w:rsidP="00A067A8">
      <w:pPr>
        <w:pStyle w:val="ListParagraph"/>
        <w:numPr>
          <w:ilvl w:val="0"/>
          <w:numId w:val="50"/>
        </w:numPr>
        <w:jc w:val="both"/>
        <w:rPr>
          <w:rFonts w:cs="Arial"/>
          <w:szCs w:val="22"/>
        </w:rPr>
      </w:pPr>
      <w:r w:rsidRPr="00207737">
        <w:rPr>
          <w:rFonts w:cs="Arial"/>
          <w:szCs w:val="22"/>
        </w:rPr>
        <w:t xml:space="preserve">Optimization of HTL </w:t>
      </w:r>
      <w:proofErr w:type="spellStart"/>
      <w:r w:rsidRPr="00207737">
        <w:rPr>
          <w:rFonts w:cs="Arial"/>
          <w:szCs w:val="22"/>
        </w:rPr>
        <w:t>biocrude</w:t>
      </w:r>
      <w:proofErr w:type="spellEnd"/>
      <w:r w:rsidRPr="00207737">
        <w:rPr>
          <w:rFonts w:cs="Arial"/>
          <w:szCs w:val="22"/>
        </w:rPr>
        <w:t xml:space="preserve"> yield  </w:t>
      </w:r>
    </w:p>
    <w:p w:rsidR="00A067A8" w:rsidRPr="00207737" w:rsidRDefault="00A067A8" w:rsidP="00A067A8">
      <w:pPr>
        <w:pStyle w:val="ListParagraph"/>
        <w:numPr>
          <w:ilvl w:val="0"/>
          <w:numId w:val="50"/>
        </w:numPr>
        <w:jc w:val="both"/>
        <w:rPr>
          <w:rFonts w:cs="Arial"/>
          <w:szCs w:val="22"/>
        </w:rPr>
      </w:pPr>
      <w:r w:rsidRPr="00207737">
        <w:rPr>
          <w:rFonts w:cs="Arial"/>
          <w:szCs w:val="22"/>
        </w:rPr>
        <w:t xml:space="preserve">Optimization of </w:t>
      </w:r>
      <w:r>
        <w:rPr>
          <w:rFonts w:cs="Arial"/>
          <w:szCs w:val="22"/>
        </w:rPr>
        <w:t xml:space="preserve">HTL </w:t>
      </w:r>
      <w:r w:rsidRPr="00207737">
        <w:rPr>
          <w:rFonts w:cs="Arial"/>
          <w:szCs w:val="22"/>
        </w:rPr>
        <w:t>sludge feed solids content</w:t>
      </w:r>
    </w:p>
    <w:p w:rsidR="00A067A8" w:rsidRPr="00207737" w:rsidRDefault="00A067A8" w:rsidP="00A067A8">
      <w:pPr>
        <w:pStyle w:val="ListParagraph"/>
        <w:numPr>
          <w:ilvl w:val="0"/>
          <w:numId w:val="50"/>
        </w:numPr>
        <w:jc w:val="both"/>
        <w:rPr>
          <w:rFonts w:cs="Arial"/>
          <w:szCs w:val="22"/>
        </w:rPr>
      </w:pPr>
      <w:r w:rsidRPr="00207737">
        <w:rPr>
          <w:rFonts w:cs="Arial"/>
          <w:szCs w:val="22"/>
        </w:rPr>
        <w:t xml:space="preserve">Optimization of upgraded </w:t>
      </w:r>
      <w:proofErr w:type="spellStart"/>
      <w:r>
        <w:rPr>
          <w:rFonts w:cs="Arial"/>
          <w:szCs w:val="22"/>
        </w:rPr>
        <w:t>biocrude</w:t>
      </w:r>
      <w:proofErr w:type="spellEnd"/>
      <w:r>
        <w:rPr>
          <w:rFonts w:cs="Arial"/>
          <w:szCs w:val="22"/>
        </w:rPr>
        <w:t xml:space="preserve"> </w:t>
      </w:r>
      <w:r w:rsidRPr="00207737">
        <w:rPr>
          <w:rFonts w:cs="Arial"/>
          <w:szCs w:val="22"/>
        </w:rPr>
        <w:t>yield</w:t>
      </w:r>
    </w:p>
    <w:p w:rsidR="00A067A8" w:rsidRPr="00207737" w:rsidRDefault="00A067A8" w:rsidP="00A067A8">
      <w:pPr>
        <w:pStyle w:val="ListParagraph"/>
        <w:numPr>
          <w:ilvl w:val="0"/>
          <w:numId w:val="50"/>
        </w:numPr>
        <w:jc w:val="both"/>
        <w:rPr>
          <w:rFonts w:cs="Arial"/>
          <w:szCs w:val="22"/>
        </w:rPr>
      </w:pPr>
      <w:r>
        <w:rPr>
          <w:rFonts w:cs="Arial"/>
          <w:szCs w:val="22"/>
        </w:rPr>
        <w:t xml:space="preserve">Inclusion of </w:t>
      </w:r>
      <w:r w:rsidRPr="00207737">
        <w:rPr>
          <w:rFonts w:cs="Arial"/>
          <w:szCs w:val="22"/>
        </w:rPr>
        <w:t>cost savings associat</w:t>
      </w:r>
      <w:r>
        <w:rPr>
          <w:rFonts w:cs="Arial"/>
          <w:szCs w:val="22"/>
        </w:rPr>
        <w:t>ed with avoided sludge disposal (sludge credit)</w:t>
      </w:r>
    </w:p>
    <w:p w:rsidR="00A067A8" w:rsidRPr="00207737" w:rsidRDefault="00A067A8" w:rsidP="00A067A8">
      <w:pPr>
        <w:pStyle w:val="ListParagraph"/>
        <w:numPr>
          <w:ilvl w:val="0"/>
          <w:numId w:val="50"/>
        </w:numPr>
        <w:jc w:val="both"/>
        <w:rPr>
          <w:rFonts w:cs="Arial"/>
          <w:szCs w:val="22"/>
        </w:rPr>
      </w:pPr>
      <w:r>
        <w:rPr>
          <w:rFonts w:cs="Arial"/>
          <w:szCs w:val="22"/>
        </w:rPr>
        <w:t>Combined large and small HTL scales (e.g., in metropolitan  and outlying areas)</w:t>
      </w:r>
    </w:p>
    <w:p w:rsidR="00A067A8" w:rsidRDefault="00A067A8" w:rsidP="00A067A8">
      <w:pPr>
        <w:jc w:val="both"/>
        <w:rPr>
          <w:rFonts w:cs="Arial"/>
          <w:szCs w:val="22"/>
        </w:rPr>
      </w:pPr>
    </w:p>
    <w:p w:rsidR="00A067A8" w:rsidRDefault="00A067A8" w:rsidP="00A067A8">
      <w:pPr>
        <w:jc w:val="both"/>
        <w:rPr>
          <w:rFonts w:cs="Arial"/>
          <w:szCs w:val="22"/>
        </w:rPr>
      </w:pPr>
      <w:r>
        <w:rPr>
          <w:rFonts w:cs="Arial"/>
          <w:szCs w:val="22"/>
        </w:rPr>
        <w:t xml:space="preserve">As shown in Figures S.1 and S.2, combined improvements in these areas can potentially reduce the minimum selling price of </w:t>
      </w:r>
      <w:proofErr w:type="spellStart"/>
      <w:r>
        <w:rPr>
          <w:rFonts w:cs="Arial"/>
          <w:szCs w:val="22"/>
        </w:rPr>
        <w:t>biocrude</w:t>
      </w:r>
      <w:proofErr w:type="spellEnd"/>
      <w:r>
        <w:rPr>
          <w:rFonts w:cs="Arial"/>
          <w:szCs w:val="22"/>
        </w:rPr>
        <w:t xml:space="preserve"> and final fuel to $2.37/</w:t>
      </w:r>
      <w:proofErr w:type="spellStart"/>
      <w:r>
        <w:rPr>
          <w:rFonts w:cs="Arial"/>
          <w:szCs w:val="22"/>
        </w:rPr>
        <w:t>gge</w:t>
      </w:r>
      <w:proofErr w:type="spellEnd"/>
      <w:r>
        <w:rPr>
          <w:rFonts w:cs="Arial"/>
          <w:szCs w:val="22"/>
        </w:rPr>
        <w:t xml:space="preserve"> and $2.92/</w:t>
      </w:r>
      <w:proofErr w:type="spellStart"/>
      <w:r>
        <w:rPr>
          <w:rFonts w:cs="Arial"/>
          <w:szCs w:val="22"/>
        </w:rPr>
        <w:t>gge</w:t>
      </w:r>
      <w:proofErr w:type="spellEnd"/>
      <w:r>
        <w:rPr>
          <w:rFonts w:cs="Arial"/>
          <w:szCs w:val="22"/>
        </w:rPr>
        <w:t xml:space="preserve">, respectively.  Further improvements may be possible through recovery of higher value components from the HTL aqueous phase, as being investigated under separate PNNL projects.  </w:t>
      </w:r>
    </w:p>
    <w:p w:rsidR="00A067A8" w:rsidRDefault="00A067A8" w:rsidP="00A067A8">
      <w:pPr>
        <w:jc w:val="both"/>
        <w:rPr>
          <w:rFonts w:cs="Arial"/>
          <w:szCs w:val="22"/>
        </w:rPr>
      </w:pPr>
    </w:p>
    <w:p w:rsidR="00A067A8" w:rsidRPr="004164A5" w:rsidRDefault="00A067A8" w:rsidP="00A067A8">
      <w:pPr>
        <w:jc w:val="center"/>
        <w:rPr>
          <w:rFonts w:cs="Arial"/>
          <w:szCs w:val="22"/>
        </w:rPr>
      </w:pPr>
      <w:r>
        <w:rPr>
          <w:noProof/>
        </w:rPr>
        <w:drawing>
          <wp:inline distT="0" distB="0" distL="0" distR="0" wp14:anchorId="012F4175" wp14:editId="0CEECCD8">
            <wp:extent cx="4585648" cy="2545307"/>
            <wp:effectExtent l="0" t="0" r="5715" b="762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67A8" w:rsidRDefault="00A067A8" w:rsidP="00A067A8">
      <w:pPr>
        <w:jc w:val="center"/>
        <w:rPr>
          <w:rFonts w:cs="Arial"/>
          <w:szCs w:val="22"/>
        </w:rPr>
      </w:pPr>
      <w:r>
        <w:rPr>
          <w:rFonts w:cs="Arial"/>
          <w:b/>
          <w:szCs w:val="22"/>
        </w:rPr>
        <w:t xml:space="preserve">Figure </w:t>
      </w:r>
      <w:proofErr w:type="gramStart"/>
      <w:r>
        <w:rPr>
          <w:rFonts w:cs="Arial"/>
          <w:b/>
          <w:szCs w:val="22"/>
        </w:rPr>
        <w:t>S</w:t>
      </w:r>
      <w:r w:rsidRPr="00724E29">
        <w:rPr>
          <w:rFonts w:cs="Arial"/>
          <w:b/>
          <w:szCs w:val="22"/>
        </w:rPr>
        <w:t>.1</w:t>
      </w:r>
      <w:r>
        <w:rPr>
          <w:rFonts w:cs="Arial"/>
          <w:szCs w:val="22"/>
        </w:rPr>
        <w:t xml:space="preserve">  Overall</w:t>
      </w:r>
      <w:proofErr w:type="gramEnd"/>
      <w:r>
        <w:rPr>
          <w:rFonts w:cs="Arial"/>
          <w:szCs w:val="22"/>
        </w:rPr>
        <w:t xml:space="preserve"> potential reduction in base case </w:t>
      </w:r>
      <w:proofErr w:type="spellStart"/>
      <w:r>
        <w:rPr>
          <w:rFonts w:cs="Arial"/>
          <w:szCs w:val="22"/>
        </w:rPr>
        <w:t>biocrude</w:t>
      </w:r>
      <w:proofErr w:type="spellEnd"/>
      <w:r>
        <w:rPr>
          <w:rFonts w:cs="Arial"/>
          <w:szCs w:val="22"/>
        </w:rPr>
        <w:t xml:space="preserve"> price </w:t>
      </w:r>
      <w:r>
        <w:t>through applied sludge credit, technology advancements, and combined scale scenario.</w:t>
      </w:r>
    </w:p>
    <w:p w:rsidR="00A067A8" w:rsidRPr="0038380E" w:rsidRDefault="00A067A8" w:rsidP="00A067A8">
      <w:pPr>
        <w:jc w:val="center"/>
        <w:rPr>
          <w:rFonts w:cs="Arial"/>
          <w:b/>
          <w:bCs/>
          <w:szCs w:val="22"/>
        </w:rPr>
      </w:pPr>
    </w:p>
    <w:p w:rsidR="00A067A8" w:rsidRDefault="00A067A8" w:rsidP="00A067A8">
      <w:pPr>
        <w:jc w:val="center"/>
        <w:rPr>
          <w:b/>
        </w:rPr>
      </w:pPr>
      <w:r>
        <w:rPr>
          <w:noProof/>
        </w:rPr>
        <w:lastRenderedPageBreak/>
        <w:drawing>
          <wp:inline distT="0" distB="0" distL="0" distR="0" wp14:anchorId="5AF214FD" wp14:editId="141C1E9B">
            <wp:extent cx="4631168" cy="2777319"/>
            <wp:effectExtent l="0" t="0" r="17145" b="44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67A8" w:rsidRDefault="00A067A8" w:rsidP="00A067A8">
      <w:pPr>
        <w:jc w:val="center"/>
        <w:rPr>
          <w:b/>
        </w:rPr>
      </w:pPr>
    </w:p>
    <w:p w:rsidR="00A067A8" w:rsidRPr="004220DD" w:rsidRDefault="00A067A8" w:rsidP="00A067A8">
      <w:pPr>
        <w:jc w:val="center"/>
      </w:pPr>
      <w:r>
        <w:rPr>
          <w:b/>
        </w:rPr>
        <w:t xml:space="preserve">Figure </w:t>
      </w:r>
      <w:proofErr w:type="gramStart"/>
      <w:r w:rsidRPr="00453942">
        <w:rPr>
          <w:b/>
        </w:rPr>
        <w:t xml:space="preserve">S.2  </w:t>
      </w:r>
      <w:r>
        <w:t>Overall</w:t>
      </w:r>
      <w:proofErr w:type="gramEnd"/>
      <w:r>
        <w:t xml:space="preserve"> potential reduction in final fuel MFSP through applied sludge credit, technology advancements, and combined HTL scale scenario. </w:t>
      </w:r>
    </w:p>
    <w:p w:rsidR="00A067A8" w:rsidRDefault="00A067A8" w:rsidP="00A067A8">
      <w:pPr>
        <w:rPr>
          <w:rFonts w:cs="Arial"/>
          <w:b/>
          <w:bCs/>
          <w:i/>
          <w:iCs/>
          <w:sz w:val="28"/>
          <w:szCs w:val="28"/>
        </w:rPr>
      </w:pPr>
      <w:r>
        <w:br w:type="page"/>
      </w:r>
    </w:p>
    <w:p w:rsidR="00A067A8" w:rsidRPr="0038380E" w:rsidRDefault="00A067A8" w:rsidP="00A067A8">
      <w:pPr>
        <w:pStyle w:val="Heading2"/>
      </w:pPr>
      <w:r w:rsidRPr="0038380E">
        <w:lastRenderedPageBreak/>
        <w:t xml:space="preserve">Hydrothermal Liquefaction and Upgrading </w:t>
      </w:r>
      <w:r>
        <w:t>of Wastewater Treatment Plant Sludge:  A Preliminary Techno-Economic Analysis</w:t>
      </w:r>
    </w:p>
    <w:p w:rsidR="00A067A8" w:rsidRPr="0038380E" w:rsidRDefault="00A067A8" w:rsidP="00A067A8">
      <w:pPr>
        <w:pStyle w:val="Heading2"/>
        <w:rPr>
          <w:sz w:val="22"/>
          <w:szCs w:val="22"/>
        </w:rPr>
      </w:pPr>
    </w:p>
    <w:p w:rsidR="00A067A8" w:rsidRDefault="00A067A8" w:rsidP="00A067A8">
      <w:pPr>
        <w:pStyle w:val="Heading2"/>
        <w:numPr>
          <w:ilvl w:val="0"/>
          <w:numId w:val="47"/>
        </w:numPr>
      </w:pPr>
      <w:r>
        <w:t>Introduction</w:t>
      </w:r>
    </w:p>
    <w:p w:rsidR="00A067A8" w:rsidRDefault="00A067A8" w:rsidP="00A067A8">
      <w:pPr>
        <w:rPr>
          <w:b/>
        </w:rPr>
      </w:pPr>
    </w:p>
    <w:p w:rsidR="00A067A8" w:rsidRDefault="00A067A8" w:rsidP="00A067A8">
      <w:pPr>
        <w:rPr>
          <w:rFonts w:cs="Arial"/>
          <w:szCs w:val="22"/>
        </w:rPr>
      </w:pPr>
      <w:r>
        <w:rPr>
          <w:szCs w:val="22"/>
        </w:rPr>
        <w:t xml:space="preserve">A FY15 study at PNNL estimated that nearly 7 million tons of sludge </w:t>
      </w:r>
      <w:proofErr w:type="gramStart"/>
      <w:r>
        <w:rPr>
          <w:szCs w:val="22"/>
        </w:rPr>
        <w:t>are</w:t>
      </w:r>
      <w:proofErr w:type="gramEnd"/>
      <w:r>
        <w:rPr>
          <w:szCs w:val="22"/>
        </w:rPr>
        <w:t xml:space="preserve"> produced annually at wastewater treatment plants (WWTP) around the nation. Wastewater treatment produces sludge as a result of primary and secondary treatment processes.  </w:t>
      </w:r>
      <w:r>
        <w:rPr>
          <w:rFonts w:cs="Arial"/>
          <w:szCs w:val="22"/>
        </w:rPr>
        <w:t xml:space="preserve">The most common methods that WWTPs currently use to manage their sludge include anaerobic digestion (AD) to produce Class A or B </w:t>
      </w:r>
      <w:proofErr w:type="spellStart"/>
      <w:r>
        <w:rPr>
          <w:rFonts w:cs="Arial"/>
          <w:szCs w:val="22"/>
        </w:rPr>
        <w:t>biosolids</w:t>
      </w:r>
      <w:proofErr w:type="spellEnd"/>
      <w:r>
        <w:rPr>
          <w:rFonts w:cs="Arial"/>
          <w:szCs w:val="22"/>
        </w:rPr>
        <w:t xml:space="preserve">, landfill disposal, and incineration.  </w:t>
      </w:r>
      <w:r>
        <w:rPr>
          <w:szCs w:val="22"/>
        </w:rPr>
        <w:t xml:space="preserve">The AD process produces biogas, which is used in the process and onsite for heat, and </w:t>
      </w:r>
      <w:proofErr w:type="spellStart"/>
      <w:r>
        <w:rPr>
          <w:szCs w:val="22"/>
        </w:rPr>
        <w:t>biosolids</w:t>
      </w:r>
      <w:proofErr w:type="spellEnd"/>
      <w:r>
        <w:rPr>
          <w:szCs w:val="22"/>
        </w:rPr>
        <w:t xml:space="preserve">, which are generally land applied for a fee.  Whatever the option, </w:t>
      </w:r>
      <w:r>
        <w:rPr>
          <w:rFonts w:cs="Arial"/>
          <w:szCs w:val="22"/>
        </w:rPr>
        <w:t xml:space="preserve">sludge management is costly and some options, such as landfilling, provide no added benefit.  Land application of </w:t>
      </w:r>
      <w:proofErr w:type="spellStart"/>
      <w:r>
        <w:rPr>
          <w:rFonts w:cs="Arial"/>
          <w:szCs w:val="22"/>
        </w:rPr>
        <w:t>biosolids</w:t>
      </w:r>
      <w:proofErr w:type="spellEnd"/>
      <w:r>
        <w:rPr>
          <w:rFonts w:cs="Arial"/>
          <w:szCs w:val="22"/>
        </w:rPr>
        <w:t xml:space="preserve"> (after AD) provides added fertilizer benefit, but in some areas, faces the challenge of public concern over health risks (SCAP 2013).  </w:t>
      </w:r>
    </w:p>
    <w:p w:rsidR="00A067A8" w:rsidRDefault="00A067A8" w:rsidP="00A067A8">
      <w:pPr>
        <w:rPr>
          <w:rFonts w:cs="Arial"/>
          <w:szCs w:val="22"/>
        </w:rPr>
      </w:pPr>
    </w:p>
    <w:p w:rsidR="00A067A8" w:rsidRDefault="00A067A8" w:rsidP="00A067A8">
      <w:pPr>
        <w:rPr>
          <w:rFonts w:cs="Arial"/>
          <w:szCs w:val="22"/>
        </w:rPr>
      </w:pPr>
      <w:r>
        <w:rPr>
          <w:rFonts w:cs="Arial"/>
          <w:szCs w:val="22"/>
        </w:rPr>
        <w:t xml:space="preserve">Production of fuel via hydrothermal liquefaction (HTL) could provide an economically favorable alternative to AD and other current sludge management practices.  The purpose of this study is to provide preliminary economics for this strategy, including sensitivity analyses around key assumptions for the conversion plant.  </w:t>
      </w:r>
    </w:p>
    <w:p w:rsidR="00A067A8" w:rsidRDefault="00A067A8" w:rsidP="00A067A8">
      <w:pPr>
        <w:rPr>
          <w:szCs w:val="22"/>
        </w:rPr>
      </w:pPr>
    </w:p>
    <w:p w:rsidR="00A067A8" w:rsidRPr="00F5457F" w:rsidRDefault="00A067A8" w:rsidP="00A067A8">
      <w:pPr>
        <w:rPr>
          <w:szCs w:val="22"/>
        </w:rPr>
      </w:pPr>
    </w:p>
    <w:p w:rsidR="00A067A8" w:rsidRDefault="00A067A8" w:rsidP="00A067A8">
      <w:pPr>
        <w:pStyle w:val="Heading2"/>
        <w:numPr>
          <w:ilvl w:val="0"/>
          <w:numId w:val="47"/>
        </w:numPr>
      </w:pPr>
      <w:r>
        <w:t>Techno-Economic Analysis Approach</w:t>
      </w:r>
    </w:p>
    <w:p w:rsidR="00A067A8" w:rsidRDefault="00A067A8" w:rsidP="00A067A8"/>
    <w:p w:rsidR="00A067A8" w:rsidRDefault="00A067A8" w:rsidP="00A067A8">
      <w:pPr>
        <w:rPr>
          <w:szCs w:val="22"/>
        </w:rPr>
      </w:pPr>
      <w:r>
        <w:t xml:space="preserve">The approach to developing conversion process techno-economics is similar to that employed in previous conceptual design reports produced for BETO [Jones </w:t>
      </w:r>
      <w:r w:rsidRPr="00F20BAA">
        <w:rPr>
          <w:i/>
        </w:rPr>
        <w:t>et al</w:t>
      </w:r>
      <w:r>
        <w:rPr>
          <w:i/>
        </w:rPr>
        <w:t>.</w:t>
      </w:r>
      <w:r>
        <w:t xml:space="preserve"> 2009</w:t>
      </w:r>
      <w:proofErr w:type="gramStart"/>
      <w:r>
        <w:t>,  Dutta</w:t>
      </w:r>
      <w:proofErr w:type="gramEnd"/>
      <w:r>
        <w:t xml:space="preserve"> </w:t>
      </w:r>
      <w:r w:rsidRPr="00F20BAA">
        <w:rPr>
          <w:i/>
        </w:rPr>
        <w:t>et al</w:t>
      </w:r>
      <w:r>
        <w:rPr>
          <w:i/>
        </w:rPr>
        <w:t>.</w:t>
      </w:r>
      <w:r>
        <w:t xml:space="preserve"> 2011, </w:t>
      </w:r>
      <w:proofErr w:type="spellStart"/>
      <w:r>
        <w:t>Humbird</w:t>
      </w:r>
      <w:proofErr w:type="spellEnd"/>
      <w:r>
        <w:t xml:space="preserve"> </w:t>
      </w:r>
      <w:r w:rsidRPr="00F20BAA">
        <w:rPr>
          <w:i/>
        </w:rPr>
        <w:t>et al</w:t>
      </w:r>
      <w:r>
        <w:rPr>
          <w:i/>
        </w:rPr>
        <w:t>.</w:t>
      </w:r>
      <w:r>
        <w:t xml:space="preserve"> 2011, </w:t>
      </w:r>
      <w:r w:rsidRPr="006D2371">
        <w:rPr>
          <w:i/>
        </w:rPr>
        <w:t xml:space="preserve">Jones </w:t>
      </w:r>
      <w:r w:rsidRPr="00F20BAA">
        <w:rPr>
          <w:i/>
        </w:rPr>
        <w:t>et al</w:t>
      </w:r>
      <w:r w:rsidRPr="006D2371">
        <w:rPr>
          <w:i/>
        </w:rPr>
        <w:t xml:space="preserve">. </w:t>
      </w:r>
      <w:r>
        <w:t xml:space="preserve">2014].  Process flow diagrams and models are based on experimental results from completed and ongoing research, as well as information from commercial vendors for mature and similar technologies.  </w:t>
      </w:r>
      <w:r w:rsidRPr="007D0A3F">
        <w:rPr>
          <w:szCs w:val="22"/>
        </w:rPr>
        <w:t>To as</w:t>
      </w:r>
      <w:r>
        <w:rPr>
          <w:szCs w:val="22"/>
        </w:rPr>
        <w:t xml:space="preserve">sure consistency across all biomass conversion </w:t>
      </w:r>
      <w:r w:rsidRPr="007D0A3F">
        <w:rPr>
          <w:szCs w:val="22"/>
        </w:rPr>
        <w:t xml:space="preserve">pathways, </w:t>
      </w:r>
      <w:r>
        <w:rPr>
          <w:szCs w:val="22"/>
        </w:rPr>
        <w:t>BETO</w:t>
      </w:r>
      <w:r w:rsidRPr="007D0A3F">
        <w:rPr>
          <w:szCs w:val="22"/>
        </w:rPr>
        <w:t xml:space="preserve"> developed a set of economic assumptions that </w:t>
      </w:r>
      <w:r>
        <w:rPr>
          <w:szCs w:val="22"/>
        </w:rPr>
        <w:t>are</w:t>
      </w:r>
      <w:r w:rsidRPr="007D0A3F">
        <w:rPr>
          <w:szCs w:val="22"/>
        </w:rPr>
        <w:t xml:space="preserve"> </w:t>
      </w:r>
      <w:r>
        <w:rPr>
          <w:szCs w:val="22"/>
        </w:rPr>
        <w:t xml:space="preserve">used for all </w:t>
      </w:r>
      <w:proofErr w:type="spellStart"/>
      <w:r>
        <w:rPr>
          <w:szCs w:val="22"/>
        </w:rPr>
        <w:t>technoeconomic</w:t>
      </w:r>
      <w:proofErr w:type="spellEnd"/>
      <w:r>
        <w:rPr>
          <w:szCs w:val="22"/>
        </w:rPr>
        <w:t xml:space="preserve"> analyses (see Appendix) and are documented in BETO’s </w:t>
      </w:r>
      <w:r w:rsidRPr="007D0A3F">
        <w:rPr>
          <w:szCs w:val="22"/>
        </w:rPr>
        <w:t>Multi-Year Program Plan (</w:t>
      </w:r>
      <w:r>
        <w:rPr>
          <w:szCs w:val="22"/>
        </w:rPr>
        <w:t>DOE 2015</w:t>
      </w:r>
      <w:r w:rsidRPr="007D0A3F">
        <w:rPr>
          <w:szCs w:val="22"/>
        </w:rPr>
        <w:t>)</w:t>
      </w:r>
      <w:r>
        <w:rPr>
          <w:szCs w:val="22"/>
        </w:rPr>
        <w:t xml:space="preserve">.  An important aspect of these assumptions is that they reflect an “nth plant” design.  The nth plant design assumes that several plants have already been built and operated and therefore does not account for additional first-of-a-kind plant costs.  </w:t>
      </w:r>
      <w:r>
        <w:rPr>
          <w:rFonts w:cs="Arial"/>
          <w:szCs w:val="22"/>
        </w:rPr>
        <w:t>All costs presented are given in 2014 dollars.</w:t>
      </w:r>
      <w:r>
        <w:rPr>
          <w:szCs w:val="22"/>
        </w:rPr>
        <w:t xml:space="preserve">    </w:t>
      </w:r>
    </w:p>
    <w:p w:rsidR="00A067A8" w:rsidRPr="00796F0C" w:rsidRDefault="00A067A8" w:rsidP="00A067A8"/>
    <w:p w:rsidR="00A067A8" w:rsidRDefault="00A067A8" w:rsidP="00A067A8">
      <w:pPr>
        <w:rPr>
          <w:b/>
        </w:rPr>
      </w:pPr>
    </w:p>
    <w:p w:rsidR="00A067A8" w:rsidRPr="003C097A" w:rsidRDefault="00A067A8" w:rsidP="00A067A8">
      <w:pPr>
        <w:pStyle w:val="Heading2"/>
        <w:numPr>
          <w:ilvl w:val="0"/>
          <w:numId w:val="47"/>
        </w:numPr>
      </w:pPr>
      <w:r>
        <w:t>Process Design and Assumptions</w:t>
      </w:r>
    </w:p>
    <w:p w:rsidR="00A067A8" w:rsidRDefault="00A067A8" w:rsidP="00A067A8"/>
    <w:p w:rsidR="00A067A8" w:rsidRPr="003C097A" w:rsidRDefault="00A067A8" w:rsidP="00A067A8">
      <w:pPr>
        <w:pStyle w:val="Heading2"/>
        <w:numPr>
          <w:ilvl w:val="1"/>
          <w:numId w:val="47"/>
        </w:numPr>
      </w:pPr>
      <w:r w:rsidRPr="003C097A">
        <w:t>Process Overview</w:t>
      </w:r>
    </w:p>
    <w:p w:rsidR="00A067A8" w:rsidRPr="0038380E" w:rsidRDefault="00A067A8" w:rsidP="00A067A8">
      <w:pPr>
        <w:rPr>
          <w:rFonts w:cs="Arial"/>
          <w:szCs w:val="22"/>
        </w:rPr>
      </w:pPr>
    </w:p>
    <w:p w:rsidR="00A067A8" w:rsidRDefault="00A067A8" w:rsidP="00A067A8">
      <w:pPr>
        <w:rPr>
          <w:rFonts w:cs="Arial"/>
          <w:szCs w:val="22"/>
        </w:rPr>
      </w:pPr>
      <w:r>
        <w:rPr>
          <w:rFonts w:cs="Arial"/>
          <w:szCs w:val="22"/>
        </w:rPr>
        <w:lastRenderedPageBreak/>
        <w:t xml:space="preserve">The design and cost basis is based largely on work done previously for algae HTL and </w:t>
      </w:r>
      <w:proofErr w:type="spellStart"/>
      <w:r>
        <w:rPr>
          <w:rFonts w:cs="Arial"/>
          <w:szCs w:val="22"/>
        </w:rPr>
        <w:t>biocrude</w:t>
      </w:r>
      <w:proofErr w:type="spellEnd"/>
      <w:r>
        <w:rPr>
          <w:rFonts w:cs="Arial"/>
          <w:szCs w:val="22"/>
        </w:rPr>
        <w:t xml:space="preserve"> upgrading (Jones </w:t>
      </w:r>
      <w:r w:rsidRPr="00F20BAA">
        <w:rPr>
          <w:rFonts w:cs="Arial"/>
          <w:i/>
          <w:szCs w:val="22"/>
        </w:rPr>
        <w:t>et al</w:t>
      </w:r>
      <w:r>
        <w:rPr>
          <w:rFonts w:cs="Arial"/>
          <w:szCs w:val="22"/>
        </w:rPr>
        <w:t xml:space="preserve"> 2014).  </w:t>
      </w:r>
      <w:r w:rsidRPr="0038380E">
        <w:rPr>
          <w:rFonts w:cs="Arial"/>
          <w:szCs w:val="22"/>
        </w:rPr>
        <w:t>A simplified block</w:t>
      </w:r>
      <w:r>
        <w:rPr>
          <w:rFonts w:cs="Arial"/>
          <w:szCs w:val="22"/>
        </w:rPr>
        <w:t xml:space="preserve"> diagram of the HTL and </w:t>
      </w:r>
      <w:proofErr w:type="spellStart"/>
      <w:r>
        <w:rPr>
          <w:rFonts w:cs="Arial"/>
          <w:szCs w:val="22"/>
        </w:rPr>
        <w:t>biocrude</w:t>
      </w:r>
      <w:proofErr w:type="spellEnd"/>
      <w:r w:rsidRPr="0038380E">
        <w:rPr>
          <w:rFonts w:cs="Arial"/>
          <w:szCs w:val="22"/>
        </w:rPr>
        <w:t xml:space="preserve"> upgrading </w:t>
      </w:r>
      <w:r>
        <w:rPr>
          <w:rFonts w:cs="Arial"/>
          <w:szCs w:val="22"/>
        </w:rPr>
        <w:t>process configuration</w:t>
      </w:r>
      <w:r w:rsidRPr="0038380E">
        <w:rPr>
          <w:rFonts w:cs="Arial"/>
          <w:szCs w:val="22"/>
        </w:rPr>
        <w:t xml:space="preserve"> is shown in Figure 1.  </w:t>
      </w:r>
      <w:r>
        <w:rPr>
          <w:rFonts w:cs="Arial"/>
          <w:szCs w:val="22"/>
        </w:rPr>
        <w:t xml:space="preserve">Results from a PNNL FY15 resource assessment indicate that it is likely that application of this technology for municipal WWTP waste would involve multiple HTL plants feeding into a centralized upgrading facility.  Based on these results, a HTL facility scale </w:t>
      </w:r>
      <w:proofErr w:type="gramStart"/>
      <w:r>
        <w:rPr>
          <w:rFonts w:cs="Arial"/>
          <w:szCs w:val="22"/>
        </w:rPr>
        <w:t>of 100 dry ton/day primary sludge</w:t>
      </w:r>
      <w:proofErr w:type="gramEnd"/>
      <w:r>
        <w:rPr>
          <w:rFonts w:cs="Arial"/>
          <w:szCs w:val="22"/>
        </w:rPr>
        <w:t xml:space="preserve"> is chosen as the base case for the analysis.  For the centralized upgrading facility, a capacity of 5,047 BPSD of diesel and gasoline is chosen as the base case (receiving </w:t>
      </w:r>
      <w:proofErr w:type="spellStart"/>
      <w:r>
        <w:rPr>
          <w:rFonts w:cs="Arial"/>
          <w:szCs w:val="22"/>
        </w:rPr>
        <w:t>biocrude</w:t>
      </w:r>
      <w:proofErr w:type="spellEnd"/>
      <w:r>
        <w:rPr>
          <w:rFonts w:cs="Arial"/>
          <w:szCs w:val="22"/>
        </w:rPr>
        <w:t xml:space="preserve"> from 25 HTL plants).  All capital costs for the HTL plant and the upgrading facility are scaled on values used in the algae HTL design case (Jones </w:t>
      </w:r>
      <w:r w:rsidRPr="00F20BAA">
        <w:rPr>
          <w:rFonts w:cs="Arial"/>
          <w:i/>
          <w:szCs w:val="22"/>
        </w:rPr>
        <w:t>et al</w:t>
      </w:r>
      <w:r>
        <w:rPr>
          <w:rFonts w:cs="Arial"/>
          <w:i/>
          <w:szCs w:val="22"/>
        </w:rPr>
        <w:t>.</w:t>
      </w:r>
      <w:r>
        <w:rPr>
          <w:rFonts w:cs="Arial"/>
          <w:szCs w:val="22"/>
        </w:rPr>
        <w:t xml:space="preserve"> 2014).  </w:t>
      </w:r>
    </w:p>
    <w:p w:rsidR="00A067A8" w:rsidRDefault="00A067A8" w:rsidP="00A067A8">
      <w:pPr>
        <w:rPr>
          <w:rFonts w:cs="Arial"/>
          <w:szCs w:val="22"/>
        </w:rPr>
      </w:pPr>
    </w:p>
    <w:p w:rsidR="00A067A8" w:rsidRPr="0038380E" w:rsidRDefault="00A067A8" w:rsidP="00A067A8">
      <w:pPr>
        <w:rPr>
          <w:rFonts w:cs="Arial"/>
          <w:szCs w:val="22"/>
        </w:rPr>
      </w:pPr>
    </w:p>
    <w:p w:rsidR="00A067A8" w:rsidRDefault="00A067A8" w:rsidP="00A067A8">
      <w:pPr>
        <w:jc w:val="center"/>
        <w:rPr>
          <w:rFonts w:cs="Arial"/>
          <w:szCs w:val="22"/>
        </w:rPr>
      </w:pPr>
      <w:r>
        <w:rPr>
          <w:rFonts w:cs="Arial"/>
          <w:noProof/>
          <w:szCs w:val="22"/>
        </w:rPr>
        <w:drawing>
          <wp:inline distT="0" distB="0" distL="0" distR="0" wp14:anchorId="582E2490" wp14:editId="7D3D994D">
            <wp:extent cx="5194449" cy="22302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044" cy="2239044"/>
                    </a:xfrm>
                    <a:prstGeom prst="rect">
                      <a:avLst/>
                    </a:prstGeom>
                    <a:noFill/>
                  </pic:spPr>
                </pic:pic>
              </a:graphicData>
            </a:graphic>
          </wp:inline>
        </w:drawing>
      </w:r>
    </w:p>
    <w:p w:rsidR="00A067A8" w:rsidRPr="0038380E" w:rsidRDefault="00A067A8" w:rsidP="00A067A8">
      <w:pPr>
        <w:jc w:val="center"/>
        <w:rPr>
          <w:rFonts w:cs="Arial"/>
          <w:szCs w:val="22"/>
        </w:rPr>
      </w:pPr>
      <w:proofErr w:type="gramStart"/>
      <w:r w:rsidRPr="0038380E">
        <w:rPr>
          <w:rFonts w:cs="Arial"/>
          <w:szCs w:val="22"/>
        </w:rPr>
        <w:t>Figure 1.</w:t>
      </w:r>
      <w:proofErr w:type="gramEnd"/>
      <w:r w:rsidRPr="0038380E">
        <w:rPr>
          <w:rFonts w:cs="Arial"/>
          <w:szCs w:val="22"/>
        </w:rPr>
        <w:t xml:space="preserve"> </w:t>
      </w:r>
      <w:r>
        <w:rPr>
          <w:rFonts w:cs="Arial"/>
          <w:szCs w:val="22"/>
        </w:rPr>
        <w:t xml:space="preserve">Simplified block diagram for the </w:t>
      </w:r>
      <w:r w:rsidRPr="0038380E">
        <w:rPr>
          <w:rFonts w:cs="Arial"/>
          <w:szCs w:val="22"/>
        </w:rPr>
        <w:t xml:space="preserve">HTL/CHG plant and </w:t>
      </w:r>
      <w:r>
        <w:rPr>
          <w:rFonts w:cs="Arial"/>
          <w:szCs w:val="22"/>
        </w:rPr>
        <w:t xml:space="preserve">centralized </w:t>
      </w:r>
      <w:proofErr w:type="spellStart"/>
      <w:r>
        <w:rPr>
          <w:rFonts w:cs="Arial"/>
          <w:szCs w:val="22"/>
        </w:rPr>
        <w:t>biocrude</w:t>
      </w:r>
      <w:proofErr w:type="spellEnd"/>
      <w:r>
        <w:rPr>
          <w:rFonts w:cs="Arial"/>
          <w:szCs w:val="22"/>
        </w:rPr>
        <w:t xml:space="preserve"> upgrading plant receiving </w:t>
      </w:r>
      <w:proofErr w:type="spellStart"/>
      <w:r>
        <w:rPr>
          <w:rFonts w:cs="Arial"/>
          <w:szCs w:val="22"/>
        </w:rPr>
        <w:t>biocrude</w:t>
      </w:r>
      <w:proofErr w:type="spellEnd"/>
      <w:r>
        <w:rPr>
          <w:rFonts w:cs="Arial"/>
          <w:szCs w:val="22"/>
        </w:rPr>
        <w:t xml:space="preserve"> from multiple regional HTL facilities</w:t>
      </w:r>
      <w:r w:rsidRPr="0038380E">
        <w:rPr>
          <w:rFonts w:cs="Arial"/>
          <w:szCs w:val="22"/>
        </w:rPr>
        <w:t>.</w:t>
      </w:r>
    </w:p>
    <w:p w:rsidR="00A067A8" w:rsidRDefault="00A067A8" w:rsidP="00A067A8">
      <w:pPr>
        <w:jc w:val="center"/>
        <w:rPr>
          <w:rFonts w:cs="Arial"/>
          <w:szCs w:val="22"/>
        </w:rPr>
      </w:pPr>
    </w:p>
    <w:p w:rsidR="00A067A8" w:rsidRPr="0038380E" w:rsidRDefault="00A067A8" w:rsidP="00A067A8">
      <w:pPr>
        <w:rPr>
          <w:rFonts w:cs="Arial"/>
          <w:szCs w:val="22"/>
        </w:rPr>
      </w:pPr>
    </w:p>
    <w:p w:rsidR="00A067A8" w:rsidRPr="0038380E" w:rsidRDefault="00A067A8" w:rsidP="00A067A8">
      <w:pPr>
        <w:rPr>
          <w:rFonts w:cs="Arial"/>
          <w:szCs w:val="22"/>
        </w:rPr>
      </w:pPr>
    </w:p>
    <w:p w:rsidR="00A067A8" w:rsidRPr="0038380E" w:rsidRDefault="00A067A8" w:rsidP="00A067A8">
      <w:pPr>
        <w:pStyle w:val="Heading2"/>
        <w:numPr>
          <w:ilvl w:val="1"/>
          <w:numId w:val="47"/>
        </w:numPr>
      </w:pPr>
      <w:r w:rsidRPr="0038380E">
        <w:t>Feedstock and Plant Scale</w:t>
      </w:r>
    </w:p>
    <w:p w:rsidR="00A067A8" w:rsidRPr="0038380E" w:rsidRDefault="00A067A8" w:rsidP="00A067A8">
      <w:pPr>
        <w:rPr>
          <w:rFonts w:cs="Arial"/>
          <w:szCs w:val="22"/>
        </w:rPr>
      </w:pPr>
    </w:p>
    <w:p w:rsidR="00A067A8" w:rsidRDefault="00A067A8" w:rsidP="00A067A8">
      <w:pPr>
        <w:rPr>
          <w:rFonts w:cs="Arial"/>
          <w:szCs w:val="22"/>
        </w:rPr>
      </w:pPr>
      <w:r>
        <w:rPr>
          <w:rFonts w:cs="Arial"/>
          <w:szCs w:val="22"/>
        </w:rPr>
        <w:t xml:space="preserve">In FY15, </w:t>
      </w:r>
      <w:r w:rsidRPr="0038380E">
        <w:rPr>
          <w:rFonts w:cs="Arial"/>
          <w:szCs w:val="22"/>
        </w:rPr>
        <w:t xml:space="preserve">PNNL </w:t>
      </w:r>
      <w:r>
        <w:rPr>
          <w:rFonts w:cs="Arial"/>
          <w:szCs w:val="22"/>
        </w:rPr>
        <w:t xml:space="preserve">conducted experimental testing of HTL and </w:t>
      </w:r>
      <w:proofErr w:type="spellStart"/>
      <w:r>
        <w:rPr>
          <w:rFonts w:cs="Arial"/>
          <w:szCs w:val="22"/>
        </w:rPr>
        <w:t>biocrude</w:t>
      </w:r>
      <w:proofErr w:type="spellEnd"/>
      <w:r>
        <w:rPr>
          <w:rFonts w:cs="Arial"/>
          <w:szCs w:val="22"/>
        </w:rPr>
        <w:t xml:space="preserve"> </w:t>
      </w:r>
      <w:r w:rsidRPr="0038380E">
        <w:rPr>
          <w:rFonts w:cs="Arial"/>
          <w:szCs w:val="22"/>
        </w:rPr>
        <w:t xml:space="preserve">upgrading of WWTP plant sludge wastes provided by the </w:t>
      </w:r>
      <w:proofErr w:type="spellStart"/>
      <w:r w:rsidRPr="0038380E">
        <w:rPr>
          <w:rFonts w:cs="Arial"/>
          <w:szCs w:val="22"/>
        </w:rPr>
        <w:t>MetroVancouver</w:t>
      </w:r>
      <w:proofErr w:type="spellEnd"/>
      <w:r w:rsidRPr="0038380E">
        <w:rPr>
          <w:rFonts w:cs="Arial"/>
          <w:szCs w:val="22"/>
        </w:rPr>
        <w:t xml:space="preserve"> operated </w:t>
      </w:r>
      <w:proofErr w:type="spellStart"/>
      <w:r w:rsidRPr="0038380E">
        <w:rPr>
          <w:rFonts w:cs="Arial"/>
          <w:szCs w:val="22"/>
        </w:rPr>
        <w:t>Annacis</w:t>
      </w:r>
      <w:proofErr w:type="spellEnd"/>
      <w:r w:rsidRPr="0038380E">
        <w:rPr>
          <w:rFonts w:cs="Arial"/>
          <w:szCs w:val="22"/>
        </w:rPr>
        <w:t xml:space="preserve"> Island </w:t>
      </w:r>
      <w:proofErr w:type="gramStart"/>
      <w:r w:rsidRPr="0038380E">
        <w:rPr>
          <w:rFonts w:cs="Arial"/>
          <w:szCs w:val="22"/>
        </w:rPr>
        <w:t>WWTP  in</w:t>
      </w:r>
      <w:proofErr w:type="gramEnd"/>
      <w:r w:rsidRPr="0038380E">
        <w:rPr>
          <w:rFonts w:cs="Arial"/>
          <w:szCs w:val="22"/>
        </w:rPr>
        <w:t xml:space="preserve"> Vancouver, B.C.  The facility produces primary and secondary sludge solids that are further processed in </w:t>
      </w:r>
      <w:r>
        <w:rPr>
          <w:rFonts w:cs="Arial"/>
          <w:szCs w:val="22"/>
        </w:rPr>
        <w:t xml:space="preserve">thermophilic </w:t>
      </w:r>
      <w:r w:rsidRPr="0038380E">
        <w:rPr>
          <w:rFonts w:cs="Arial"/>
          <w:szCs w:val="22"/>
        </w:rPr>
        <w:t>anaerobic digesters,</w:t>
      </w:r>
      <w:r>
        <w:rPr>
          <w:rFonts w:cs="Arial"/>
          <w:szCs w:val="22"/>
        </w:rPr>
        <w:t xml:space="preserve"> resulting in Class A </w:t>
      </w:r>
      <w:proofErr w:type="spellStart"/>
      <w:r>
        <w:rPr>
          <w:rFonts w:cs="Arial"/>
          <w:szCs w:val="22"/>
        </w:rPr>
        <w:t>biosolids</w:t>
      </w:r>
      <w:proofErr w:type="spellEnd"/>
      <w:r>
        <w:rPr>
          <w:rFonts w:cs="Arial"/>
          <w:szCs w:val="22"/>
        </w:rPr>
        <w:t xml:space="preserve">.  </w:t>
      </w:r>
      <w:r w:rsidRPr="0038380E">
        <w:rPr>
          <w:rFonts w:cs="Arial"/>
          <w:szCs w:val="22"/>
        </w:rPr>
        <w:t xml:space="preserve">Class A </w:t>
      </w:r>
      <w:proofErr w:type="spellStart"/>
      <w:r w:rsidRPr="0038380E">
        <w:rPr>
          <w:rFonts w:cs="Arial"/>
          <w:szCs w:val="22"/>
        </w:rPr>
        <w:t>biosolids</w:t>
      </w:r>
      <w:proofErr w:type="spellEnd"/>
      <w:r w:rsidRPr="0038380E">
        <w:rPr>
          <w:rFonts w:cs="Arial"/>
          <w:szCs w:val="22"/>
        </w:rPr>
        <w:t xml:space="preserve"> is the designation for sewage solids that meet U.S. EPA guidelines for land application with no restrictions</w:t>
      </w:r>
      <w:r>
        <w:rPr>
          <w:rFonts w:cs="Arial"/>
          <w:szCs w:val="22"/>
        </w:rPr>
        <w:t xml:space="preserve"> (EPA 2015)</w:t>
      </w:r>
      <w:r w:rsidRPr="0038380E">
        <w:rPr>
          <w:rFonts w:cs="Arial"/>
          <w:szCs w:val="22"/>
        </w:rPr>
        <w:t xml:space="preserve">. </w:t>
      </w:r>
      <w:r>
        <w:rPr>
          <w:rFonts w:cs="Arial"/>
          <w:szCs w:val="22"/>
        </w:rPr>
        <w:t xml:space="preserve">The </w:t>
      </w:r>
      <w:proofErr w:type="spellStart"/>
      <w:r>
        <w:rPr>
          <w:rFonts w:cs="Arial"/>
          <w:szCs w:val="22"/>
        </w:rPr>
        <w:t>Annacis</w:t>
      </w:r>
      <w:proofErr w:type="spellEnd"/>
      <w:r>
        <w:rPr>
          <w:rFonts w:cs="Arial"/>
          <w:szCs w:val="22"/>
        </w:rPr>
        <w:t xml:space="preserve"> Island WWTP’s anaerobic digestion facility is shown in Figure 2. </w:t>
      </w:r>
    </w:p>
    <w:p w:rsidR="00A067A8" w:rsidRDefault="00A067A8" w:rsidP="00A067A8">
      <w:pPr>
        <w:rPr>
          <w:rFonts w:cs="Arial"/>
          <w:szCs w:val="22"/>
        </w:rPr>
      </w:pPr>
    </w:p>
    <w:p w:rsidR="00A067A8" w:rsidRDefault="00A067A8" w:rsidP="00A067A8">
      <w:pPr>
        <w:rPr>
          <w:rFonts w:cs="Arial"/>
          <w:szCs w:val="22"/>
        </w:rPr>
      </w:pPr>
    </w:p>
    <w:p w:rsidR="00A067A8" w:rsidRDefault="00A067A8" w:rsidP="00A067A8">
      <w:pPr>
        <w:jc w:val="center"/>
        <w:rPr>
          <w:rFonts w:cs="Arial"/>
          <w:szCs w:val="22"/>
        </w:rPr>
      </w:pPr>
      <w:r>
        <w:rPr>
          <w:rFonts w:ascii="Calibri" w:hAnsi="Calibri" w:cs="Calibri"/>
          <w:noProof/>
          <w:szCs w:val="22"/>
        </w:rPr>
        <w:lastRenderedPageBreak/>
        <w:drawing>
          <wp:inline distT="0" distB="0" distL="0" distR="0" wp14:anchorId="1166EB87" wp14:editId="346651B7">
            <wp:extent cx="4848225" cy="305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0717" cy="3052898"/>
                    </a:xfrm>
                    <a:prstGeom prst="rect">
                      <a:avLst/>
                    </a:prstGeom>
                    <a:noFill/>
                    <a:ln>
                      <a:noFill/>
                    </a:ln>
                  </pic:spPr>
                </pic:pic>
              </a:graphicData>
            </a:graphic>
          </wp:inline>
        </w:drawing>
      </w:r>
    </w:p>
    <w:p w:rsidR="00A067A8" w:rsidRDefault="00A067A8" w:rsidP="00A067A8">
      <w:pPr>
        <w:jc w:val="center"/>
        <w:rPr>
          <w:rFonts w:cs="Arial"/>
          <w:szCs w:val="22"/>
        </w:rPr>
      </w:pPr>
      <w:proofErr w:type="gramStart"/>
      <w:r>
        <w:rPr>
          <w:rFonts w:cs="Arial"/>
          <w:szCs w:val="22"/>
        </w:rPr>
        <w:t>Figure 2.</w:t>
      </w:r>
      <w:proofErr w:type="gramEnd"/>
      <w:r>
        <w:rPr>
          <w:rFonts w:cs="Arial"/>
          <w:szCs w:val="22"/>
        </w:rPr>
        <w:t xml:space="preserve"> Simplified flow diagram of </w:t>
      </w:r>
      <w:proofErr w:type="spellStart"/>
      <w:r>
        <w:rPr>
          <w:rFonts w:cs="Arial"/>
          <w:szCs w:val="22"/>
        </w:rPr>
        <w:t>Annacis</w:t>
      </w:r>
      <w:proofErr w:type="spellEnd"/>
      <w:r>
        <w:rPr>
          <w:rFonts w:cs="Arial"/>
          <w:szCs w:val="22"/>
        </w:rPr>
        <w:t xml:space="preserve"> Island WWTP showing primary and secondary sludge generation that is then treated with thermophilic anaerobic digestion.</w:t>
      </w:r>
    </w:p>
    <w:p w:rsidR="00A067A8" w:rsidRDefault="00A067A8" w:rsidP="00A067A8">
      <w:pPr>
        <w:rPr>
          <w:rFonts w:cs="Arial"/>
          <w:szCs w:val="22"/>
        </w:rPr>
      </w:pPr>
    </w:p>
    <w:p w:rsidR="00A067A8" w:rsidRPr="0038380E" w:rsidRDefault="00A067A8" w:rsidP="00A067A8">
      <w:pPr>
        <w:rPr>
          <w:rFonts w:cs="Arial"/>
          <w:szCs w:val="22"/>
        </w:rPr>
      </w:pPr>
    </w:p>
    <w:p w:rsidR="00A067A8" w:rsidRPr="0038380E" w:rsidRDefault="00A067A8" w:rsidP="00A067A8">
      <w:pPr>
        <w:rPr>
          <w:rFonts w:cs="Arial"/>
          <w:szCs w:val="22"/>
        </w:rPr>
      </w:pPr>
      <w:r>
        <w:rPr>
          <w:rFonts w:cs="Arial"/>
          <w:szCs w:val="22"/>
        </w:rPr>
        <w:t xml:space="preserve">Experimental data for primary sludge was used in the process modeling for this analysis. Based on PNNL’s FY15 resource assessment, a scale </w:t>
      </w:r>
      <w:proofErr w:type="gramStart"/>
      <w:r>
        <w:rPr>
          <w:rFonts w:cs="Arial"/>
          <w:szCs w:val="22"/>
        </w:rPr>
        <w:t xml:space="preserve">of </w:t>
      </w:r>
      <w:r w:rsidRPr="0038380E">
        <w:rPr>
          <w:rFonts w:cs="Arial"/>
          <w:szCs w:val="22"/>
        </w:rPr>
        <w:t>100 dry ton/day</w:t>
      </w:r>
      <w:proofErr w:type="gramEnd"/>
      <w:r w:rsidRPr="0038380E">
        <w:rPr>
          <w:rFonts w:cs="Arial"/>
          <w:szCs w:val="22"/>
        </w:rPr>
        <w:t xml:space="preserve"> </w:t>
      </w:r>
      <w:r>
        <w:rPr>
          <w:rFonts w:cs="Arial"/>
          <w:szCs w:val="22"/>
        </w:rPr>
        <w:t xml:space="preserve">was chosen as the base case.  The sludge is assumed to be available at no cost and sensitivity analysis is conducted to investigate the effect of scale and sludge credit on the minimum fuel selling price (MFSP) of </w:t>
      </w:r>
      <w:proofErr w:type="spellStart"/>
      <w:r>
        <w:rPr>
          <w:rFonts w:cs="Arial"/>
          <w:szCs w:val="22"/>
        </w:rPr>
        <w:t>biocrude</w:t>
      </w:r>
      <w:proofErr w:type="spellEnd"/>
      <w:r>
        <w:rPr>
          <w:rFonts w:cs="Arial"/>
          <w:szCs w:val="22"/>
        </w:rPr>
        <w:t xml:space="preserve">.  </w:t>
      </w:r>
      <w:r w:rsidRPr="0038380E">
        <w:rPr>
          <w:rFonts w:cs="Arial"/>
          <w:szCs w:val="22"/>
        </w:rPr>
        <w:t xml:space="preserve">The </w:t>
      </w:r>
      <w:r>
        <w:rPr>
          <w:rFonts w:cs="Arial"/>
          <w:szCs w:val="22"/>
        </w:rPr>
        <w:t xml:space="preserve">upgrading plant </w:t>
      </w:r>
      <w:r w:rsidRPr="0038380E">
        <w:rPr>
          <w:rFonts w:cs="Arial"/>
          <w:szCs w:val="22"/>
        </w:rPr>
        <w:t xml:space="preserve">is assumed to receive </w:t>
      </w:r>
      <w:proofErr w:type="spellStart"/>
      <w:r>
        <w:rPr>
          <w:rFonts w:cs="Arial"/>
          <w:szCs w:val="22"/>
        </w:rPr>
        <w:t>biocrude</w:t>
      </w:r>
      <w:proofErr w:type="spellEnd"/>
      <w:r w:rsidRPr="0038380E">
        <w:rPr>
          <w:rFonts w:cs="Arial"/>
          <w:szCs w:val="22"/>
        </w:rPr>
        <w:t xml:space="preserve"> </w:t>
      </w:r>
      <w:r>
        <w:rPr>
          <w:rFonts w:cs="Arial"/>
          <w:szCs w:val="22"/>
        </w:rPr>
        <w:t xml:space="preserve">from 25 HTL facilities and to produce 1,432 BPSD of naphtha and 3,615 </w:t>
      </w:r>
      <w:r w:rsidRPr="0038380E">
        <w:rPr>
          <w:rFonts w:cs="Arial"/>
          <w:szCs w:val="22"/>
        </w:rPr>
        <w:t xml:space="preserve">BPSD </w:t>
      </w:r>
      <w:r>
        <w:rPr>
          <w:rFonts w:cs="Arial"/>
          <w:szCs w:val="22"/>
        </w:rPr>
        <w:t>of diesel</w:t>
      </w:r>
      <w:r w:rsidRPr="0038380E">
        <w:rPr>
          <w:rFonts w:cs="Arial"/>
          <w:szCs w:val="22"/>
        </w:rPr>
        <w:t xml:space="preserve">.  </w:t>
      </w:r>
      <w:r>
        <w:t xml:space="preserve">The choice of this scale is roughly based upon the number and capacity of existing WWTPs that produce around 100 ton/day and what the sludge availability might be within a reasonable transportation radius.  </w:t>
      </w:r>
      <w:r>
        <w:rPr>
          <w:rFonts w:cs="Arial"/>
          <w:szCs w:val="22"/>
        </w:rPr>
        <w:t xml:space="preserve">This plant size is also in the range of other BETO design cases (Jones </w:t>
      </w:r>
      <w:r>
        <w:rPr>
          <w:rFonts w:cs="Arial"/>
          <w:i/>
          <w:szCs w:val="22"/>
        </w:rPr>
        <w:t xml:space="preserve">et al. </w:t>
      </w:r>
      <w:r>
        <w:rPr>
          <w:rFonts w:cs="Arial"/>
          <w:szCs w:val="22"/>
        </w:rPr>
        <w:t xml:space="preserve">2014, Jones </w:t>
      </w:r>
      <w:r>
        <w:rPr>
          <w:rFonts w:cs="Arial"/>
          <w:i/>
          <w:szCs w:val="22"/>
        </w:rPr>
        <w:t xml:space="preserve">et al. </w:t>
      </w:r>
      <w:r w:rsidRPr="00075C64">
        <w:rPr>
          <w:rFonts w:cs="Arial"/>
          <w:szCs w:val="22"/>
        </w:rPr>
        <w:t>2013</w:t>
      </w:r>
      <w:r>
        <w:rPr>
          <w:rFonts w:cs="Arial"/>
          <w:szCs w:val="22"/>
        </w:rPr>
        <w:t>).  For comparison, the average scale for gasoline and diesel production at U.S. refineries is about 50,000 BPSD (EIA 2015).  Sensitivity analysis was conducted for both the HTL and upgrading plant scales.</w:t>
      </w:r>
    </w:p>
    <w:p w:rsidR="00A067A8" w:rsidRPr="0038380E" w:rsidRDefault="00A067A8" w:rsidP="00A067A8">
      <w:pPr>
        <w:rPr>
          <w:rFonts w:cs="Arial"/>
          <w:szCs w:val="22"/>
        </w:rPr>
      </w:pPr>
    </w:p>
    <w:p w:rsidR="00A067A8" w:rsidRPr="0038380E" w:rsidRDefault="00A067A8" w:rsidP="00A067A8">
      <w:pPr>
        <w:rPr>
          <w:rFonts w:cs="Arial"/>
          <w:szCs w:val="22"/>
        </w:rPr>
      </w:pPr>
      <w:r w:rsidRPr="0038380E">
        <w:rPr>
          <w:rFonts w:cs="Arial"/>
          <w:szCs w:val="22"/>
        </w:rPr>
        <w:t>Table 1</w:t>
      </w:r>
      <w:r>
        <w:rPr>
          <w:rFonts w:cs="Arial"/>
          <w:szCs w:val="22"/>
        </w:rPr>
        <w:t xml:space="preserve"> lists</w:t>
      </w:r>
      <w:r w:rsidRPr="0038380E">
        <w:rPr>
          <w:rFonts w:cs="Arial"/>
          <w:szCs w:val="22"/>
        </w:rPr>
        <w:t xml:space="preserve"> </w:t>
      </w:r>
      <w:r>
        <w:rPr>
          <w:rFonts w:cs="Arial"/>
          <w:szCs w:val="22"/>
        </w:rPr>
        <w:t xml:space="preserve">the </w:t>
      </w:r>
      <w:r w:rsidRPr="0038380E">
        <w:rPr>
          <w:rFonts w:cs="Arial"/>
          <w:szCs w:val="22"/>
        </w:rPr>
        <w:t xml:space="preserve">primary sludge composition </w:t>
      </w:r>
      <w:r>
        <w:rPr>
          <w:rFonts w:cs="Arial"/>
          <w:szCs w:val="22"/>
        </w:rPr>
        <w:t xml:space="preserve">data used in the </w:t>
      </w:r>
      <w:proofErr w:type="spellStart"/>
      <w:r>
        <w:rPr>
          <w:rFonts w:cs="Arial"/>
          <w:szCs w:val="22"/>
        </w:rPr>
        <w:t>AspenPlus</w:t>
      </w:r>
      <w:proofErr w:type="spellEnd"/>
      <w:r>
        <w:rPr>
          <w:rFonts w:cs="Arial"/>
          <w:szCs w:val="22"/>
        </w:rPr>
        <w:t xml:space="preserve"> model</w:t>
      </w:r>
      <w:r w:rsidRPr="0038380E">
        <w:rPr>
          <w:rFonts w:cs="Arial"/>
          <w:szCs w:val="22"/>
        </w:rPr>
        <w:t xml:space="preserve">.  The original sample received from the WWTP </w:t>
      </w:r>
      <w:r>
        <w:rPr>
          <w:rFonts w:cs="Arial"/>
          <w:szCs w:val="22"/>
        </w:rPr>
        <w:t>required dilution with water to 88</w:t>
      </w:r>
      <w:r w:rsidRPr="0038380E">
        <w:rPr>
          <w:rFonts w:cs="Arial"/>
          <w:szCs w:val="22"/>
        </w:rPr>
        <w:t xml:space="preserve">% </w:t>
      </w:r>
      <w:r>
        <w:rPr>
          <w:rFonts w:cs="Arial"/>
          <w:szCs w:val="22"/>
        </w:rPr>
        <w:t xml:space="preserve">moisture content (12% solids) in order </w:t>
      </w:r>
      <w:r w:rsidRPr="0038380E">
        <w:rPr>
          <w:rFonts w:cs="Arial"/>
          <w:szCs w:val="22"/>
        </w:rPr>
        <w:t xml:space="preserve">to facilitate pumping. </w:t>
      </w:r>
      <w:r>
        <w:rPr>
          <w:rFonts w:cs="Arial"/>
          <w:szCs w:val="22"/>
        </w:rPr>
        <w:t>It is assumed that the sludge would be dewatered at the WWTP to the level needed for the HTL process.  Costs for dewatering were not included in the analysis, and should be considered in future refinements of the model.</w:t>
      </w:r>
    </w:p>
    <w:p w:rsidR="00A067A8" w:rsidRPr="0038380E" w:rsidRDefault="00A067A8" w:rsidP="00A067A8">
      <w:pPr>
        <w:rPr>
          <w:rFonts w:cs="Arial"/>
          <w:szCs w:val="22"/>
        </w:rPr>
      </w:pPr>
    </w:p>
    <w:p w:rsidR="00A067A8" w:rsidRPr="0038380E" w:rsidRDefault="00A067A8" w:rsidP="00A067A8">
      <w:pPr>
        <w:jc w:val="center"/>
        <w:rPr>
          <w:rFonts w:cs="Arial"/>
          <w:szCs w:val="22"/>
        </w:rPr>
      </w:pPr>
      <w:r w:rsidRPr="00A865DD">
        <w:rPr>
          <w:rFonts w:cs="Arial"/>
          <w:b/>
          <w:szCs w:val="22"/>
        </w:rPr>
        <w:t>Table 1</w:t>
      </w:r>
      <w:r>
        <w:rPr>
          <w:rFonts w:cs="Arial"/>
          <w:szCs w:val="22"/>
        </w:rPr>
        <w:t xml:space="preserve"> Primary s</w:t>
      </w:r>
      <w:r w:rsidRPr="0038380E">
        <w:rPr>
          <w:rFonts w:cs="Arial"/>
          <w:szCs w:val="22"/>
        </w:rPr>
        <w:t>ludge biomass elemental composition and ash content.</w:t>
      </w:r>
    </w:p>
    <w:tbl>
      <w:tblPr>
        <w:tblStyle w:val="Header"/>
        <w:tblW w:w="0" w:type="auto"/>
        <w:jc w:val="center"/>
        <w:tblLook w:val="04A0" w:firstRow="1" w:lastRow="0" w:firstColumn="1" w:lastColumn="0" w:noHBand="0" w:noVBand="1"/>
      </w:tblPr>
      <w:tblGrid>
        <w:gridCol w:w="3014"/>
        <w:gridCol w:w="1759"/>
        <w:gridCol w:w="1988"/>
      </w:tblGrid>
      <w:tr w:rsidR="00A067A8" w:rsidRPr="001C6BD1" w:rsidTr="00A067A8">
        <w:trPr>
          <w:trHeight w:val="867"/>
          <w:jc w:val="center"/>
        </w:trPr>
        <w:tc>
          <w:tcPr>
            <w:tcW w:w="3014" w:type="dxa"/>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Primary Sludge Characteristics</w:t>
            </w:r>
          </w:p>
        </w:tc>
        <w:tc>
          <w:tcPr>
            <w:tcW w:w="3746" w:type="dxa"/>
            <w:gridSpan w:val="2"/>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Experimental data used in Model</w:t>
            </w:r>
            <w:r>
              <w:rPr>
                <w:rFonts w:eastAsiaTheme="minorHAnsi" w:cs="Arial"/>
                <w:b/>
                <w:sz w:val="20"/>
              </w:rPr>
              <w:t xml:space="preserve"> (WERF 02)</w:t>
            </w:r>
            <w:r w:rsidRPr="001C6BD1">
              <w:rPr>
                <w:rFonts w:eastAsiaTheme="minorHAnsi" w:cs="Arial"/>
                <w:b/>
                <w:i/>
                <w:sz w:val="20"/>
              </w:rPr>
              <w:t xml:space="preserve"> </w:t>
            </w:r>
          </w:p>
        </w:tc>
      </w:tr>
      <w:tr w:rsidR="00A067A8" w:rsidRPr="001C6BD1" w:rsidTr="00A067A8">
        <w:trPr>
          <w:trHeight w:val="304"/>
          <w:jc w:val="center"/>
        </w:trPr>
        <w:tc>
          <w:tcPr>
            <w:tcW w:w="3014" w:type="dxa"/>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Component</w:t>
            </w:r>
          </w:p>
        </w:tc>
        <w:tc>
          <w:tcPr>
            <w:tcW w:w="1759" w:type="dxa"/>
          </w:tcPr>
          <w:p w:rsidR="00A067A8" w:rsidRPr="001C6BD1" w:rsidRDefault="00A067A8" w:rsidP="00A067A8">
            <w:pPr>
              <w:spacing w:line="276" w:lineRule="auto"/>
              <w:jc w:val="center"/>
              <w:rPr>
                <w:rFonts w:eastAsiaTheme="minorHAnsi" w:cs="Arial"/>
                <w:b/>
                <w:sz w:val="20"/>
              </w:rPr>
            </w:pPr>
            <w:proofErr w:type="spellStart"/>
            <w:r w:rsidRPr="001C6BD1">
              <w:rPr>
                <w:rFonts w:eastAsiaTheme="minorHAnsi" w:cs="Arial"/>
                <w:b/>
                <w:sz w:val="20"/>
              </w:rPr>
              <w:t>Wt</w:t>
            </w:r>
            <w:proofErr w:type="spellEnd"/>
            <w:r w:rsidRPr="001C6BD1">
              <w:rPr>
                <w:rFonts w:eastAsiaTheme="minorHAnsi" w:cs="Arial"/>
                <w:b/>
                <w:sz w:val="20"/>
              </w:rPr>
              <w:t>%</w:t>
            </w:r>
          </w:p>
        </w:tc>
        <w:tc>
          <w:tcPr>
            <w:tcW w:w="1986" w:type="dxa"/>
          </w:tcPr>
          <w:p w:rsidR="00A067A8" w:rsidRPr="001C6BD1" w:rsidRDefault="00A067A8" w:rsidP="00A067A8">
            <w:pPr>
              <w:spacing w:line="276" w:lineRule="auto"/>
              <w:jc w:val="center"/>
              <w:rPr>
                <w:rFonts w:eastAsiaTheme="minorHAnsi" w:cs="Arial"/>
                <w:b/>
                <w:sz w:val="20"/>
              </w:rPr>
            </w:pPr>
            <w:proofErr w:type="spellStart"/>
            <w:r w:rsidRPr="001C6BD1">
              <w:rPr>
                <w:rFonts w:eastAsiaTheme="minorHAnsi" w:cs="Arial"/>
                <w:b/>
                <w:sz w:val="20"/>
              </w:rPr>
              <w:t>Wt</w:t>
            </w:r>
            <w:proofErr w:type="spellEnd"/>
            <w:r w:rsidRPr="001C6BD1">
              <w:rPr>
                <w:rFonts w:eastAsiaTheme="minorHAnsi" w:cs="Arial"/>
                <w:b/>
                <w:sz w:val="20"/>
              </w:rPr>
              <w:t>% ash free</w:t>
            </w: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C</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47.8</w:t>
            </w: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51.9</w:t>
            </w: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lastRenderedPageBreak/>
              <w:t>H</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6.5</w:t>
            </w: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7.1</w:t>
            </w: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O</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33.6</w:t>
            </w: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36.5</w:t>
            </w:r>
          </w:p>
        </w:tc>
      </w:tr>
      <w:tr w:rsidR="00A067A8" w:rsidRPr="001C6BD1" w:rsidTr="00A067A8">
        <w:trPr>
          <w:trHeight w:val="299"/>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N</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3.6</w:t>
            </w: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4.0</w:t>
            </w: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S</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0.5</w:t>
            </w: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0.5</w:t>
            </w: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ash</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7.5</w:t>
            </w:r>
          </w:p>
        </w:tc>
        <w:tc>
          <w:tcPr>
            <w:tcW w:w="1986" w:type="dxa"/>
          </w:tcPr>
          <w:p w:rsidR="00A067A8" w:rsidRPr="001C6BD1" w:rsidRDefault="00A067A8" w:rsidP="00A067A8">
            <w:pPr>
              <w:spacing w:line="276" w:lineRule="auto"/>
              <w:jc w:val="center"/>
              <w:rPr>
                <w:rFonts w:eastAsiaTheme="minorHAnsi" w:cs="Arial"/>
                <w:sz w:val="20"/>
              </w:rPr>
            </w:pPr>
          </w:p>
        </w:tc>
      </w:tr>
      <w:tr w:rsidR="00A067A8" w:rsidRPr="001C6BD1" w:rsidTr="00A067A8">
        <w:trPr>
          <w:trHeight w:val="284"/>
          <w:jc w:val="center"/>
        </w:trPr>
        <w:tc>
          <w:tcPr>
            <w:tcW w:w="301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P</w:t>
            </w:r>
          </w:p>
        </w:tc>
        <w:tc>
          <w:tcPr>
            <w:tcW w:w="1759"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0.7</w:t>
            </w:r>
          </w:p>
        </w:tc>
        <w:tc>
          <w:tcPr>
            <w:tcW w:w="1986" w:type="dxa"/>
          </w:tcPr>
          <w:p w:rsidR="00A067A8" w:rsidRPr="001C6BD1" w:rsidRDefault="00A067A8" w:rsidP="00A067A8">
            <w:pPr>
              <w:spacing w:line="276" w:lineRule="auto"/>
              <w:jc w:val="center"/>
              <w:rPr>
                <w:rFonts w:eastAsiaTheme="minorHAnsi" w:cs="Arial"/>
                <w:sz w:val="20"/>
              </w:rPr>
            </w:pPr>
          </w:p>
        </w:tc>
      </w:tr>
      <w:tr w:rsidR="00A067A8" w:rsidRPr="001C6BD1" w:rsidTr="00A067A8">
        <w:trPr>
          <w:trHeight w:val="284"/>
          <w:jc w:val="center"/>
        </w:trPr>
        <w:tc>
          <w:tcPr>
            <w:tcW w:w="3014" w:type="dxa"/>
          </w:tcPr>
          <w:p w:rsidR="00A067A8" w:rsidRPr="001C6BD1" w:rsidRDefault="00A067A8" w:rsidP="00A067A8">
            <w:pPr>
              <w:spacing w:line="276" w:lineRule="auto"/>
              <w:rPr>
                <w:rFonts w:eastAsiaTheme="minorHAnsi" w:cs="Arial"/>
                <w:sz w:val="20"/>
              </w:rPr>
            </w:pPr>
            <w:r w:rsidRPr="001C6BD1">
              <w:rPr>
                <w:rFonts w:eastAsiaTheme="minorHAnsi" w:cs="Arial"/>
                <w:sz w:val="20"/>
              </w:rPr>
              <w:t>HHV BTU/lb</w:t>
            </w:r>
            <w:r w:rsidRPr="001C6BD1">
              <w:rPr>
                <w:rFonts w:eastAsiaTheme="minorHAnsi" w:cs="Arial"/>
                <w:sz w:val="20"/>
                <w:vertAlign w:val="superscript"/>
              </w:rPr>
              <w:t>1</w:t>
            </w:r>
          </w:p>
        </w:tc>
        <w:tc>
          <w:tcPr>
            <w:tcW w:w="1759" w:type="dxa"/>
          </w:tcPr>
          <w:p w:rsidR="00A067A8" w:rsidRPr="001C6BD1" w:rsidRDefault="00A067A8" w:rsidP="00A067A8">
            <w:pPr>
              <w:spacing w:line="276" w:lineRule="auto"/>
              <w:jc w:val="center"/>
              <w:rPr>
                <w:rFonts w:eastAsiaTheme="minorHAnsi" w:cs="Arial"/>
                <w:sz w:val="20"/>
              </w:rPr>
            </w:pPr>
          </w:p>
        </w:tc>
        <w:tc>
          <w:tcPr>
            <w:tcW w:w="1986"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9,589</w:t>
            </w:r>
          </w:p>
        </w:tc>
      </w:tr>
      <w:tr w:rsidR="00A067A8" w:rsidRPr="001C6BD1" w:rsidTr="00A067A8">
        <w:trPr>
          <w:trHeight w:val="702"/>
          <w:jc w:val="center"/>
        </w:trPr>
        <w:tc>
          <w:tcPr>
            <w:tcW w:w="6761" w:type="dxa"/>
            <w:gridSpan w:val="3"/>
          </w:tcPr>
          <w:p w:rsidR="00A067A8" w:rsidRPr="001C6BD1" w:rsidRDefault="00A067A8" w:rsidP="00A067A8">
            <w:pPr>
              <w:spacing w:line="276" w:lineRule="auto"/>
              <w:jc w:val="center"/>
              <w:rPr>
                <w:rFonts w:eastAsiaTheme="minorHAnsi" w:cs="Arial"/>
                <w:sz w:val="20"/>
              </w:rPr>
            </w:pPr>
            <w:r w:rsidRPr="001C6BD1">
              <w:rPr>
                <w:rFonts w:eastAsiaTheme="minorHAnsi" w:cs="Arial"/>
                <w:sz w:val="20"/>
                <w:vertAlign w:val="superscript"/>
              </w:rPr>
              <w:t>1</w:t>
            </w:r>
            <w:r w:rsidRPr="001C6BD1">
              <w:rPr>
                <w:rFonts w:eastAsiaTheme="minorHAnsi" w:cs="Arial"/>
                <w:sz w:val="20"/>
              </w:rPr>
              <w:t xml:space="preserve">Calculated by the </w:t>
            </w:r>
            <w:proofErr w:type="spellStart"/>
            <w:r w:rsidRPr="001C6BD1">
              <w:rPr>
                <w:rFonts w:eastAsiaTheme="minorHAnsi" w:cs="Arial"/>
                <w:sz w:val="20"/>
              </w:rPr>
              <w:t>Boie</w:t>
            </w:r>
            <w:proofErr w:type="spellEnd"/>
            <w:r w:rsidRPr="001C6BD1">
              <w:rPr>
                <w:rFonts w:eastAsiaTheme="minorHAnsi" w:cs="Arial"/>
                <w:sz w:val="20"/>
              </w:rPr>
              <w:t xml:space="preserve"> Equation: HHV (Btu/</w:t>
            </w:r>
            <w:proofErr w:type="spellStart"/>
            <w:r w:rsidRPr="001C6BD1">
              <w:rPr>
                <w:rFonts w:eastAsiaTheme="minorHAnsi" w:cs="Arial"/>
                <w:sz w:val="20"/>
              </w:rPr>
              <w:t>lb</w:t>
            </w:r>
            <w:proofErr w:type="spellEnd"/>
            <w:r w:rsidRPr="001C6BD1">
              <w:rPr>
                <w:rFonts w:eastAsiaTheme="minorHAnsi" w:cs="Arial"/>
                <w:sz w:val="20"/>
              </w:rPr>
              <w:t>) = (151.2 C + 499.77 H +45.0 S -47.7 O + 27 N) *100 - 189.0</w:t>
            </w:r>
          </w:p>
        </w:tc>
      </w:tr>
    </w:tbl>
    <w:p w:rsidR="00A067A8" w:rsidRPr="0038380E" w:rsidRDefault="00A067A8" w:rsidP="00A067A8">
      <w:pPr>
        <w:rPr>
          <w:rFonts w:cs="Arial"/>
          <w:szCs w:val="22"/>
        </w:rPr>
      </w:pPr>
    </w:p>
    <w:p w:rsidR="00A067A8" w:rsidRPr="0038380E" w:rsidRDefault="00A067A8" w:rsidP="00A067A8">
      <w:pPr>
        <w:rPr>
          <w:rFonts w:cs="Arial"/>
          <w:szCs w:val="22"/>
        </w:rPr>
      </w:pPr>
    </w:p>
    <w:p w:rsidR="00A067A8" w:rsidRPr="0038380E" w:rsidRDefault="00A067A8" w:rsidP="00A067A8">
      <w:pPr>
        <w:pStyle w:val="Heading2"/>
        <w:numPr>
          <w:ilvl w:val="1"/>
          <w:numId w:val="47"/>
        </w:numPr>
      </w:pPr>
      <w:r w:rsidRPr="0038380E">
        <w:t>Hydrothermal Liquefaction</w:t>
      </w:r>
    </w:p>
    <w:p w:rsidR="00A067A8" w:rsidRPr="0038380E" w:rsidRDefault="00A067A8" w:rsidP="00A067A8">
      <w:pPr>
        <w:rPr>
          <w:rFonts w:cs="Arial"/>
          <w:b/>
          <w:szCs w:val="22"/>
        </w:rPr>
      </w:pPr>
    </w:p>
    <w:p w:rsidR="00A067A8" w:rsidRDefault="00A067A8" w:rsidP="00A067A8">
      <w:bookmarkStart w:id="1" w:name="_Toc381557110"/>
      <w:r>
        <w:t xml:space="preserve">As described previously for the algae HTL process (Jones </w:t>
      </w:r>
      <w:r w:rsidRPr="00F20BAA">
        <w:rPr>
          <w:i/>
        </w:rPr>
        <w:t>et al</w:t>
      </w:r>
      <w:r>
        <w:t xml:space="preserve"> 2014), the HTL slurry feed (sludge + water) is pumped and preheated to the reactor conditions of 2926 </w:t>
      </w:r>
      <w:proofErr w:type="spellStart"/>
      <w:r>
        <w:t>psia</w:t>
      </w:r>
      <w:proofErr w:type="spellEnd"/>
      <w:r>
        <w:t xml:space="preserve"> and 622</w:t>
      </w:r>
      <w:r w:rsidRPr="00016838">
        <w:rPr>
          <w:rFonts w:eastAsiaTheme="minorHAnsi" w:cs="Arial"/>
          <w:szCs w:val="22"/>
        </w:rPr>
        <w:t>°F</w:t>
      </w:r>
      <w:r>
        <w:t xml:space="preserve"> (339</w:t>
      </w:r>
      <w:r w:rsidRPr="00435CBE">
        <w:rPr>
          <w:rFonts w:eastAsiaTheme="minorHAnsi" w:cs="Arial"/>
          <w:szCs w:val="22"/>
        </w:rPr>
        <w:t>°C</w:t>
      </w:r>
      <w:r>
        <w:rPr>
          <w:rFonts w:eastAsiaTheme="minorHAnsi" w:cs="Arial"/>
          <w:szCs w:val="22"/>
        </w:rPr>
        <w:t xml:space="preserve">).  The reactor effluent is composed of an organic </w:t>
      </w:r>
      <w:proofErr w:type="spellStart"/>
      <w:r>
        <w:rPr>
          <w:rFonts w:eastAsiaTheme="minorHAnsi" w:cs="Arial"/>
          <w:szCs w:val="22"/>
        </w:rPr>
        <w:t>biocrude</w:t>
      </w:r>
      <w:proofErr w:type="spellEnd"/>
      <w:r>
        <w:rPr>
          <w:rFonts w:eastAsiaTheme="minorHAnsi" w:cs="Arial"/>
          <w:szCs w:val="22"/>
        </w:rPr>
        <w:t xml:space="preserve"> phase, a separate aqueous phase, and small amounts of solids and gases.  Solids are filtered and the </w:t>
      </w:r>
      <w:proofErr w:type="spellStart"/>
      <w:r>
        <w:rPr>
          <w:rFonts w:eastAsiaTheme="minorHAnsi" w:cs="Arial"/>
          <w:szCs w:val="22"/>
        </w:rPr>
        <w:t>biocrude</w:t>
      </w:r>
      <w:proofErr w:type="spellEnd"/>
      <w:r>
        <w:rPr>
          <w:rFonts w:eastAsiaTheme="minorHAnsi" w:cs="Arial"/>
          <w:szCs w:val="22"/>
        </w:rPr>
        <w:t xml:space="preserve">, aqueous and gas phases are cooled and then separated.  The </w:t>
      </w:r>
      <w:proofErr w:type="spellStart"/>
      <w:r>
        <w:rPr>
          <w:rFonts w:eastAsiaTheme="minorHAnsi" w:cs="Arial"/>
          <w:szCs w:val="22"/>
        </w:rPr>
        <w:t>biocrude</w:t>
      </w:r>
      <w:proofErr w:type="spellEnd"/>
      <w:r>
        <w:rPr>
          <w:rFonts w:eastAsiaTheme="minorHAnsi" w:cs="Arial"/>
          <w:szCs w:val="22"/>
        </w:rPr>
        <w:t xml:space="preserve"> is then shipped to the upgrading facility, while the aqueous phase is treated by catalytic hydrothermal gasification (CHG) and the off-gas used for process heat.  Additional natural gas is needed to provide enough heat for the HTL and CHG processes.  The remaining heat is used to produce steam for a steam driver.  It is assumed that the solids are disposed of in a </w:t>
      </w:r>
      <w:proofErr w:type="gramStart"/>
      <w:r>
        <w:rPr>
          <w:rFonts w:eastAsiaTheme="minorHAnsi" w:cs="Arial"/>
          <w:szCs w:val="22"/>
        </w:rPr>
        <w:t>landfill,</w:t>
      </w:r>
      <w:proofErr w:type="gramEnd"/>
      <w:r>
        <w:rPr>
          <w:rFonts w:eastAsiaTheme="minorHAnsi" w:cs="Arial"/>
          <w:szCs w:val="22"/>
        </w:rPr>
        <w:t xml:space="preserve"> however, it may be possible to sell them for beneficial reuse (e.g., fertilizer).  </w:t>
      </w:r>
      <w:r>
        <w:t xml:space="preserve">Table 2 gives the HTL reactor conditions and product results from the experimental data and from the model.  </w:t>
      </w:r>
    </w:p>
    <w:p w:rsidR="00A067A8" w:rsidRDefault="00A067A8" w:rsidP="00A067A8"/>
    <w:p w:rsidR="00A067A8" w:rsidRDefault="00A067A8" w:rsidP="00A067A8">
      <w:r>
        <w:t xml:space="preserve">An important note for this preliminary analysis is that the </w:t>
      </w:r>
      <w:proofErr w:type="spellStart"/>
      <w:r>
        <w:t>biocrude</w:t>
      </w:r>
      <w:proofErr w:type="spellEnd"/>
      <w:r>
        <w:t xml:space="preserve"> chemical constituents chosen for inclusion in the sludge model are identical to those used in the algae model.  Only the amounts of each compound were changed to match the mass balance data from the sludge experimental testing.  It is recommended that any future work should include a more thorough analysis of the sludge </w:t>
      </w:r>
      <w:proofErr w:type="spellStart"/>
      <w:r>
        <w:t>biocrude</w:t>
      </w:r>
      <w:proofErr w:type="spellEnd"/>
      <w:r>
        <w:t xml:space="preserve"> GCMS data and incorporation of any needed changes to the modeled </w:t>
      </w:r>
      <w:proofErr w:type="spellStart"/>
      <w:r>
        <w:t>biocrude</w:t>
      </w:r>
      <w:proofErr w:type="spellEnd"/>
      <w:r>
        <w:t xml:space="preserve"> chemical component list.</w:t>
      </w:r>
    </w:p>
    <w:p w:rsidR="00A067A8" w:rsidRDefault="00A067A8" w:rsidP="00A067A8"/>
    <w:p w:rsidR="00A067A8" w:rsidRPr="0038380E" w:rsidRDefault="00A067A8" w:rsidP="00A067A8">
      <w:pPr>
        <w:pStyle w:val="Style1"/>
        <w:rPr>
          <w:rFonts w:ascii="Arial" w:hAnsi="Arial" w:cs="Arial"/>
        </w:rPr>
      </w:pPr>
      <w:r w:rsidRPr="0038380E">
        <w:rPr>
          <w:rFonts w:ascii="Arial" w:hAnsi="Arial" w:cs="Arial"/>
        </w:rPr>
        <w:t xml:space="preserve">Table </w:t>
      </w:r>
      <w:r>
        <w:rPr>
          <w:rFonts w:ascii="Arial" w:hAnsi="Arial" w:cs="Arial"/>
        </w:rPr>
        <w:t>2</w:t>
      </w:r>
      <w:r w:rsidRPr="0038380E">
        <w:rPr>
          <w:rFonts w:ascii="Arial" w:hAnsi="Arial" w:cs="Arial"/>
        </w:rPr>
        <w:t xml:space="preserve"> </w:t>
      </w:r>
      <w:r w:rsidRPr="0038380E">
        <w:rPr>
          <w:rFonts w:ascii="Arial" w:hAnsi="Arial" w:cs="Arial"/>
          <w:b w:val="0"/>
        </w:rPr>
        <w:t>Primary sludge HTL experimental results and model assumptions</w:t>
      </w:r>
      <w:bookmarkEnd w:id="1"/>
    </w:p>
    <w:tbl>
      <w:tblPr>
        <w:tblStyle w:val="Header"/>
        <w:tblW w:w="0" w:type="auto"/>
        <w:jc w:val="center"/>
        <w:tblLook w:val="04A0" w:firstRow="1" w:lastRow="0" w:firstColumn="1" w:lastColumn="0" w:noHBand="0" w:noVBand="1"/>
      </w:tblPr>
      <w:tblGrid>
        <w:gridCol w:w="3190"/>
        <w:gridCol w:w="1935"/>
        <w:gridCol w:w="1798"/>
      </w:tblGrid>
      <w:tr w:rsidR="00A067A8" w:rsidRPr="001C6BD1" w:rsidTr="00A067A8">
        <w:trPr>
          <w:jc w:val="center"/>
        </w:trPr>
        <w:tc>
          <w:tcPr>
            <w:tcW w:w="3190"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Operating Conditions and Results</w:t>
            </w:r>
          </w:p>
        </w:tc>
        <w:tc>
          <w:tcPr>
            <w:tcW w:w="1935"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Experimental Results</w:t>
            </w:r>
            <w:r>
              <w:rPr>
                <w:rFonts w:eastAsiaTheme="minorHAnsi" w:cs="Arial"/>
                <w:b/>
                <w:sz w:val="20"/>
              </w:rPr>
              <w:t xml:space="preserve"> (WERF 02 1240)</w:t>
            </w:r>
          </w:p>
        </w:tc>
        <w:tc>
          <w:tcPr>
            <w:tcW w:w="1798"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Aspen  Model</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Temperature, °F (°C)</w:t>
            </w:r>
          </w:p>
        </w:tc>
        <w:tc>
          <w:tcPr>
            <w:tcW w:w="1935"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642 (339)</w:t>
            </w:r>
          </w:p>
        </w:tc>
        <w:tc>
          <w:tcPr>
            <w:tcW w:w="1798"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642 (339)</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Pressure, </w:t>
            </w:r>
            <w:proofErr w:type="spellStart"/>
            <w:r w:rsidRPr="001C6BD1">
              <w:rPr>
                <w:rFonts w:eastAsiaTheme="minorHAnsi" w:cs="Arial"/>
                <w:sz w:val="20"/>
              </w:rPr>
              <w:t>psia</w:t>
            </w:r>
            <w:proofErr w:type="spellEnd"/>
          </w:p>
        </w:tc>
        <w:tc>
          <w:tcPr>
            <w:tcW w:w="1935"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2926</w:t>
            </w:r>
          </w:p>
        </w:tc>
        <w:tc>
          <w:tcPr>
            <w:tcW w:w="1798"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2926</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Feed solids, </w:t>
            </w:r>
            <w:proofErr w:type="spellStart"/>
            <w:r w:rsidRPr="001C6BD1">
              <w:rPr>
                <w:rFonts w:eastAsiaTheme="minorHAnsi" w:cs="Arial"/>
                <w:sz w:val="20"/>
              </w:rPr>
              <w:t>wt</w:t>
            </w:r>
            <w:proofErr w:type="spellEnd"/>
            <w:r w:rsidRPr="001C6BD1">
              <w:rPr>
                <w:rFonts w:eastAsiaTheme="minorHAnsi" w:cs="Arial"/>
                <w:sz w:val="20"/>
              </w:rPr>
              <w:t xml:space="preserve">% </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Ash included</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Ash free basis</w:t>
            </w:r>
          </w:p>
        </w:tc>
        <w:tc>
          <w:tcPr>
            <w:tcW w:w="1935" w:type="dxa"/>
            <w:vAlign w:val="center"/>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11.9%</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11.0%</w:t>
            </w:r>
          </w:p>
        </w:tc>
        <w:tc>
          <w:tcPr>
            <w:tcW w:w="1798" w:type="dxa"/>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12.0%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11.2%</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LHSV, vol./h per vol. reactor </w:t>
            </w:r>
          </w:p>
          <w:p w:rsidR="00A067A8" w:rsidRPr="001C6BD1" w:rsidRDefault="00A067A8" w:rsidP="00A067A8">
            <w:pPr>
              <w:spacing w:line="276" w:lineRule="auto"/>
              <w:rPr>
                <w:rFonts w:eastAsiaTheme="minorHAnsi" w:cs="Arial"/>
                <w:sz w:val="20"/>
              </w:rPr>
            </w:pPr>
            <w:r w:rsidRPr="001C6BD1">
              <w:rPr>
                <w:rFonts w:eastAsiaTheme="minorHAnsi" w:cs="Arial"/>
                <w:sz w:val="20"/>
              </w:rPr>
              <w:t>Equivalent residence time, minutes</w:t>
            </w:r>
          </w:p>
        </w:tc>
        <w:tc>
          <w:tcPr>
            <w:tcW w:w="1935" w:type="dxa"/>
            <w:vAlign w:val="center"/>
          </w:tcPr>
          <w:p w:rsidR="00A067A8" w:rsidRPr="001C6BD1" w:rsidRDefault="00A067A8" w:rsidP="00A067A8">
            <w:pPr>
              <w:spacing w:line="276" w:lineRule="auto"/>
              <w:jc w:val="center"/>
              <w:rPr>
                <w:rFonts w:eastAsiaTheme="minorHAnsi" w:cs="Arial"/>
                <w:sz w:val="20"/>
              </w:rPr>
            </w:pPr>
            <w:r>
              <w:rPr>
                <w:rFonts w:eastAsiaTheme="minorHAnsi" w:cs="Arial"/>
                <w:sz w:val="20"/>
              </w:rPr>
              <w:t>2.1</w:t>
            </w:r>
            <w:r w:rsidRPr="001C6BD1">
              <w:rPr>
                <w:rFonts w:eastAsiaTheme="minorHAnsi" w:cs="Arial"/>
                <w:sz w:val="20"/>
              </w:rPr>
              <w:t xml:space="preserve"> Hybrid PFR-CSTR</w:t>
            </w:r>
          </w:p>
          <w:p w:rsidR="00A067A8" w:rsidRPr="001C6BD1" w:rsidRDefault="00A067A8" w:rsidP="00A067A8">
            <w:pPr>
              <w:spacing w:line="276" w:lineRule="auto"/>
              <w:jc w:val="center"/>
              <w:rPr>
                <w:rFonts w:eastAsiaTheme="minorHAnsi" w:cs="Arial"/>
                <w:sz w:val="20"/>
                <w:highlight w:val="yellow"/>
              </w:rPr>
            </w:pPr>
            <w:r w:rsidRPr="00707471">
              <w:rPr>
                <w:rFonts w:eastAsiaTheme="minorHAnsi" w:cs="Arial"/>
                <w:sz w:val="20"/>
              </w:rPr>
              <w:t>29</w:t>
            </w:r>
          </w:p>
        </w:tc>
        <w:tc>
          <w:tcPr>
            <w:tcW w:w="1798" w:type="dxa"/>
          </w:tcPr>
          <w:p w:rsidR="00A067A8" w:rsidRPr="000E3B97" w:rsidRDefault="00A067A8" w:rsidP="00A067A8">
            <w:pPr>
              <w:spacing w:line="276" w:lineRule="auto"/>
              <w:jc w:val="center"/>
              <w:rPr>
                <w:rFonts w:eastAsiaTheme="minorHAnsi" w:cs="Arial"/>
                <w:sz w:val="20"/>
              </w:rPr>
            </w:pPr>
            <w:r w:rsidRPr="001C6BD1">
              <w:rPr>
                <w:rFonts w:eastAsiaTheme="minorHAnsi" w:cs="Arial"/>
                <w:sz w:val="20"/>
              </w:rPr>
              <w:t>4 PFR</w:t>
            </w:r>
            <w:r>
              <w:rPr>
                <w:rFonts w:eastAsiaTheme="minorHAnsi" w:cs="Arial"/>
                <w:sz w:val="20"/>
              </w:rPr>
              <w:t xml:space="preserve"> (using 2 trains of LHSV 2)</w:t>
            </w:r>
          </w:p>
          <w:p w:rsidR="00A067A8" w:rsidRPr="001C6BD1" w:rsidRDefault="00A067A8" w:rsidP="00A067A8">
            <w:pPr>
              <w:spacing w:line="276" w:lineRule="auto"/>
              <w:jc w:val="center"/>
              <w:rPr>
                <w:rFonts w:eastAsiaTheme="minorHAnsi" w:cs="Arial"/>
                <w:sz w:val="20"/>
                <w:highlight w:val="yellow"/>
              </w:rPr>
            </w:pPr>
            <w:r w:rsidRPr="00707471">
              <w:rPr>
                <w:rFonts w:eastAsiaTheme="minorHAnsi" w:cs="Arial"/>
                <w:sz w:val="20"/>
              </w:rPr>
              <w:t>15</w:t>
            </w:r>
          </w:p>
        </w:tc>
      </w:tr>
      <w:tr w:rsidR="00A067A8" w:rsidRPr="001C6BD1" w:rsidTr="00A067A8">
        <w:trPr>
          <w:jc w:val="center"/>
        </w:trPr>
        <w:tc>
          <w:tcPr>
            <w:tcW w:w="3190" w:type="dxa"/>
          </w:tcPr>
          <w:p w:rsidR="00A067A8" w:rsidRPr="001C6BD1" w:rsidRDefault="00A067A8" w:rsidP="00A067A8">
            <w:pPr>
              <w:spacing w:line="276" w:lineRule="auto"/>
              <w:rPr>
                <w:rFonts w:eastAsiaTheme="minorHAnsi" w:cs="Arial"/>
                <w:sz w:val="20"/>
              </w:rPr>
            </w:pPr>
            <w:r w:rsidRPr="001C6BD1">
              <w:rPr>
                <w:rFonts w:eastAsiaTheme="minorHAnsi" w:cs="Arial"/>
                <w:sz w:val="20"/>
              </w:rPr>
              <w:lastRenderedPageBreak/>
              <w:t xml:space="preserve">Product yields (dry, ash free sludge), </w:t>
            </w:r>
            <w:proofErr w:type="spellStart"/>
            <w:r w:rsidRPr="001C6BD1">
              <w:rPr>
                <w:rFonts w:eastAsiaTheme="minorHAnsi" w:cs="Arial"/>
                <w:sz w:val="20"/>
              </w:rPr>
              <w:t>wt</w:t>
            </w:r>
            <w:proofErr w:type="spellEnd"/>
            <w:r w:rsidRPr="001C6BD1">
              <w:rPr>
                <w:rFonts w:eastAsiaTheme="minorHAnsi" w:cs="Arial"/>
                <w:sz w:val="20"/>
              </w:rPr>
              <w:t>%</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Oil</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Aqueous</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Gas</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Solids</w:t>
            </w:r>
          </w:p>
          <w:p w:rsidR="00A067A8" w:rsidRPr="001C6BD1" w:rsidRDefault="00A067A8" w:rsidP="00A067A8">
            <w:pPr>
              <w:spacing w:line="276" w:lineRule="auto"/>
              <w:ind w:left="720"/>
              <w:rPr>
                <w:rFonts w:eastAsiaTheme="minorHAnsi" w:cs="Arial"/>
                <w:sz w:val="20"/>
              </w:rPr>
            </w:pPr>
          </w:p>
        </w:tc>
        <w:tc>
          <w:tcPr>
            <w:tcW w:w="1935" w:type="dxa"/>
            <w:vAlign w:val="center"/>
          </w:tcPr>
          <w:p w:rsidR="00A067A8" w:rsidRPr="001C6BD1" w:rsidRDefault="00A067A8" w:rsidP="00A067A8">
            <w:pPr>
              <w:spacing w:line="276" w:lineRule="auto"/>
              <w:rPr>
                <w:rFonts w:eastAsiaTheme="minorHAnsi" w:cs="Arial"/>
                <w:sz w:val="20"/>
              </w:rPr>
            </w:pPr>
          </w:p>
          <w:p w:rsidR="00A067A8"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40.2%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34.6%</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21.6%</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3.6%</w:t>
            </w:r>
          </w:p>
        </w:tc>
        <w:tc>
          <w:tcPr>
            <w:tcW w:w="1798" w:type="dxa"/>
          </w:tcPr>
          <w:p w:rsidR="00A067A8" w:rsidRPr="001C6BD1" w:rsidRDefault="00A067A8" w:rsidP="00A067A8">
            <w:pPr>
              <w:spacing w:line="276" w:lineRule="auto"/>
              <w:rPr>
                <w:rFonts w:eastAsiaTheme="minorHAnsi" w:cs="Arial"/>
                <w:sz w:val="20"/>
              </w:rPr>
            </w:pPr>
          </w:p>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40.6%</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34.2%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22.0%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3.2%</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HTL dry oil analysis, </w:t>
            </w:r>
            <w:proofErr w:type="spellStart"/>
            <w:r w:rsidRPr="001C6BD1">
              <w:rPr>
                <w:rFonts w:eastAsiaTheme="minorHAnsi" w:cs="Arial"/>
                <w:sz w:val="20"/>
              </w:rPr>
              <w:t>wt</w:t>
            </w:r>
            <w:proofErr w:type="spellEnd"/>
            <w:r w:rsidRPr="001C6BD1">
              <w:rPr>
                <w:rFonts w:eastAsiaTheme="minorHAnsi" w:cs="Arial"/>
                <w:sz w:val="20"/>
              </w:rPr>
              <w:t xml:space="preserve">% </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C</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H</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O</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N</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S</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P</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Ash    </w:t>
            </w:r>
          </w:p>
        </w:tc>
        <w:tc>
          <w:tcPr>
            <w:tcW w:w="1935" w:type="dxa"/>
            <w:vAlign w:val="center"/>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75.7%</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10.2%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8.9%</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 4.2%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0.6%</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0.29%</w:t>
            </w:r>
          </w:p>
        </w:tc>
        <w:tc>
          <w:tcPr>
            <w:tcW w:w="1798" w:type="dxa"/>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76.0%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10.3%</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8.9%</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 4.1%</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0.6%</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Not modeled</w:t>
            </w:r>
            <w:r w:rsidRPr="001C6BD1">
              <w:rPr>
                <w:rFonts w:eastAsiaTheme="minorHAnsi" w:cs="Arial"/>
                <w:sz w:val="20"/>
                <w:vertAlign w:val="superscript"/>
              </w:rPr>
              <w:t>2</w:t>
            </w:r>
          </w:p>
          <w:p w:rsidR="00A067A8" w:rsidRPr="001C6BD1" w:rsidRDefault="00A067A8" w:rsidP="00A067A8">
            <w:pPr>
              <w:spacing w:line="276" w:lineRule="auto"/>
              <w:jc w:val="center"/>
              <w:rPr>
                <w:rFonts w:eastAsiaTheme="minorHAnsi" w:cs="Arial"/>
                <w:sz w:val="20"/>
              </w:rPr>
            </w:pPr>
            <w:r>
              <w:rPr>
                <w:rFonts w:eastAsiaTheme="minorHAnsi" w:cs="Arial"/>
                <w:sz w:val="20"/>
              </w:rPr>
              <w:t>0.0%</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HTL oil moisture, </w:t>
            </w:r>
            <w:proofErr w:type="spellStart"/>
            <w:r w:rsidRPr="001C6BD1">
              <w:rPr>
                <w:rFonts w:eastAsiaTheme="minorHAnsi" w:cs="Arial"/>
                <w:sz w:val="20"/>
              </w:rPr>
              <w:t>wt</w:t>
            </w:r>
            <w:proofErr w:type="spellEnd"/>
            <w:r w:rsidRPr="001C6BD1">
              <w:rPr>
                <w:rFonts w:eastAsiaTheme="minorHAnsi" w:cs="Arial"/>
                <w:sz w:val="20"/>
              </w:rPr>
              <w:t>%</w:t>
            </w:r>
          </w:p>
          <w:p w:rsidR="00A067A8" w:rsidRPr="001C6BD1" w:rsidRDefault="00A067A8" w:rsidP="00A067A8">
            <w:pPr>
              <w:spacing w:line="276" w:lineRule="auto"/>
              <w:rPr>
                <w:rFonts w:eastAsiaTheme="minorHAnsi" w:cs="Arial"/>
                <w:sz w:val="20"/>
              </w:rPr>
            </w:pPr>
            <w:r w:rsidRPr="001C6BD1">
              <w:rPr>
                <w:rFonts w:eastAsiaTheme="minorHAnsi" w:cs="Arial"/>
                <w:sz w:val="20"/>
              </w:rPr>
              <w:t>HTL oil wet density</w:t>
            </w:r>
          </w:p>
          <w:p w:rsidR="00A067A8" w:rsidRPr="001C6BD1" w:rsidRDefault="00A067A8" w:rsidP="00A067A8">
            <w:pPr>
              <w:spacing w:line="276" w:lineRule="auto"/>
              <w:rPr>
                <w:rFonts w:eastAsiaTheme="minorHAnsi" w:cs="Arial"/>
                <w:sz w:val="20"/>
              </w:rPr>
            </w:pPr>
            <w:r w:rsidRPr="001C6BD1">
              <w:rPr>
                <w:rFonts w:eastAsiaTheme="minorHAnsi" w:cs="Arial"/>
                <w:sz w:val="20"/>
              </w:rPr>
              <w:t>HTL oil dry HHV, MJ/kg</w:t>
            </w:r>
          </w:p>
        </w:tc>
        <w:tc>
          <w:tcPr>
            <w:tcW w:w="1935"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10.2 </w:t>
            </w:r>
            <w:proofErr w:type="spellStart"/>
            <w:r w:rsidRPr="001C6BD1">
              <w:rPr>
                <w:rFonts w:eastAsiaTheme="minorHAnsi" w:cs="Arial"/>
                <w:sz w:val="20"/>
              </w:rPr>
              <w:t>wt</w:t>
            </w:r>
            <w:proofErr w:type="spellEnd"/>
            <w:r w:rsidRPr="001C6BD1">
              <w:rPr>
                <w:rFonts w:eastAsiaTheme="minorHAnsi" w:cs="Arial"/>
                <w:sz w:val="20"/>
              </w:rPr>
              <w:t>%</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1.00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37.6</w:t>
            </w:r>
          </w:p>
        </w:tc>
        <w:tc>
          <w:tcPr>
            <w:tcW w:w="1798"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10.2 </w:t>
            </w:r>
            <w:proofErr w:type="spellStart"/>
            <w:r w:rsidRPr="001C6BD1">
              <w:rPr>
                <w:rFonts w:eastAsiaTheme="minorHAnsi" w:cs="Arial"/>
                <w:sz w:val="20"/>
              </w:rPr>
              <w:t>wt</w:t>
            </w:r>
            <w:proofErr w:type="spellEnd"/>
            <w:r w:rsidRPr="001C6BD1">
              <w:rPr>
                <w:rFonts w:eastAsiaTheme="minorHAnsi" w:cs="Arial"/>
                <w:sz w:val="20"/>
              </w:rPr>
              <w:t>%</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1.0 </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37.8</w:t>
            </w:r>
          </w:p>
        </w:tc>
      </w:tr>
      <w:tr w:rsidR="00A067A8" w:rsidRPr="001C6BD1" w:rsidTr="00A067A8">
        <w:trPr>
          <w:jc w:val="center"/>
        </w:trPr>
        <w:tc>
          <w:tcPr>
            <w:tcW w:w="3190"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Aqueous phase COD</w:t>
            </w:r>
          </w:p>
          <w:p w:rsidR="00A067A8" w:rsidRPr="001C6BD1" w:rsidRDefault="00A067A8" w:rsidP="00A067A8">
            <w:pPr>
              <w:spacing w:line="276" w:lineRule="auto"/>
              <w:rPr>
                <w:rFonts w:eastAsiaTheme="minorHAnsi" w:cs="Arial"/>
                <w:sz w:val="20"/>
              </w:rPr>
            </w:pPr>
            <w:r w:rsidRPr="001C6BD1">
              <w:rPr>
                <w:rFonts w:eastAsiaTheme="minorHAnsi" w:cs="Arial"/>
                <w:sz w:val="20"/>
              </w:rPr>
              <w:t>Aqueous phase density</w:t>
            </w:r>
          </w:p>
        </w:tc>
        <w:tc>
          <w:tcPr>
            <w:tcW w:w="1935"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41,200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1.03</w:t>
            </w:r>
          </w:p>
        </w:tc>
        <w:tc>
          <w:tcPr>
            <w:tcW w:w="1798" w:type="dxa"/>
          </w:tcPr>
          <w:p w:rsidR="00A067A8" w:rsidRPr="008654D8" w:rsidRDefault="00A067A8" w:rsidP="00A067A8">
            <w:pPr>
              <w:spacing w:line="276" w:lineRule="auto"/>
              <w:jc w:val="center"/>
              <w:rPr>
                <w:rFonts w:eastAsiaTheme="minorHAnsi" w:cs="Arial"/>
                <w:sz w:val="20"/>
              </w:rPr>
            </w:pPr>
            <w:r w:rsidRPr="008654D8">
              <w:rPr>
                <w:rFonts w:eastAsiaTheme="minorHAnsi" w:cs="Arial"/>
                <w:sz w:val="20"/>
              </w:rPr>
              <w:t>40,300</w:t>
            </w:r>
          </w:p>
          <w:p w:rsidR="00A067A8" w:rsidRPr="001C6BD1" w:rsidRDefault="00A067A8" w:rsidP="00A067A8">
            <w:pPr>
              <w:spacing w:line="276" w:lineRule="auto"/>
              <w:jc w:val="center"/>
              <w:rPr>
                <w:rFonts w:eastAsiaTheme="minorHAnsi" w:cs="Arial"/>
                <w:sz w:val="20"/>
              </w:rPr>
            </w:pPr>
            <w:r>
              <w:rPr>
                <w:rFonts w:eastAsiaTheme="minorHAnsi" w:cs="Arial"/>
                <w:sz w:val="20"/>
              </w:rPr>
              <w:t>0.995</w:t>
            </w:r>
            <w:r w:rsidRPr="001C6BD1">
              <w:rPr>
                <w:rFonts w:eastAsiaTheme="minorHAnsi" w:cs="Arial"/>
                <w:sz w:val="20"/>
              </w:rPr>
              <w:t xml:space="preserve"> Aspen est.</w:t>
            </w:r>
          </w:p>
        </w:tc>
      </w:tr>
    </w:tbl>
    <w:p w:rsidR="00A067A8" w:rsidRPr="0038380E" w:rsidRDefault="00A067A8" w:rsidP="00A067A8">
      <w:pPr>
        <w:spacing w:line="276" w:lineRule="auto"/>
        <w:rPr>
          <w:rFonts w:eastAsiaTheme="minorHAnsi" w:cs="Arial"/>
          <w:sz w:val="18"/>
          <w:szCs w:val="18"/>
        </w:rPr>
      </w:pPr>
      <w:r w:rsidRPr="0038380E">
        <w:rPr>
          <w:rFonts w:eastAsiaTheme="minorHAnsi" w:cs="Arial"/>
          <w:sz w:val="18"/>
          <w:szCs w:val="18"/>
          <w:vertAlign w:val="superscript"/>
        </w:rPr>
        <w:t>1</w:t>
      </w:r>
      <w:r w:rsidRPr="0038380E">
        <w:rPr>
          <w:rFonts w:eastAsiaTheme="minorHAnsi" w:cs="Arial"/>
          <w:sz w:val="18"/>
          <w:szCs w:val="18"/>
        </w:rPr>
        <w:t xml:space="preserve"> Experimentally, most of the ash components are solubilized. </w:t>
      </w:r>
      <w:proofErr w:type="gramStart"/>
      <w:r w:rsidRPr="0038380E">
        <w:rPr>
          <w:rFonts w:eastAsiaTheme="minorHAnsi" w:cs="Arial"/>
          <w:sz w:val="18"/>
          <w:szCs w:val="18"/>
        </w:rPr>
        <w:t>Until more is known, and for simplicity at this early stage, ash compounds are treated as solids throughout the model.</w:t>
      </w:r>
      <w:proofErr w:type="gramEnd"/>
    </w:p>
    <w:p w:rsidR="00A067A8" w:rsidRPr="0038380E" w:rsidRDefault="00A067A8" w:rsidP="00A067A8">
      <w:pPr>
        <w:spacing w:before="120" w:after="120" w:line="276" w:lineRule="auto"/>
        <w:rPr>
          <w:rFonts w:eastAsiaTheme="minorHAnsi" w:cs="Arial"/>
          <w:sz w:val="18"/>
          <w:szCs w:val="18"/>
        </w:rPr>
      </w:pPr>
      <w:r w:rsidRPr="0038380E">
        <w:rPr>
          <w:rFonts w:eastAsiaTheme="minorHAnsi" w:cs="Arial"/>
          <w:sz w:val="18"/>
          <w:szCs w:val="18"/>
          <w:vertAlign w:val="superscript"/>
        </w:rPr>
        <w:t xml:space="preserve">2 </w:t>
      </w:r>
      <w:r w:rsidRPr="0038380E">
        <w:rPr>
          <w:rFonts w:eastAsiaTheme="minorHAnsi" w:cs="Arial"/>
          <w:sz w:val="18"/>
          <w:szCs w:val="18"/>
        </w:rPr>
        <w:t>Phosphorus partitioning is not directly modeled in Aspen because of the small quantity, most of which reports to the solid phase.</w:t>
      </w:r>
    </w:p>
    <w:p w:rsidR="00A067A8" w:rsidRPr="0038380E" w:rsidRDefault="00A067A8" w:rsidP="00A067A8">
      <w:pPr>
        <w:rPr>
          <w:rFonts w:cs="Arial"/>
          <w:b/>
          <w:szCs w:val="22"/>
        </w:rPr>
      </w:pPr>
    </w:p>
    <w:p w:rsidR="00A067A8" w:rsidRPr="0038380E" w:rsidRDefault="00A067A8" w:rsidP="00A067A8">
      <w:pPr>
        <w:pStyle w:val="Heading2"/>
        <w:numPr>
          <w:ilvl w:val="1"/>
          <w:numId w:val="47"/>
        </w:numPr>
      </w:pPr>
      <w:r w:rsidRPr="0038380E">
        <w:t>HTL Aqueous Phase Treatment</w:t>
      </w:r>
      <w:r>
        <w:t xml:space="preserve"> by Catalytic Hydrothermal Gasification (CHG)</w:t>
      </w:r>
    </w:p>
    <w:p w:rsidR="00A067A8" w:rsidRDefault="00A067A8" w:rsidP="00A067A8">
      <w:pPr>
        <w:rPr>
          <w:rFonts w:cs="Arial"/>
          <w:b/>
          <w:szCs w:val="22"/>
        </w:rPr>
      </w:pPr>
    </w:p>
    <w:p w:rsidR="00A067A8" w:rsidRDefault="00A067A8" w:rsidP="00A067A8">
      <w:pPr>
        <w:rPr>
          <w:rFonts w:cs="Arial"/>
          <w:szCs w:val="22"/>
        </w:rPr>
      </w:pPr>
      <w:r>
        <w:rPr>
          <w:rFonts w:cs="Arial"/>
          <w:szCs w:val="22"/>
        </w:rPr>
        <w:t>The aqueous phase from HTL is treated with CHG to recover energy from the dissolved organics and to reduce the chemical oxygen demand (COD) of the water for subsequent disposal or reuse.  The gas produced in CHG is burned to provide heat in the HTL and CHG processes. The COD in the water is 99.9% converted in the CHG process.  It is assumed that the treated CHG water is returned to the headwaters of the wastewater treatment plant. It may be feasible to recycle the water for beneficial use. Table 3 gives the reactor conditions and product results from the experimental data and from the model.</w:t>
      </w:r>
    </w:p>
    <w:p w:rsidR="00A067A8" w:rsidRPr="00EB4932" w:rsidRDefault="00A067A8" w:rsidP="00A067A8">
      <w:pPr>
        <w:rPr>
          <w:rFonts w:cs="Arial"/>
          <w:szCs w:val="22"/>
        </w:rPr>
      </w:pPr>
    </w:p>
    <w:p w:rsidR="00A067A8" w:rsidRPr="0038380E" w:rsidRDefault="00A067A8" w:rsidP="00A067A8">
      <w:pPr>
        <w:pStyle w:val="Style1"/>
        <w:rPr>
          <w:rFonts w:ascii="Arial" w:eastAsiaTheme="minorHAnsi" w:hAnsi="Arial" w:cs="Arial"/>
          <w:bCs/>
        </w:rPr>
      </w:pPr>
      <w:bookmarkStart w:id="2" w:name="_Toc381557112"/>
      <w:r w:rsidRPr="0038380E">
        <w:rPr>
          <w:rFonts w:ascii="Arial" w:hAnsi="Arial" w:cs="Arial"/>
        </w:rPr>
        <w:t xml:space="preserve">Table </w:t>
      </w:r>
      <w:r>
        <w:rPr>
          <w:rFonts w:ascii="Arial" w:hAnsi="Arial" w:cs="Arial"/>
        </w:rPr>
        <w:t>3</w:t>
      </w:r>
      <w:r w:rsidRPr="0038380E">
        <w:rPr>
          <w:rFonts w:ascii="Arial" w:hAnsi="Arial" w:cs="Arial"/>
        </w:rPr>
        <w:t xml:space="preserve"> </w:t>
      </w:r>
      <w:r w:rsidRPr="0038380E">
        <w:rPr>
          <w:rFonts w:ascii="Arial" w:hAnsi="Arial" w:cs="Arial"/>
          <w:b w:val="0"/>
        </w:rPr>
        <w:t>Primary sludge HTL aqueous phase CHG experimental results and model assumptions</w:t>
      </w:r>
      <w:bookmarkEnd w:id="2"/>
    </w:p>
    <w:tbl>
      <w:tblPr>
        <w:tblStyle w:val="Header"/>
        <w:tblW w:w="0" w:type="auto"/>
        <w:jc w:val="center"/>
        <w:tblLook w:val="04A0" w:firstRow="1" w:lastRow="0" w:firstColumn="1" w:lastColumn="0" w:noHBand="0" w:noVBand="1"/>
      </w:tblPr>
      <w:tblGrid>
        <w:gridCol w:w="2905"/>
        <w:gridCol w:w="2060"/>
        <w:gridCol w:w="1834"/>
      </w:tblGrid>
      <w:tr w:rsidR="00A067A8" w:rsidRPr="001C6BD1" w:rsidTr="00A067A8">
        <w:trPr>
          <w:jc w:val="center"/>
        </w:trPr>
        <w:tc>
          <w:tcPr>
            <w:tcW w:w="2905"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Component</w:t>
            </w:r>
          </w:p>
        </w:tc>
        <w:tc>
          <w:tcPr>
            <w:tcW w:w="2060"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Experimental</w:t>
            </w:r>
            <w:r>
              <w:rPr>
                <w:rFonts w:eastAsiaTheme="minorHAnsi" w:cs="Arial"/>
                <w:b/>
                <w:sz w:val="20"/>
              </w:rPr>
              <w:t xml:space="preserve"> (WERF 02)</w:t>
            </w:r>
          </w:p>
        </w:tc>
        <w:tc>
          <w:tcPr>
            <w:tcW w:w="1834" w:type="dxa"/>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Model</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Guard Bed</w:t>
            </w:r>
          </w:p>
        </w:tc>
        <w:tc>
          <w:tcPr>
            <w:tcW w:w="2060"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Raney nickel</w:t>
            </w:r>
          </w:p>
        </w:tc>
        <w:tc>
          <w:tcPr>
            <w:tcW w:w="1834"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Raney nickel</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Temperature, °F (°C)</w:t>
            </w:r>
          </w:p>
        </w:tc>
        <w:tc>
          <w:tcPr>
            <w:tcW w:w="2060" w:type="dxa"/>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653 (345)</w:t>
            </w:r>
          </w:p>
        </w:tc>
        <w:tc>
          <w:tcPr>
            <w:tcW w:w="1834" w:type="dxa"/>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662 (350)</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Pressure, </w:t>
            </w:r>
            <w:proofErr w:type="spellStart"/>
            <w:r w:rsidRPr="001C6BD1">
              <w:rPr>
                <w:rFonts w:eastAsiaTheme="minorHAnsi" w:cs="Arial"/>
                <w:sz w:val="20"/>
              </w:rPr>
              <w:t>psia</w:t>
            </w:r>
            <w:proofErr w:type="spellEnd"/>
          </w:p>
        </w:tc>
        <w:tc>
          <w:tcPr>
            <w:tcW w:w="2060" w:type="dxa"/>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3010</w:t>
            </w:r>
            <w:r w:rsidRPr="001C6BD1">
              <w:rPr>
                <w:rFonts w:eastAsiaTheme="minorHAnsi" w:cs="Arial"/>
                <w:sz w:val="20"/>
                <w:u w:val="single"/>
              </w:rPr>
              <w:t>+</w:t>
            </w:r>
            <w:r w:rsidRPr="001C6BD1">
              <w:rPr>
                <w:rFonts w:eastAsiaTheme="minorHAnsi" w:cs="Arial"/>
                <w:sz w:val="20"/>
              </w:rPr>
              <w:t>30</w:t>
            </w:r>
          </w:p>
        </w:tc>
        <w:tc>
          <w:tcPr>
            <w:tcW w:w="1834" w:type="dxa"/>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3079</w:t>
            </w:r>
          </w:p>
        </w:tc>
      </w:tr>
      <w:tr w:rsidR="00A067A8" w:rsidRPr="001C6BD1" w:rsidTr="00A067A8">
        <w:trPr>
          <w:jc w:val="center"/>
        </w:trPr>
        <w:tc>
          <w:tcPr>
            <w:tcW w:w="2905" w:type="dxa"/>
            <w:vAlign w:val="center"/>
          </w:tcPr>
          <w:p w:rsidR="00A067A8" w:rsidRPr="001C6BD1" w:rsidRDefault="00A067A8" w:rsidP="00A067A8">
            <w:pPr>
              <w:spacing w:before="60" w:after="60" w:line="276" w:lineRule="auto"/>
              <w:rPr>
                <w:rFonts w:eastAsiaTheme="minorHAnsi" w:cs="Arial"/>
                <w:sz w:val="20"/>
              </w:rPr>
            </w:pPr>
            <w:r w:rsidRPr="001C6BD1">
              <w:rPr>
                <w:rFonts w:eastAsiaTheme="minorHAnsi" w:cs="Arial"/>
                <w:sz w:val="20"/>
              </w:rPr>
              <w:t>Catalyst</w:t>
            </w:r>
          </w:p>
          <w:p w:rsidR="00A067A8" w:rsidRPr="001C6BD1" w:rsidRDefault="00A067A8" w:rsidP="00A067A8">
            <w:pPr>
              <w:spacing w:before="60" w:after="60" w:line="276" w:lineRule="auto"/>
              <w:rPr>
                <w:rFonts w:eastAsiaTheme="minorHAnsi" w:cs="Arial"/>
                <w:sz w:val="20"/>
              </w:rPr>
            </w:pPr>
            <w:r w:rsidRPr="001C6BD1">
              <w:rPr>
                <w:rFonts w:eastAsiaTheme="minorHAnsi" w:cs="Arial"/>
                <w:sz w:val="20"/>
              </w:rPr>
              <w:t>LHSV, vol./hour per vol. catalyst</w:t>
            </w:r>
          </w:p>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WHSV, wt./</w:t>
            </w:r>
            <w:proofErr w:type="spellStart"/>
            <w:r w:rsidRPr="001C6BD1">
              <w:rPr>
                <w:rFonts w:eastAsiaTheme="minorHAnsi" w:cs="Arial"/>
                <w:sz w:val="20"/>
              </w:rPr>
              <w:t>hr</w:t>
            </w:r>
            <w:proofErr w:type="spellEnd"/>
            <w:r w:rsidRPr="001C6BD1">
              <w:rPr>
                <w:rFonts w:eastAsiaTheme="minorHAnsi" w:cs="Arial"/>
                <w:sz w:val="20"/>
              </w:rPr>
              <w:t xml:space="preserve"> per wt. catalyst</w:t>
            </w:r>
          </w:p>
        </w:tc>
        <w:tc>
          <w:tcPr>
            <w:tcW w:w="2060"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7.8 </w:t>
            </w:r>
            <w:proofErr w:type="spellStart"/>
            <w:r w:rsidRPr="001C6BD1">
              <w:rPr>
                <w:rFonts w:eastAsiaTheme="minorHAnsi" w:cs="Arial"/>
                <w:sz w:val="20"/>
              </w:rPr>
              <w:t>wt</w:t>
            </w:r>
            <w:proofErr w:type="spellEnd"/>
            <w:r w:rsidRPr="001C6BD1">
              <w:rPr>
                <w:rFonts w:eastAsiaTheme="minorHAnsi" w:cs="Arial"/>
                <w:sz w:val="20"/>
              </w:rPr>
              <w:t>% Ru/C</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3.7</w:t>
            </w:r>
          </w:p>
        </w:tc>
        <w:tc>
          <w:tcPr>
            <w:tcW w:w="1834"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7.8% Ru/C</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2.0</w:t>
            </w: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3.7</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lastRenderedPageBreak/>
              <w:t>% COD conversion</w:t>
            </w:r>
          </w:p>
          <w:p w:rsidR="00A067A8" w:rsidRPr="001C6BD1" w:rsidRDefault="00A067A8" w:rsidP="00A067A8">
            <w:pPr>
              <w:spacing w:line="276" w:lineRule="auto"/>
              <w:rPr>
                <w:rFonts w:eastAsiaTheme="minorHAnsi" w:cs="Arial"/>
                <w:sz w:val="20"/>
              </w:rPr>
            </w:pPr>
            <w:r w:rsidRPr="001C6BD1">
              <w:rPr>
                <w:rFonts w:eastAsiaTheme="minorHAnsi" w:cs="Arial"/>
                <w:sz w:val="20"/>
              </w:rPr>
              <w:t>% Carbon to gas</w:t>
            </w:r>
            <w:r w:rsidRPr="001C6BD1">
              <w:rPr>
                <w:rFonts w:eastAsiaTheme="minorHAnsi" w:cs="Arial"/>
                <w:sz w:val="20"/>
                <w:vertAlign w:val="superscript"/>
              </w:rPr>
              <w:t>1</w:t>
            </w:r>
            <w:r w:rsidRPr="001C6BD1">
              <w:rPr>
                <w:rFonts w:eastAsiaTheme="minorHAnsi" w:cs="Arial"/>
                <w:sz w:val="20"/>
              </w:rPr>
              <w:t xml:space="preserve"> </w:t>
            </w:r>
          </w:p>
        </w:tc>
        <w:tc>
          <w:tcPr>
            <w:tcW w:w="2060"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99.9%</w:t>
            </w: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41%</w:t>
            </w:r>
          </w:p>
        </w:tc>
        <w:tc>
          <w:tcPr>
            <w:tcW w:w="1834" w:type="dxa"/>
          </w:tcPr>
          <w:p w:rsidR="00A067A8" w:rsidRPr="00401FD1" w:rsidRDefault="00A067A8" w:rsidP="00A067A8">
            <w:pPr>
              <w:spacing w:line="276" w:lineRule="auto"/>
              <w:jc w:val="center"/>
              <w:rPr>
                <w:rFonts w:eastAsiaTheme="minorHAnsi" w:cs="Arial"/>
                <w:sz w:val="20"/>
              </w:rPr>
            </w:pPr>
            <w:r w:rsidRPr="00401FD1">
              <w:rPr>
                <w:rFonts w:eastAsiaTheme="minorHAnsi" w:cs="Arial"/>
                <w:sz w:val="20"/>
              </w:rPr>
              <w:t>99.9%</w:t>
            </w:r>
          </w:p>
          <w:p w:rsidR="00A067A8" w:rsidRPr="001C6BD1" w:rsidRDefault="00A067A8" w:rsidP="00A067A8">
            <w:pPr>
              <w:spacing w:line="276" w:lineRule="auto"/>
              <w:jc w:val="center"/>
              <w:rPr>
                <w:rFonts w:eastAsiaTheme="minorHAnsi" w:cs="Arial"/>
                <w:sz w:val="20"/>
                <w:highlight w:val="yellow"/>
              </w:rPr>
            </w:pPr>
            <w:r w:rsidRPr="00972721">
              <w:rPr>
                <w:rFonts w:eastAsiaTheme="minorHAnsi" w:cs="Arial"/>
                <w:sz w:val="20"/>
              </w:rPr>
              <w:t>64%</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Gas analysis, volume %</w:t>
            </w:r>
          </w:p>
          <w:p w:rsidR="00A067A8" w:rsidRPr="001C6BD1" w:rsidRDefault="00A067A8" w:rsidP="00A067A8">
            <w:pPr>
              <w:spacing w:line="276" w:lineRule="auto"/>
              <w:rPr>
                <w:rFonts w:eastAsiaTheme="minorHAnsi" w:cs="Arial"/>
                <w:sz w:val="20"/>
                <w:vertAlign w:val="subscript"/>
              </w:rPr>
            </w:pPr>
            <w:r w:rsidRPr="001C6BD1">
              <w:rPr>
                <w:rFonts w:eastAsiaTheme="minorHAnsi" w:cs="Arial"/>
                <w:sz w:val="20"/>
              </w:rPr>
              <w:t xml:space="preserve">   CO</w:t>
            </w:r>
            <w:r w:rsidRPr="001C6BD1">
              <w:rPr>
                <w:rFonts w:eastAsiaTheme="minorHAnsi" w:cs="Arial"/>
                <w:sz w:val="20"/>
                <w:vertAlign w:val="subscript"/>
              </w:rPr>
              <w:t>2</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H</w:t>
            </w:r>
            <w:r w:rsidRPr="001C6BD1">
              <w:rPr>
                <w:rFonts w:eastAsiaTheme="minorHAnsi" w:cs="Arial"/>
                <w:sz w:val="20"/>
                <w:vertAlign w:val="subscript"/>
              </w:rPr>
              <w:t>2</w:t>
            </w:r>
          </w:p>
          <w:p w:rsidR="00A067A8" w:rsidRPr="001C6BD1" w:rsidRDefault="00A067A8" w:rsidP="00A067A8">
            <w:pPr>
              <w:spacing w:line="276" w:lineRule="auto"/>
              <w:rPr>
                <w:rFonts w:eastAsiaTheme="minorHAnsi" w:cs="Arial"/>
                <w:sz w:val="20"/>
                <w:vertAlign w:val="subscript"/>
              </w:rPr>
            </w:pPr>
            <w:r w:rsidRPr="001C6BD1">
              <w:rPr>
                <w:rFonts w:eastAsiaTheme="minorHAnsi" w:cs="Arial"/>
                <w:sz w:val="20"/>
              </w:rPr>
              <w:t xml:space="preserve">   CH</w:t>
            </w:r>
            <w:r w:rsidRPr="001C6BD1">
              <w:rPr>
                <w:rFonts w:eastAsiaTheme="minorHAnsi" w:cs="Arial"/>
                <w:sz w:val="20"/>
                <w:vertAlign w:val="subscript"/>
              </w:rPr>
              <w:t>4</w:t>
            </w:r>
          </w:p>
          <w:p w:rsidR="00A067A8" w:rsidRPr="001C6BD1" w:rsidRDefault="00A067A8" w:rsidP="00A067A8">
            <w:pPr>
              <w:spacing w:line="276" w:lineRule="auto"/>
              <w:rPr>
                <w:rFonts w:eastAsiaTheme="minorHAnsi" w:cs="Arial"/>
                <w:sz w:val="20"/>
              </w:rPr>
            </w:pPr>
            <w:r w:rsidRPr="001C6BD1">
              <w:rPr>
                <w:rFonts w:eastAsiaTheme="minorHAnsi" w:cs="Arial"/>
                <w:sz w:val="20"/>
                <w:vertAlign w:val="subscript"/>
              </w:rPr>
              <w:t xml:space="preserve">    </w:t>
            </w:r>
            <w:r w:rsidRPr="001C6BD1">
              <w:rPr>
                <w:rFonts w:eastAsiaTheme="minorHAnsi" w:cs="Arial"/>
                <w:sz w:val="20"/>
              </w:rPr>
              <w:t>C</w:t>
            </w:r>
            <w:r w:rsidRPr="001C6BD1">
              <w:rPr>
                <w:rFonts w:eastAsiaTheme="minorHAnsi" w:cs="Arial"/>
                <w:sz w:val="20"/>
                <w:vertAlign w:val="subscript"/>
              </w:rPr>
              <w:t>2</w:t>
            </w:r>
            <w:r w:rsidRPr="001C6BD1">
              <w:rPr>
                <w:rFonts w:eastAsiaTheme="minorHAnsi" w:cs="Arial"/>
                <w:sz w:val="20"/>
              </w:rPr>
              <w:t>+</w:t>
            </w:r>
          </w:p>
          <w:p w:rsidR="00A067A8" w:rsidRPr="001C6BD1" w:rsidRDefault="00A067A8" w:rsidP="00A067A8">
            <w:pPr>
              <w:spacing w:line="276" w:lineRule="auto"/>
              <w:rPr>
                <w:rFonts w:eastAsiaTheme="minorHAnsi" w:cs="Arial"/>
                <w:sz w:val="20"/>
                <w:vertAlign w:val="subscript"/>
              </w:rPr>
            </w:pPr>
            <w:r w:rsidRPr="001C6BD1">
              <w:rPr>
                <w:rFonts w:eastAsiaTheme="minorHAnsi" w:cs="Arial"/>
                <w:sz w:val="20"/>
              </w:rPr>
              <w:t xml:space="preserve">   N</w:t>
            </w:r>
            <w:r w:rsidRPr="001C6BD1">
              <w:rPr>
                <w:rFonts w:eastAsiaTheme="minorHAnsi" w:cs="Arial"/>
                <w:sz w:val="20"/>
                <w:vertAlign w:val="subscript"/>
              </w:rPr>
              <w:t>2</w:t>
            </w:r>
          </w:p>
          <w:p w:rsidR="00A067A8" w:rsidRPr="001C6BD1" w:rsidRDefault="00A067A8" w:rsidP="00A067A8">
            <w:pPr>
              <w:spacing w:line="276" w:lineRule="auto"/>
              <w:rPr>
                <w:rFonts w:eastAsiaTheme="minorHAnsi" w:cs="Arial"/>
                <w:sz w:val="20"/>
              </w:rPr>
            </w:pPr>
            <w:r w:rsidRPr="001C6BD1">
              <w:rPr>
                <w:rFonts w:eastAsiaTheme="minorHAnsi" w:cs="Arial"/>
                <w:sz w:val="20"/>
                <w:vertAlign w:val="subscript"/>
              </w:rPr>
              <w:t xml:space="preserve">    </w:t>
            </w:r>
            <w:r w:rsidRPr="001C6BD1">
              <w:rPr>
                <w:rFonts w:eastAsiaTheme="minorHAnsi" w:cs="Arial"/>
                <w:sz w:val="20"/>
              </w:rPr>
              <w:t>water</w:t>
            </w:r>
          </w:p>
        </w:tc>
        <w:tc>
          <w:tcPr>
            <w:tcW w:w="2060" w:type="dxa"/>
            <w:vAlign w:val="center"/>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22.3%</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73.8%</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0.5%</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w:t>
            </w:r>
          </w:p>
        </w:tc>
        <w:tc>
          <w:tcPr>
            <w:tcW w:w="1834" w:type="dxa"/>
          </w:tcPr>
          <w:p w:rsidR="00A067A8" w:rsidRPr="001C6BD1" w:rsidRDefault="00A067A8" w:rsidP="00A067A8">
            <w:pPr>
              <w:spacing w:line="276" w:lineRule="auto"/>
              <w:jc w:val="center"/>
              <w:rPr>
                <w:rFonts w:eastAsiaTheme="minorHAnsi" w:cs="Arial"/>
                <w:sz w:val="20"/>
                <w:highlight w:val="yellow"/>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20.9%</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1.5%</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71.7%</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1.1%</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w:t>
            </w: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4.8%</w:t>
            </w:r>
          </w:p>
        </w:tc>
      </w:tr>
      <w:tr w:rsidR="00A067A8" w:rsidRPr="001C6BD1" w:rsidTr="00A067A8">
        <w:trPr>
          <w:jc w:val="center"/>
        </w:trPr>
        <w:tc>
          <w:tcPr>
            <w:tcW w:w="2905" w:type="dxa"/>
            <w:vAlign w:val="center"/>
          </w:tcPr>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Treated water COD</w:t>
            </w:r>
          </w:p>
        </w:tc>
        <w:tc>
          <w:tcPr>
            <w:tcW w:w="2060"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12</w:t>
            </w:r>
          </w:p>
        </w:tc>
        <w:tc>
          <w:tcPr>
            <w:tcW w:w="1834" w:type="dxa"/>
          </w:tcPr>
          <w:p w:rsidR="00A067A8" w:rsidRPr="001C6BD1" w:rsidRDefault="00A067A8" w:rsidP="00A067A8">
            <w:pPr>
              <w:spacing w:line="276" w:lineRule="auto"/>
              <w:jc w:val="center"/>
              <w:rPr>
                <w:rFonts w:eastAsiaTheme="minorHAnsi" w:cs="Arial"/>
                <w:sz w:val="20"/>
                <w:highlight w:val="yellow"/>
              </w:rPr>
            </w:pPr>
            <w:r w:rsidRPr="00E40796">
              <w:rPr>
                <w:rFonts w:eastAsiaTheme="minorHAnsi" w:cs="Arial"/>
                <w:sz w:val="20"/>
              </w:rPr>
              <w:t>Low, discharge to WWTP headworks</w:t>
            </w:r>
          </w:p>
        </w:tc>
      </w:tr>
      <w:tr w:rsidR="00A067A8" w:rsidRPr="001C6BD1" w:rsidTr="00A067A8">
        <w:trPr>
          <w:jc w:val="center"/>
        </w:trPr>
        <w:tc>
          <w:tcPr>
            <w:tcW w:w="6799" w:type="dxa"/>
            <w:gridSpan w:val="3"/>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vertAlign w:val="superscript"/>
              </w:rPr>
              <w:t xml:space="preserve">1 </w:t>
            </w:r>
            <w:r w:rsidRPr="001C6BD1">
              <w:rPr>
                <w:rFonts w:eastAsiaTheme="minorHAnsi" w:cs="Arial"/>
                <w:sz w:val="20"/>
              </w:rPr>
              <w:t>Note that the remaining converted carbon is dissolved bicarbonate</w:t>
            </w:r>
          </w:p>
        </w:tc>
      </w:tr>
    </w:tbl>
    <w:p w:rsidR="00A067A8" w:rsidRPr="0038380E" w:rsidRDefault="00A067A8" w:rsidP="00A067A8">
      <w:pPr>
        <w:rPr>
          <w:rFonts w:cs="Arial"/>
          <w:szCs w:val="22"/>
        </w:rPr>
      </w:pPr>
    </w:p>
    <w:p w:rsidR="00A067A8" w:rsidRPr="0038380E" w:rsidRDefault="00A067A8" w:rsidP="00A067A8">
      <w:pPr>
        <w:rPr>
          <w:rFonts w:cs="Arial"/>
          <w:szCs w:val="22"/>
        </w:rPr>
      </w:pPr>
    </w:p>
    <w:p w:rsidR="00A067A8" w:rsidRPr="0038380E" w:rsidRDefault="00A067A8" w:rsidP="00A067A8">
      <w:pPr>
        <w:pStyle w:val="Heading2"/>
        <w:numPr>
          <w:ilvl w:val="1"/>
          <w:numId w:val="47"/>
        </w:numPr>
      </w:pPr>
      <w:r>
        <w:t>Sludge HTL Oil Upgrading</w:t>
      </w:r>
    </w:p>
    <w:p w:rsidR="00A067A8" w:rsidRPr="0038380E" w:rsidRDefault="00A067A8" w:rsidP="00A067A8">
      <w:pPr>
        <w:pStyle w:val="ListParagraph"/>
        <w:ind w:left="0"/>
        <w:jc w:val="both"/>
        <w:rPr>
          <w:rFonts w:cs="Arial"/>
          <w:b/>
          <w:szCs w:val="22"/>
        </w:rPr>
      </w:pPr>
    </w:p>
    <w:p w:rsidR="00A067A8" w:rsidRDefault="00A067A8" w:rsidP="00A067A8">
      <w:r>
        <w:t xml:space="preserve">The HTL oil is assumed to be transported to a regional upgrading facility and is supplied to the plant at 26 </w:t>
      </w:r>
      <w:proofErr w:type="spellStart"/>
      <w:r>
        <w:t>psia</w:t>
      </w:r>
      <w:proofErr w:type="spellEnd"/>
      <w:r>
        <w:t xml:space="preserve"> and 110</w:t>
      </w:r>
      <w:r w:rsidRPr="00016838">
        <w:rPr>
          <w:rFonts w:eastAsiaTheme="minorHAnsi" w:cs="Arial"/>
          <w:szCs w:val="22"/>
        </w:rPr>
        <w:t>°</w:t>
      </w:r>
      <w:r>
        <w:t xml:space="preserve">F.  As previously described in the AHTL design case (Jones </w:t>
      </w:r>
      <w:r>
        <w:rPr>
          <w:i/>
        </w:rPr>
        <w:t>et al</w:t>
      </w:r>
      <w:r>
        <w:t xml:space="preserve">. 2014), it is then pumped (1540 </w:t>
      </w:r>
      <w:proofErr w:type="spellStart"/>
      <w:r>
        <w:t>psia</w:t>
      </w:r>
      <w:proofErr w:type="spellEnd"/>
      <w:r>
        <w:t xml:space="preserve">), mixed with compressed hydrogen, and preheated to the </w:t>
      </w:r>
      <w:proofErr w:type="spellStart"/>
      <w:r>
        <w:t>hydrotreater</w:t>
      </w:r>
      <w:proofErr w:type="spellEnd"/>
      <w:r>
        <w:t xml:space="preserve"> reactor temperature of 752</w:t>
      </w:r>
      <w:r w:rsidRPr="00016838">
        <w:rPr>
          <w:rFonts w:eastAsiaTheme="minorHAnsi" w:cs="Arial"/>
          <w:szCs w:val="22"/>
        </w:rPr>
        <w:t>°F</w:t>
      </w:r>
      <w:r>
        <w:rPr>
          <w:rFonts w:eastAsiaTheme="minorHAnsi" w:cs="Arial"/>
          <w:szCs w:val="22"/>
        </w:rPr>
        <w:t xml:space="preserve"> (400</w:t>
      </w:r>
      <w:r w:rsidRPr="00016838">
        <w:rPr>
          <w:rFonts w:eastAsiaTheme="minorHAnsi" w:cs="Arial"/>
          <w:szCs w:val="22"/>
        </w:rPr>
        <w:t>°</w:t>
      </w:r>
      <w:r>
        <w:rPr>
          <w:rFonts w:eastAsiaTheme="minorHAnsi" w:cs="Arial"/>
          <w:szCs w:val="22"/>
        </w:rPr>
        <w:t xml:space="preserve">C). </w:t>
      </w:r>
      <w:r>
        <w:t xml:space="preserve"> Hydrogen is produced onsite via steam reforming of the upgrading </w:t>
      </w:r>
      <w:proofErr w:type="spellStart"/>
      <w:r>
        <w:t>offgas</w:t>
      </w:r>
      <w:proofErr w:type="spellEnd"/>
      <w:r>
        <w:t xml:space="preserve"> and purchased natural gas.  During the </w:t>
      </w:r>
      <w:proofErr w:type="spellStart"/>
      <w:r>
        <w:t>hydrotreating</w:t>
      </w:r>
      <w:proofErr w:type="spellEnd"/>
      <w:r>
        <w:t xml:space="preserve"> process, </w:t>
      </w:r>
      <w:proofErr w:type="spellStart"/>
      <w:r>
        <w:t>biocrude</w:t>
      </w:r>
      <w:proofErr w:type="spellEnd"/>
      <w:r>
        <w:t xml:space="preserve"> oxygen is converted to CO</w:t>
      </w:r>
      <w:r w:rsidRPr="00B92DB6">
        <w:rPr>
          <w:vertAlign w:val="subscript"/>
        </w:rPr>
        <w:t>2</w:t>
      </w:r>
      <w:r>
        <w:t xml:space="preserve"> and water, nitrogen is converted to ammonia, and sulfur is converted to hydrogen sulfide.  The reactor effluent is cooled to condense the produced water and hydrocarbons, the latter of which is then fractionated into lights, naphtha, diesel and heavy oil.  The </w:t>
      </w:r>
      <w:proofErr w:type="spellStart"/>
      <w:r>
        <w:t>hydrotreater</w:t>
      </w:r>
      <w:proofErr w:type="spellEnd"/>
      <w:r>
        <w:t xml:space="preserve"> reactor conditions and product results from the experimental data and the model are given in Table 4.</w:t>
      </w:r>
    </w:p>
    <w:p w:rsidR="00A067A8" w:rsidRDefault="00A067A8" w:rsidP="00A067A8"/>
    <w:p w:rsidR="00A067A8" w:rsidRPr="0038380E" w:rsidRDefault="00A067A8" w:rsidP="00A067A8">
      <w:pPr>
        <w:pStyle w:val="ListParagraph"/>
        <w:ind w:left="0"/>
        <w:jc w:val="both"/>
        <w:rPr>
          <w:rFonts w:cs="Arial"/>
          <w:b/>
          <w:szCs w:val="22"/>
        </w:rPr>
      </w:pPr>
    </w:p>
    <w:p w:rsidR="00A067A8" w:rsidRPr="0038380E" w:rsidRDefault="00A067A8" w:rsidP="00A067A8">
      <w:pPr>
        <w:pStyle w:val="Style1"/>
        <w:rPr>
          <w:rFonts w:ascii="Arial" w:hAnsi="Arial" w:cs="Arial"/>
          <w:b w:val="0"/>
        </w:rPr>
      </w:pPr>
      <w:bookmarkStart w:id="3" w:name="_Toc381557114"/>
      <w:r w:rsidRPr="0038380E">
        <w:rPr>
          <w:rFonts w:ascii="Arial" w:hAnsi="Arial" w:cs="Arial"/>
        </w:rPr>
        <w:t xml:space="preserve">Table </w:t>
      </w:r>
      <w:proofErr w:type="gramStart"/>
      <w:r>
        <w:rPr>
          <w:rFonts w:ascii="Arial" w:hAnsi="Arial" w:cs="Arial"/>
        </w:rPr>
        <w:t>4</w:t>
      </w:r>
      <w:r w:rsidRPr="0038380E">
        <w:rPr>
          <w:rFonts w:ascii="Arial" w:hAnsi="Arial" w:cs="Arial"/>
        </w:rPr>
        <w:t xml:space="preserve">  </w:t>
      </w:r>
      <w:r w:rsidRPr="0038380E">
        <w:rPr>
          <w:rFonts w:ascii="Arial" w:hAnsi="Arial" w:cs="Arial"/>
          <w:b w:val="0"/>
        </w:rPr>
        <w:t>Primary</w:t>
      </w:r>
      <w:proofErr w:type="gramEnd"/>
      <w:r w:rsidRPr="0038380E">
        <w:rPr>
          <w:rFonts w:ascii="Arial" w:hAnsi="Arial" w:cs="Arial"/>
          <w:b w:val="0"/>
        </w:rPr>
        <w:t xml:space="preserve"> sludge </w:t>
      </w:r>
      <w:proofErr w:type="spellStart"/>
      <w:r>
        <w:rPr>
          <w:rFonts w:ascii="Arial" w:hAnsi="Arial" w:cs="Arial"/>
          <w:b w:val="0"/>
        </w:rPr>
        <w:t>biocrude</w:t>
      </w:r>
      <w:proofErr w:type="spellEnd"/>
      <w:r w:rsidRPr="0038380E">
        <w:rPr>
          <w:rFonts w:ascii="Arial" w:hAnsi="Arial" w:cs="Arial"/>
          <w:b w:val="0"/>
        </w:rPr>
        <w:t xml:space="preserve"> </w:t>
      </w:r>
      <w:proofErr w:type="spellStart"/>
      <w:r w:rsidRPr="0038380E">
        <w:rPr>
          <w:rFonts w:ascii="Arial" w:hAnsi="Arial" w:cs="Arial"/>
          <w:b w:val="0"/>
        </w:rPr>
        <w:t>hydrotreating</w:t>
      </w:r>
      <w:proofErr w:type="spellEnd"/>
      <w:r w:rsidRPr="0038380E">
        <w:rPr>
          <w:rFonts w:ascii="Arial" w:hAnsi="Arial" w:cs="Arial"/>
          <w:b w:val="0"/>
        </w:rPr>
        <w:t xml:space="preserve"> experimental results and model assumptions</w:t>
      </w:r>
      <w:bookmarkEnd w:id="3"/>
    </w:p>
    <w:tbl>
      <w:tblPr>
        <w:tblStyle w:val="Header"/>
        <w:tblW w:w="0" w:type="auto"/>
        <w:jc w:val="center"/>
        <w:tblLook w:val="04A0" w:firstRow="1" w:lastRow="0" w:firstColumn="1" w:lastColumn="0" w:noHBand="0" w:noVBand="1"/>
      </w:tblPr>
      <w:tblGrid>
        <w:gridCol w:w="2875"/>
        <w:gridCol w:w="1868"/>
        <w:gridCol w:w="2452"/>
      </w:tblGrid>
      <w:tr w:rsidR="00A067A8" w:rsidRPr="001C6BD1" w:rsidTr="00A067A8">
        <w:trPr>
          <w:jc w:val="center"/>
        </w:trPr>
        <w:tc>
          <w:tcPr>
            <w:tcW w:w="2875"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Component</w:t>
            </w:r>
          </w:p>
        </w:tc>
        <w:tc>
          <w:tcPr>
            <w:tcW w:w="1868" w:type="dxa"/>
            <w:vAlign w:val="center"/>
          </w:tcPr>
          <w:p w:rsidR="00A067A8" w:rsidRPr="001C6BD1" w:rsidRDefault="00A067A8" w:rsidP="00A067A8">
            <w:pPr>
              <w:spacing w:line="276" w:lineRule="auto"/>
              <w:jc w:val="center"/>
              <w:rPr>
                <w:rFonts w:eastAsiaTheme="minorHAnsi" w:cs="Arial"/>
                <w:b/>
                <w:sz w:val="20"/>
              </w:rPr>
            </w:pPr>
            <w:r w:rsidRPr="001C6BD1">
              <w:rPr>
                <w:rFonts w:eastAsiaTheme="minorHAnsi" w:cs="Arial"/>
                <w:b/>
                <w:sz w:val="20"/>
              </w:rPr>
              <w:t>Experimental</w:t>
            </w:r>
            <w:r>
              <w:rPr>
                <w:rFonts w:eastAsiaTheme="minorHAnsi" w:cs="Arial"/>
                <w:b/>
                <w:sz w:val="20"/>
              </w:rPr>
              <w:t xml:space="preserve"> (WERF 02-19)</w:t>
            </w:r>
          </w:p>
        </w:tc>
        <w:tc>
          <w:tcPr>
            <w:tcW w:w="2452" w:type="dxa"/>
          </w:tcPr>
          <w:p w:rsidR="00A067A8" w:rsidRPr="001C6BD1" w:rsidRDefault="00A067A8" w:rsidP="00A067A8">
            <w:pPr>
              <w:spacing w:line="276" w:lineRule="auto"/>
              <w:jc w:val="center"/>
              <w:rPr>
                <w:rFonts w:eastAsiaTheme="minorHAnsi" w:cs="Arial"/>
                <w:b/>
                <w:sz w:val="20"/>
                <w:highlight w:val="yellow"/>
              </w:rPr>
            </w:pPr>
            <w:r w:rsidRPr="001C6BD1">
              <w:rPr>
                <w:rFonts w:eastAsiaTheme="minorHAnsi" w:cs="Arial"/>
                <w:b/>
                <w:sz w:val="20"/>
              </w:rPr>
              <w:t>Model</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Temperature, °F (°C)</w:t>
            </w:r>
          </w:p>
        </w:tc>
        <w:tc>
          <w:tcPr>
            <w:tcW w:w="1868"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752 (400)</w:t>
            </w:r>
          </w:p>
        </w:tc>
        <w:tc>
          <w:tcPr>
            <w:tcW w:w="2452" w:type="dxa"/>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752 (400)</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Pressure, </w:t>
            </w:r>
            <w:proofErr w:type="spellStart"/>
            <w:r w:rsidRPr="001C6BD1">
              <w:rPr>
                <w:rFonts w:eastAsiaTheme="minorHAnsi" w:cs="Arial"/>
                <w:sz w:val="20"/>
              </w:rPr>
              <w:t>psia</w:t>
            </w:r>
            <w:proofErr w:type="spellEnd"/>
          </w:p>
        </w:tc>
        <w:tc>
          <w:tcPr>
            <w:tcW w:w="1868" w:type="dxa"/>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1540</w:t>
            </w:r>
          </w:p>
        </w:tc>
        <w:tc>
          <w:tcPr>
            <w:tcW w:w="2452" w:type="dxa"/>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1515</w:t>
            </w:r>
          </w:p>
        </w:tc>
      </w:tr>
      <w:tr w:rsidR="00A067A8" w:rsidRPr="001C6BD1" w:rsidTr="00A067A8">
        <w:trPr>
          <w:trHeight w:val="1187"/>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Catalyst</w:t>
            </w:r>
          </w:p>
          <w:p w:rsidR="00A067A8" w:rsidRPr="001C6BD1" w:rsidRDefault="00A067A8" w:rsidP="00A067A8">
            <w:pPr>
              <w:spacing w:line="276" w:lineRule="auto"/>
              <w:rPr>
                <w:rFonts w:eastAsiaTheme="minorHAnsi" w:cs="Arial"/>
                <w:sz w:val="20"/>
              </w:rPr>
            </w:pPr>
            <w:proofErr w:type="spellStart"/>
            <w:r w:rsidRPr="001C6BD1">
              <w:rPr>
                <w:rFonts w:eastAsiaTheme="minorHAnsi" w:cs="Arial"/>
                <w:sz w:val="20"/>
              </w:rPr>
              <w:t>Sulfided</w:t>
            </w:r>
            <w:proofErr w:type="spellEnd"/>
            <w:r w:rsidRPr="001C6BD1">
              <w:rPr>
                <w:rFonts w:eastAsiaTheme="minorHAnsi" w:cs="Arial"/>
                <w:sz w:val="20"/>
              </w:rPr>
              <w:t>?</w:t>
            </w:r>
          </w:p>
          <w:p w:rsidR="00A067A8" w:rsidRPr="001C6BD1" w:rsidRDefault="00A067A8" w:rsidP="00A067A8">
            <w:pPr>
              <w:spacing w:line="276" w:lineRule="auto"/>
              <w:rPr>
                <w:rFonts w:eastAsiaTheme="minorHAnsi" w:cs="Arial"/>
                <w:sz w:val="20"/>
              </w:rPr>
            </w:pPr>
            <w:r w:rsidRPr="001C6BD1">
              <w:rPr>
                <w:rFonts w:eastAsiaTheme="minorHAnsi" w:cs="Arial"/>
                <w:sz w:val="20"/>
              </w:rPr>
              <w:t>LHSV, vol./hour per vol. catalyst</w:t>
            </w:r>
          </w:p>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WHSV, wt./</w:t>
            </w:r>
            <w:proofErr w:type="spellStart"/>
            <w:r w:rsidRPr="001C6BD1">
              <w:rPr>
                <w:rFonts w:eastAsiaTheme="minorHAnsi" w:cs="Arial"/>
                <w:sz w:val="20"/>
              </w:rPr>
              <w:t>hr</w:t>
            </w:r>
            <w:proofErr w:type="spellEnd"/>
            <w:r w:rsidRPr="001C6BD1">
              <w:rPr>
                <w:rFonts w:eastAsiaTheme="minorHAnsi" w:cs="Arial"/>
                <w:sz w:val="20"/>
              </w:rPr>
              <w:t xml:space="preserve"> per wt. catalyst</w:t>
            </w:r>
          </w:p>
        </w:tc>
        <w:tc>
          <w:tcPr>
            <w:tcW w:w="1868" w:type="dxa"/>
          </w:tcPr>
          <w:p w:rsidR="00A067A8" w:rsidRPr="001C6BD1" w:rsidRDefault="00A067A8" w:rsidP="00A067A8">
            <w:pPr>
              <w:spacing w:line="276" w:lineRule="auto"/>
              <w:jc w:val="center"/>
              <w:rPr>
                <w:rFonts w:eastAsiaTheme="minorHAnsi" w:cs="Arial"/>
                <w:sz w:val="20"/>
                <w:vertAlign w:val="subscript"/>
              </w:rPr>
            </w:pPr>
            <w:proofErr w:type="spellStart"/>
            <w:r w:rsidRPr="001C6BD1">
              <w:rPr>
                <w:rFonts w:eastAsiaTheme="minorHAnsi" w:cs="Arial"/>
                <w:sz w:val="20"/>
              </w:rPr>
              <w:t>CoMo</w:t>
            </w:r>
            <w:proofErr w:type="spellEnd"/>
            <w:r w:rsidRPr="001C6BD1">
              <w:rPr>
                <w:rFonts w:eastAsiaTheme="minorHAnsi" w:cs="Arial"/>
                <w:sz w:val="20"/>
              </w:rPr>
              <w:t>/alumina-F</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yes</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0.208</w:t>
            </w:r>
          </w:p>
          <w:p w:rsidR="00A067A8" w:rsidRPr="001C6BD1" w:rsidRDefault="00A067A8" w:rsidP="00A067A8">
            <w:pPr>
              <w:spacing w:line="276" w:lineRule="auto"/>
              <w:jc w:val="center"/>
              <w:rPr>
                <w:rFonts w:eastAsiaTheme="minorHAnsi" w:cs="Arial"/>
                <w:sz w:val="20"/>
                <w:highlight w:val="yellow"/>
              </w:rPr>
            </w:pP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0.37</w:t>
            </w:r>
          </w:p>
        </w:tc>
        <w:tc>
          <w:tcPr>
            <w:tcW w:w="2452" w:type="dxa"/>
          </w:tcPr>
          <w:p w:rsidR="00A067A8" w:rsidRPr="001C6BD1" w:rsidRDefault="00A067A8" w:rsidP="00A067A8">
            <w:pPr>
              <w:spacing w:line="276" w:lineRule="auto"/>
              <w:jc w:val="center"/>
              <w:rPr>
                <w:rFonts w:eastAsiaTheme="minorHAnsi" w:cs="Arial"/>
                <w:sz w:val="20"/>
                <w:vertAlign w:val="subscript"/>
              </w:rPr>
            </w:pPr>
            <w:proofErr w:type="spellStart"/>
            <w:r w:rsidRPr="001C6BD1">
              <w:rPr>
                <w:rFonts w:eastAsiaTheme="minorHAnsi" w:cs="Arial"/>
                <w:sz w:val="20"/>
              </w:rPr>
              <w:t>CoMo</w:t>
            </w:r>
            <w:proofErr w:type="spellEnd"/>
            <w:r w:rsidRPr="001C6BD1">
              <w:rPr>
                <w:rFonts w:eastAsiaTheme="minorHAnsi" w:cs="Arial"/>
                <w:sz w:val="20"/>
              </w:rPr>
              <w:t>/alumina</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Purchased </w:t>
            </w:r>
            <w:proofErr w:type="spellStart"/>
            <w:r w:rsidRPr="001C6BD1">
              <w:rPr>
                <w:rFonts w:eastAsiaTheme="minorHAnsi" w:cs="Arial"/>
                <w:sz w:val="20"/>
              </w:rPr>
              <w:t>presulfided</w:t>
            </w:r>
            <w:proofErr w:type="spellEnd"/>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0.25</w:t>
            </w:r>
          </w:p>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0.3</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 xml:space="preserve">HTL oil feed rate, </w:t>
            </w:r>
            <w:proofErr w:type="spellStart"/>
            <w:r w:rsidRPr="001C6BD1">
              <w:rPr>
                <w:rFonts w:eastAsiaTheme="minorHAnsi" w:cs="Arial"/>
                <w:sz w:val="20"/>
              </w:rPr>
              <w:t>lb</w:t>
            </w:r>
            <w:proofErr w:type="spellEnd"/>
            <w:r w:rsidRPr="001C6BD1">
              <w:rPr>
                <w:rFonts w:eastAsiaTheme="minorHAnsi" w:cs="Arial"/>
                <w:sz w:val="20"/>
              </w:rPr>
              <w:t>/h (g/h)</w:t>
            </w:r>
          </w:p>
        </w:tc>
        <w:tc>
          <w:tcPr>
            <w:tcW w:w="1868" w:type="dxa"/>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0.009 (4.01)</w:t>
            </w:r>
          </w:p>
        </w:tc>
        <w:tc>
          <w:tcPr>
            <w:tcW w:w="2452" w:type="dxa"/>
            <w:vAlign w:val="center"/>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Commercial scale</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Total continuous run time, hours</w:t>
            </w:r>
          </w:p>
        </w:tc>
        <w:tc>
          <w:tcPr>
            <w:tcW w:w="1868"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11 (sample)</w:t>
            </w: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76 (total run)</w:t>
            </w:r>
          </w:p>
        </w:tc>
        <w:tc>
          <w:tcPr>
            <w:tcW w:w="2452" w:type="dxa"/>
          </w:tcPr>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Not applicable</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Chemical H</w:t>
            </w:r>
            <w:r w:rsidRPr="001C6BD1">
              <w:rPr>
                <w:rFonts w:eastAsiaTheme="minorHAnsi" w:cs="Arial"/>
                <w:sz w:val="20"/>
                <w:vertAlign w:val="subscript"/>
              </w:rPr>
              <w:t>2</w:t>
            </w:r>
            <w:r w:rsidRPr="001C6BD1">
              <w:rPr>
                <w:rFonts w:eastAsiaTheme="minorHAnsi" w:cs="Arial"/>
                <w:sz w:val="20"/>
              </w:rPr>
              <w:t xml:space="preserve"> consumption, </w:t>
            </w:r>
            <w:proofErr w:type="spellStart"/>
            <w:r w:rsidRPr="001C6BD1">
              <w:rPr>
                <w:rFonts w:eastAsiaTheme="minorHAnsi" w:cs="Arial"/>
                <w:sz w:val="20"/>
              </w:rPr>
              <w:t>wt</w:t>
            </w:r>
            <w:proofErr w:type="spellEnd"/>
            <w:r w:rsidRPr="001C6BD1">
              <w:rPr>
                <w:rFonts w:eastAsiaTheme="minorHAnsi" w:cs="Arial"/>
                <w:sz w:val="20"/>
              </w:rPr>
              <w:t>/</w:t>
            </w:r>
            <w:proofErr w:type="spellStart"/>
            <w:r w:rsidRPr="001C6BD1">
              <w:rPr>
                <w:rFonts w:eastAsiaTheme="minorHAnsi" w:cs="Arial"/>
                <w:sz w:val="20"/>
              </w:rPr>
              <w:t>wt</w:t>
            </w:r>
            <w:proofErr w:type="spellEnd"/>
            <w:r w:rsidRPr="001C6BD1">
              <w:rPr>
                <w:rFonts w:eastAsiaTheme="minorHAnsi" w:cs="Arial"/>
                <w:sz w:val="20"/>
              </w:rPr>
              <w:t xml:space="preserve"> raw HTL </w:t>
            </w:r>
            <w:proofErr w:type="spellStart"/>
            <w:r>
              <w:rPr>
                <w:rFonts w:eastAsiaTheme="minorHAnsi" w:cs="Arial"/>
                <w:sz w:val="20"/>
              </w:rPr>
              <w:t>biocrude</w:t>
            </w:r>
            <w:proofErr w:type="spellEnd"/>
            <w:r w:rsidRPr="001C6BD1">
              <w:rPr>
                <w:rFonts w:eastAsiaTheme="minorHAnsi" w:cs="Arial"/>
                <w:sz w:val="20"/>
              </w:rPr>
              <w:t xml:space="preserve"> (wet)</w:t>
            </w:r>
          </w:p>
        </w:tc>
        <w:tc>
          <w:tcPr>
            <w:tcW w:w="1868"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0.044</w:t>
            </w:r>
          </w:p>
        </w:tc>
        <w:tc>
          <w:tcPr>
            <w:tcW w:w="2452" w:type="dxa"/>
            <w:vAlign w:val="center"/>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0.045</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Products, </w:t>
            </w:r>
            <w:proofErr w:type="spellStart"/>
            <w:r w:rsidRPr="001C6BD1">
              <w:rPr>
                <w:rFonts w:eastAsiaTheme="minorHAnsi" w:cs="Arial"/>
                <w:sz w:val="20"/>
              </w:rPr>
              <w:t>wt</w:t>
            </w:r>
            <w:proofErr w:type="spellEnd"/>
            <w:r w:rsidRPr="001C6BD1">
              <w:rPr>
                <w:rFonts w:eastAsiaTheme="minorHAnsi" w:cs="Arial"/>
                <w:sz w:val="20"/>
              </w:rPr>
              <w:t xml:space="preserve"> %</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w:t>
            </w:r>
            <w:proofErr w:type="spellStart"/>
            <w:r w:rsidRPr="001C6BD1">
              <w:rPr>
                <w:rFonts w:eastAsiaTheme="minorHAnsi" w:cs="Arial"/>
                <w:sz w:val="20"/>
              </w:rPr>
              <w:t>Hydrotreated</w:t>
            </w:r>
            <w:proofErr w:type="spellEnd"/>
            <w:r w:rsidRPr="001C6BD1">
              <w:rPr>
                <w:rFonts w:eastAsiaTheme="minorHAnsi" w:cs="Arial"/>
                <w:sz w:val="20"/>
              </w:rPr>
              <w:t xml:space="preserve"> oil     </w:t>
            </w:r>
          </w:p>
          <w:p w:rsidR="00A067A8" w:rsidRPr="001C6BD1" w:rsidRDefault="00A067A8" w:rsidP="00A067A8">
            <w:pPr>
              <w:spacing w:line="276" w:lineRule="auto"/>
              <w:rPr>
                <w:rFonts w:eastAsiaTheme="minorHAnsi" w:cs="Arial"/>
                <w:sz w:val="20"/>
              </w:rPr>
            </w:pPr>
            <w:r w:rsidRPr="001C6BD1">
              <w:rPr>
                <w:rFonts w:eastAsiaTheme="minorHAnsi" w:cs="Arial"/>
                <w:sz w:val="20"/>
              </w:rPr>
              <w:lastRenderedPageBreak/>
              <w:t xml:space="preserve">   Aqueous phase</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Gas   </w:t>
            </w:r>
          </w:p>
        </w:tc>
        <w:tc>
          <w:tcPr>
            <w:tcW w:w="1868" w:type="dxa"/>
            <w:vAlign w:val="center"/>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66.0%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lastRenderedPageBreak/>
              <w:t>28.5%</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5.5%</w:t>
            </w:r>
          </w:p>
        </w:tc>
        <w:tc>
          <w:tcPr>
            <w:tcW w:w="2452" w:type="dxa"/>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67.8%</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lastRenderedPageBreak/>
              <w:t>23.5%</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8.7%</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lastRenderedPageBreak/>
              <w:t xml:space="preserve">Product oil, </w:t>
            </w:r>
            <w:proofErr w:type="spellStart"/>
            <w:r w:rsidRPr="001C6BD1">
              <w:rPr>
                <w:rFonts w:eastAsiaTheme="minorHAnsi" w:cs="Arial"/>
                <w:sz w:val="20"/>
              </w:rPr>
              <w:t>wt</w:t>
            </w:r>
            <w:proofErr w:type="spellEnd"/>
            <w:r w:rsidRPr="001C6BD1">
              <w:rPr>
                <w:rFonts w:eastAsiaTheme="minorHAnsi" w:cs="Arial"/>
                <w:sz w:val="20"/>
              </w:rPr>
              <w:t>%</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C</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H</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O</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N</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S</w:t>
            </w:r>
          </w:p>
        </w:tc>
        <w:tc>
          <w:tcPr>
            <w:tcW w:w="1868" w:type="dxa"/>
            <w:vAlign w:val="center"/>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84.6%</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14.2%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1.2%</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0.04%</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&lt;</w:t>
            </w:r>
          </w:p>
        </w:tc>
        <w:tc>
          <w:tcPr>
            <w:tcW w:w="2452" w:type="dxa"/>
          </w:tcPr>
          <w:p w:rsidR="00A067A8" w:rsidRPr="001C6BD1" w:rsidRDefault="00A067A8" w:rsidP="00A067A8">
            <w:pPr>
              <w:spacing w:line="276" w:lineRule="auto"/>
              <w:jc w:val="center"/>
              <w:rPr>
                <w:rFonts w:eastAsiaTheme="minorHAnsi" w:cs="Arial"/>
                <w:sz w:val="20"/>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85.8%</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13.9%</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&lt;.25%</w:t>
            </w:r>
            <w:r w:rsidRPr="001C6BD1">
              <w:rPr>
                <w:rFonts w:eastAsiaTheme="minorHAnsi" w:cs="Arial"/>
                <w:sz w:val="20"/>
              </w:rPr>
              <w:br/>
              <w:t>0.04%</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0.0%</w:t>
            </w:r>
          </w:p>
        </w:tc>
      </w:tr>
      <w:tr w:rsidR="00A067A8" w:rsidRPr="001C6BD1" w:rsidTr="00A067A8">
        <w:trPr>
          <w:jc w:val="center"/>
        </w:trPr>
        <w:tc>
          <w:tcPr>
            <w:tcW w:w="2875" w:type="dxa"/>
            <w:vAlign w:val="center"/>
          </w:tcPr>
          <w:p w:rsidR="00A067A8" w:rsidRPr="000E3B97" w:rsidRDefault="00A067A8" w:rsidP="00A067A8">
            <w:pPr>
              <w:spacing w:line="276" w:lineRule="auto"/>
              <w:rPr>
                <w:rFonts w:eastAsiaTheme="minorHAnsi" w:cs="Arial"/>
                <w:sz w:val="20"/>
                <w:highlight w:val="yellow"/>
              </w:rPr>
            </w:pPr>
            <w:r w:rsidRPr="00763DDD">
              <w:rPr>
                <w:rFonts w:eastAsiaTheme="minorHAnsi" w:cs="Arial"/>
                <w:sz w:val="20"/>
              </w:rPr>
              <w:t xml:space="preserve">Aqueous carbon, </w:t>
            </w:r>
            <w:proofErr w:type="spellStart"/>
            <w:r w:rsidRPr="00763DDD">
              <w:rPr>
                <w:rFonts w:eastAsiaTheme="minorHAnsi" w:cs="Arial"/>
                <w:sz w:val="20"/>
              </w:rPr>
              <w:t>wt</w:t>
            </w:r>
            <w:proofErr w:type="spellEnd"/>
            <w:r w:rsidRPr="00763DDD">
              <w:rPr>
                <w:rFonts w:eastAsiaTheme="minorHAnsi" w:cs="Arial"/>
                <w:sz w:val="20"/>
              </w:rPr>
              <w:t xml:space="preserve">% </w:t>
            </w:r>
          </w:p>
        </w:tc>
        <w:tc>
          <w:tcPr>
            <w:tcW w:w="1868" w:type="dxa"/>
            <w:vAlign w:val="center"/>
          </w:tcPr>
          <w:p w:rsidR="00A067A8" w:rsidRPr="001C6BD1" w:rsidRDefault="00A067A8" w:rsidP="00A067A8">
            <w:pPr>
              <w:spacing w:line="276" w:lineRule="auto"/>
              <w:jc w:val="center"/>
              <w:rPr>
                <w:rFonts w:eastAsiaTheme="minorHAnsi" w:cs="Arial"/>
                <w:sz w:val="20"/>
                <w:highlight w:val="yellow"/>
              </w:rPr>
            </w:pPr>
            <w:r>
              <w:rPr>
                <w:rFonts w:eastAsiaTheme="minorHAnsi" w:cs="Arial"/>
                <w:sz w:val="20"/>
              </w:rPr>
              <w:t>Not reported</w:t>
            </w:r>
          </w:p>
        </w:tc>
        <w:tc>
          <w:tcPr>
            <w:tcW w:w="2452" w:type="dxa"/>
          </w:tcPr>
          <w:p w:rsidR="00A067A8" w:rsidRPr="001C6BD1" w:rsidRDefault="00A067A8" w:rsidP="00A067A8">
            <w:pPr>
              <w:spacing w:line="276" w:lineRule="auto"/>
              <w:jc w:val="center"/>
              <w:rPr>
                <w:rFonts w:eastAsiaTheme="minorHAnsi" w:cs="Arial"/>
                <w:sz w:val="20"/>
                <w:highlight w:val="yellow"/>
              </w:rPr>
            </w:pPr>
            <w:r>
              <w:rPr>
                <w:rFonts w:eastAsiaTheme="minorHAnsi" w:cs="Arial"/>
                <w:sz w:val="20"/>
              </w:rPr>
              <w:t>0.02</w:t>
            </w:r>
            <w:r w:rsidRPr="000A5E08">
              <w:rPr>
                <w:rFonts w:eastAsiaTheme="minorHAnsi" w:cs="Arial"/>
                <w:sz w:val="20"/>
              </w:rPr>
              <w:t>%</w:t>
            </w:r>
          </w:p>
        </w:tc>
      </w:tr>
      <w:tr w:rsidR="00A067A8" w:rsidRPr="001C6BD1" w:rsidTr="00A067A8">
        <w:trPr>
          <w:jc w:val="center"/>
        </w:trPr>
        <w:tc>
          <w:tcPr>
            <w:tcW w:w="2875" w:type="dxa"/>
            <w:vAlign w:val="center"/>
          </w:tcPr>
          <w:p w:rsidR="00A067A8" w:rsidRPr="001C6BD1" w:rsidRDefault="00A067A8" w:rsidP="00A067A8">
            <w:pPr>
              <w:spacing w:line="276" w:lineRule="auto"/>
              <w:rPr>
                <w:rFonts w:eastAsiaTheme="minorHAnsi" w:cs="Arial"/>
                <w:sz w:val="20"/>
              </w:rPr>
            </w:pPr>
            <w:r w:rsidRPr="001C6BD1">
              <w:rPr>
                <w:rFonts w:eastAsiaTheme="minorHAnsi" w:cs="Arial"/>
                <w:sz w:val="20"/>
              </w:rPr>
              <w:t>Gas analysis, volume%</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CO</w:t>
            </w:r>
            <w:r w:rsidRPr="001C6BD1">
              <w:rPr>
                <w:rFonts w:eastAsiaTheme="minorHAnsi" w:cs="Arial"/>
                <w:sz w:val="20"/>
                <w:vertAlign w:val="subscript"/>
              </w:rPr>
              <w:t>2</w:t>
            </w:r>
            <w:r w:rsidRPr="001C6BD1">
              <w:rPr>
                <w:rFonts w:eastAsiaTheme="minorHAnsi" w:cs="Arial"/>
                <w:sz w:val="20"/>
              </w:rPr>
              <w:t>, CO</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CH</w:t>
            </w:r>
            <w:r w:rsidRPr="001C6BD1">
              <w:rPr>
                <w:rFonts w:eastAsiaTheme="minorHAnsi" w:cs="Arial"/>
                <w:sz w:val="20"/>
                <w:vertAlign w:val="subscript"/>
              </w:rPr>
              <w:t>4</w:t>
            </w:r>
          </w:p>
          <w:p w:rsidR="00A067A8" w:rsidRPr="001C6BD1" w:rsidRDefault="00A067A8" w:rsidP="00A067A8">
            <w:pPr>
              <w:spacing w:line="276" w:lineRule="auto"/>
              <w:rPr>
                <w:rFonts w:eastAsiaTheme="minorHAnsi" w:cs="Arial"/>
                <w:sz w:val="20"/>
              </w:rPr>
            </w:pPr>
            <w:r w:rsidRPr="001C6BD1">
              <w:rPr>
                <w:rFonts w:eastAsiaTheme="minorHAnsi" w:cs="Arial"/>
                <w:sz w:val="20"/>
              </w:rPr>
              <w:t xml:space="preserve">   C</w:t>
            </w:r>
            <w:r w:rsidRPr="001C6BD1">
              <w:rPr>
                <w:rFonts w:eastAsiaTheme="minorHAnsi" w:cs="Arial"/>
                <w:sz w:val="20"/>
                <w:vertAlign w:val="subscript"/>
              </w:rPr>
              <w:t>2</w:t>
            </w:r>
            <w:r w:rsidRPr="001C6BD1">
              <w:rPr>
                <w:rFonts w:eastAsiaTheme="minorHAnsi" w:cs="Arial"/>
                <w:sz w:val="20"/>
              </w:rPr>
              <w:t>+</w:t>
            </w:r>
          </w:p>
          <w:p w:rsidR="00A067A8" w:rsidRPr="001C6BD1" w:rsidRDefault="00A067A8" w:rsidP="00A067A8">
            <w:pPr>
              <w:spacing w:line="276" w:lineRule="auto"/>
              <w:rPr>
                <w:rFonts w:eastAsiaTheme="minorHAnsi" w:cs="Arial"/>
                <w:sz w:val="20"/>
                <w:highlight w:val="yellow"/>
              </w:rPr>
            </w:pPr>
            <w:r w:rsidRPr="001C6BD1">
              <w:rPr>
                <w:rFonts w:eastAsiaTheme="minorHAnsi" w:cs="Arial"/>
                <w:sz w:val="20"/>
              </w:rPr>
              <w:t xml:space="preserve">   NH</w:t>
            </w:r>
            <w:r w:rsidRPr="001C6BD1">
              <w:rPr>
                <w:rFonts w:eastAsiaTheme="minorHAnsi" w:cs="Arial"/>
                <w:sz w:val="20"/>
                <w:vertAlign w:val="subscript"/>
              </w:rPr>
              <w:t>3</w:t>
            </w:r>
          </w:p>
        </w:tc>
        <w:tc>
          <w:tcPr>
            <w:tcW w:w="1868" w:type="dxa"/>
            <w:vAlign w:val="center"/>
          </w:tcPr>
          <w:p w:rsidR="00A067A8" w:rsidRPr="001C6BD1" w:rsidRDefault="00A067A8" w:rsidP="00A067A8">
            <w:pPr>
              <w:spacing w:line="276" w:lineRule="auto"/>
              <w:jc w:val="center"/>
              <w:rPr>
                <w:rFonts w:eastAsiaTheme="minorHAnsi" w:cs="Arial"/>
                <w:sz w:val="20"/>
                <w:highlight w:val="yellow"/>
              </w:rPr>
            </w:pP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 xml:space="preserve">  0%</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31%</w:t>
            </w:r>
          </w:p>
          <w:p w:rsidR="00A067A8" w:rsidRPr="001C6BD1" w:rsidRDefault="00A067A8" w:rsidP="00A067A8">
            <w:pPr>
              <w:spacing w:line="276" w:lineRule="auto"/>
              <w:jc w:val="center"/>
              <w:rPr>
                <w:rFonts w:eastAsiaTheme="minorHAnsi" w:cs="Arial"/>
                <w:sz w:val="20"/>
              </w:rPr>
            </w:pPr>
            <w:r w:rsidRPr="001C6BD1">
              <w:rPr>
                <w:rFonts w:eastAsiaTheme="minorHAnsi" w:cs="Arial"/>
                <w:sz w:val="20"/>
              </w:rPr>
              <w:t>69%</w:t>
            </w:r>
          </w:p>
          <w:p w:rsidR="00A067A8" w:rsidRPr="001C6BD1" w:rsidRDefault="00A067A8" w:rsidP="00A067A8">
            <w:pPr>
              <w:spacing w:line="276" w:lineRule="auto"/>
              <w:jc w:val="center"/>
              <w:rPr>
                <w:rFonts w:eastAsiaTheme="minorHAnsi" w:cs="Arial"/>
                <w:sz w:val="20"/>
                <w:highlight w:val="yellow"/>
              </w:rPr>
            </w:pPr>
            <w:r w:rsidRPr="001C6BD1">
              <w:rPr>
                <w:rFonts w:eastAsiaTheme="minorHAnsi" w:cs="Arial"/>
                <w:sz w:val="20"/>
              </w:rPr>
              <w:t>Not measured</w:t>
            </w:r>
          </w:p>
        </w:tc>
        <w:tc>
          <w:tcPr>
            <w:tcW w:w="2452" w:type="dxa"/>
          </w:tcPr>
          <w:p w:rsidR="00A067A8" w:rsidRPr="001C6BD1" w:rsidRDefault="00A067A8" w:rsidP="00A067A8">
            <w:pPr>
              <w:spacing w:line="276" w:lineRule="auto"/>
              <w:jc w:val="center"/>
              <w:rPr>
                <w:rFonts w:eastAsiaTheme="minorHAnsi" w:cs="Arial"/>
                <w:sz w:val="20"/>
                <w:highlight w:val="yellow"/>
              </w:rPr>
            </w:pPr>
          </w:p>
          <w:p w:rsidR="00A067A8" w:rsidRPr="00CE041B" w:rsidRDefault="00A067A8" w:rsidP="00A067A8">
            <w:pPr>
              <w:spacing w:line="276" w:lineRule="auto"/>
              <w:jc w:val="center"/>
              <w:rPr>
                <w:rFonts w:eastAsiaTheme="minorHAnsi" w:cs="Arial"/>
                <w:sz w:val="20"/>
              </w:rPr>
            </w:pPr>
            <w:r w:rsidRPr="00CE041B">
              <w:rPr>
                <w:rFonts w:eastAsiaTheme="minorHAnsi" w:cs="Arial"/>
                <w:sz w:val="20"/>
              </w:rPr>
              <w:t>0%</w:t>
            </w:r>
          </w:p>
          <w:p w:rsidR="00A067A8" w:rsidRPr="00CE041B" w:rsidRDefault="00A067A8" w:rsidP="00A067A8">
            <w:pPr>
              <w:spacing w:line="276" w:lineRule="auto"/>
              <w:jc w:val="center"/>
              <w:rPr>
                <w:rFonts w:eastAsiaTheme="minorHAnsi" w:cs="Arial"/>
                <w:sz w:val="20"/>
              </w:rPr>
            </w:pPr>
            <w:r w:rsidRPr="00CE041B">
              <w:rPr>
                <w:rFonts w:eastAsiaTheme="minorHAnsi" w:cs="Arial"/>
                <w:sz w:val="20"/>
              </w:rPr>
              <w:t>44%</w:t>
            </w:r>
          </w:p>
          <w:p w:rsidR="00A067A8" w:rsidRPr="00CE041B" w:rsidRDefault="00A067A8" w:rsidP="00A067A8">
            <w:pPr>
              <w:spacing w:line="276" w:lineRule="auto"/>
              <w:jc w:val="center"/>
              <w:rPr>
                <w:rFonts w:eastAsiaTheme="minorHAnsi" w:cs="Arial"/>
                <w:sz w:val="20"/>
              </w:rPr>
            </w:pPr>
            <w:r w:rsidRPr="00CE041B">
              <w:rPr>
                <w:rFonts w:eastAsiaTheme="minorHAnsi" w:cs="Arial"/>
                <w:sz w:val="20"/>
              </w:rPr>
              <w:t>50%</w:t>
            </w:r>
          </w:p>
          <w:p w:rsidR="00A067A8" w:rsidRPr="001C6BD1" w:rsidRDefault="00A067A8" w:rsidP="00A067A8">
            <w:pPr>
              <w:spacing w:line="276" w:lineRule="auto"/>
              <w:jc w:val="center"/>
              <w:rPr>
                <w:rFonts w:eastAsiaTheme="minorHAnsi" w:cs="Arial"/>
                <w:sz w:val="20"/>
                <w:highlight w:val="yellow"/>
              </w:rPr>
            </w:pPr>
            <w:r w:rsidRPr="00CE041B">
              <w:rPr>
                <w:rFonts w:eastAsiaTheme="minorHAnsi" w:cs="Arial"/>
                <w:sz w:val="20"/>
              </w:rPr>
              <w:t>6%</w:t>
            </w:r>
          </w:p>
        </w:tc>
      </w:tr>
      <w:tr w:rsidR="00A067A8" w:rsidRPr="001C6BD1" w:rsidTr="00A067A8">
        <w:trPr>
          <w:jc w:val="center"/>
        </w:trPr>
        <w:tc>
          <w:tcPr>
            <w:tcW w:w="2875" w:type="dxa"/>
            <w:vAlign w:val="center"/>
          </w:tcPr>
          <w:p w:rsidR="00A067A8" w:rsidRPr="00E2523F" w:rsidRDefault="00A067A8" w:rsidP="00A067A8">
            <w:pPr>
              <w:spacing w:line="276" w:lineRule="auto"/>
              <w:rPr>
                <w:rFonts w:eastAsiaTheme="minorHAnsi" w:cs="Arial"/>
                <w:sz w:val="20"/>
              </w:rPr>
            </w:pPr>
            <w:r w:rsidRPr="00E2523F">
              <w:rPr>
                <w:rFonts w:eastAsiaTheme="minorHAnsi" w:cs="Arial"/>
                <w:sz w:val="20"/>
              </w:rPr>
              <w:t>TAN,  feed (product)</w:t>
            </w:r>
          </w:p>
          <w:p w:rsidR="00A067A8" w:rsidRPr="00E2523F" w:rsidRDefault="00A067A8" w:rsidP="00A067A8">
            <w:pPr>
              <w:spacing w:line="276" w:lineRule="auto"/>
              <w:rPr>
                <w:rFonts w:eastAsiaTheme="minorHAnsi" w:cs="Arial"/>
                <w:sz w:val="20"/>
              </w:rPr>
            </w:pPr>
            <w:r w:rsidRPr="00E2523F">
              <w:rPr>
                <w:rFonts w:eastAsiaTheme="minorHAnsi" w:cs="Arial"/>
                <w:sz w:val="20"/>
              </w:rPr>
              <w:t xml:space="preserve">Viscosity@40 °C, </w:t>
            </w:r>
            <w:proofErr w:type="spellStart"/>
            <w:r w:rsidRPr="00E2523F">
              <w:rPr>
                <w:rFonts w:eastAsiaTheme="minorHAnsi" w:cs="Arial"/>
                <w:sz w:val="20"/>
              </w:rPr>
              <w:t>cSt</w:t>
            </w:r>
            <w:proofErr w:type="spellEnd"/>
            <w:r w:rsidRPr="00E2523F">
              <w:rPr>
                <w:rFonts w:eastAsiaTheme="minorHAnsi" w:cs="Arial"/>
                <w:sz w:val="20"/>
              </w:rPr>
              <w:t xml:space="preserve">, </w:t>
            </w:r>
          </w:p>
          <w:p w:rsidR="00A067A8" w:rsidRPr="00E2523F" w:rsidRDefault="00A067A8" w:rsidP="00A067A8">
            <w:pPr>
              <w:spacing w:line="276" w:lineRule="auto"/>
              <w:rPr>
                <w:rFonts w:eastAsiaTheme="minorHAnsi" w:cs="Arial"/>
                <w:sz w:val="20"/>
              </w:rPr>
            </w:pPr>
            <w:r w:rsidRPr="00E2523F">
              <w:rPr>
                <w:rFonts w:eastAsiaTheme="minorHAnsi" w:cs="Arial"/>
                <w:sz w:val="20"/>
              </w:rPr>
              <w:t xml:space="preserve">      feed    (product)</w:t>
            </w:r>
          </w:p>
          <w:p w:rsidR="00A067A8" w:rsidRPr="00E2523F" w:rsidRDefault="00A067A8" w:rsidP="00A067A8">
            <w:pPr>
              <w:spacing w:line="276" w:lineRule="auto"/>
              <w:rPr>
                <w:rFonts w:eastAsiaTheme="minorHAnsi" w:cs="Arial"/>
                <w:sz w:val="20"/>
              </w:rPr>
            </w:pPr>
            <w:r w:rsidRPr="00E2523F">
              <w:rPr>
                <w:rFonts w:eastAsiaTheme="minorHAnsi" w:cs="Arial"/>
                <w:sz w:val="20"/>
              </w:rPr>
              <w:t>Density@40 °C, g/cm</w:t>
            </w:r>
            <w:r w:rsidRPr="00E2523F">
              <w:rPr>
                <w:rFonts w:eastAsiaTheme="minorHAnsi" w:cs="Arial"/>
                <w:sz w:val="20"/>
                <w:vertAlign w:val="superscript"/>
              </w:rPr>
              <w:t>3</w:t>
            </w:r>
            <w:r w:rsidRPr="00E2523F">
              <w:rPr>
                <w:rFonts w:eastAsiaTheme="minorHAnsi" w:cs="Arial"/>
                <w:sz w:val="20"/>
              </w:rPr>
              <w:t xml:space="preserve">, </w:t>
            </w:r>
          </w:p>
          <w:p w:rsidR="00A067A8" w:rsidRPr="001C6BD1" w:rsidRDefault="00A067A8" w:rsidP="00A067A8">
            <w:pPr>
              <w:spacing w:line="276" w:lineRule="auto"/>
              <w:rPr>
                <w:rFonts w:eastAsiaTheme="minorHAnsi" w:cs="Arial"/>
                <w:sz w:val="20"/>
                <w:highlight w:val="yellow"/>
              </w:rPr>
            </w:pPr>
            <w:r w:rsidRPr="00E2523F">
              <w:rPr>
                <w:rFonts w:eastAsiaTheme="minorHAnsi" w:cs="Arial"/>
                <w:sz w:val="20"/>
              </w:rPr>
              <w:t xml:space="preserve">      feed    (product)</w:t>
            </w:r>
          </w:p>
        </w:tc>
        <w:tc>
          <w:tcPr>
            <w:tcW w:w="1868" w:type="dxa"/>
          </w:tcPr>
          <w:p w:rsidR="00A067A8" w:rsidRPr="001C6BD1" w:rsidRDefault="00A067A8" w:rsidP="00A067A8">
            <w:pPr>
              <w:spacing w:line="276" w:lineRule="auto"/>
              <w:jc w:val="center"/>
              <w:rPr>
                <w:rFonts w:eastAsiaTheme="minorHAnsi" w:cs="Arial"/>
                <w:sz w:val="20"/>
                <w:highlight w:val="yellow"/>
              </w:rPr>
            </w:pPr>
            <w:r>
              <w:rPr>
                <w:rFonts w:eastAsiaTheme="minorHAnsi" w:cs="Arial"/>
                <w:sz w:val="20"/>
              </w:rPr>
              <w:t>65</w:t>
            </w:r>
            <w:r w:rsidRPr="001C6BD1">
              <w:rPr>
                <w:rFonts w:eastAsiaTheme="minorHAnsi" w:cs="Arial"/>
                <w:sz w:val="20"/>
              </w:rPr>
              <w:t xml:space="preserve"> (</w:t>
            </w:r>
            <w:r>
              <w:rPr>
                <w:rFonts w:eastAsiaTheme="minorHAnsi" w:cs="Arial"/>
                <w:sz w:val="20"/>
              </w:rPr>
              <w:t>0</w:t>
            </w:r>
            <w:r w:rsidRPr="001C6BD1">
              <w:rPr>
                <w:rFonts w:eastAsiaTheme="minorHAnsi" w:cs="Arial"/>
                <w:sz w:val="20"/>
              </w:rPr>
              <w:t>)</w:t>
            </w:r>
          </w:p>
          <w:p w:rsidR="00A067A8" w:rsidRPr="001C6BD1" w:rsidRDefault="00A067A8" w:rsidP="00A067A8">
            <w:pPr>
              <w:spacing w:line="276" w:lineRule="auto"/>
              <w:jc w:val="center"/>
              <w:rPr>
                <w:rFonts w:eastAsiaTheme="minorHAnsi" w:cs="Arial"/>
                <w:sz w:val="20"/>
                <w:highlight w:val="yellow"/>
              </w:rPr>
            </w:pPr>
          </w:p>
          <w:p w:rsidR="00A067A8" w:rsidRPr="00034D4A" w:rsidRDefault="00A067A8" w:rsidP="00A067A8">
            <w:pPr>
              <w:spacing w:line="276" w:lineRule="auto"/>
              <w:jc w:val="center"/>
              <w:rPr>
                <w:rFonts w:eastAsiaTheme="minorHAnsi" w:cs="Arial"/>
                <w:sz w:val="20"/>
              </w:rPr>
            </w:pPr>
            <w:r w:rsidRPr="00034D4A">
              <w:rPr>
                <w:rFonts w:eastAsiaTheme="minorHAnsi" w:cs="Arial"/>
                <w:sz w:val="20"/>
              </w:rPr>
              <w:t>558 (2.2)</w:t>
            </w:r>
          </w:p>
          <w:p w:rsidR="00A067A8" w:rsidRPr="001C6BD1" w:rsidRDefault="00A067A8" w:rsidP="00A067A8">
            <w:pPr>
              <w:spacing w:line="276" w:lineRule="auto"/>
              <w:jc w:val="center"/>
              <w:rPr>
                <w:rFonts w:eastAsiaTheme="minorHAnsi" w:cs="Arial"/>
                <w:sz w:val="20"/>
                <w:highlight w:val="yellow"/>
              </w:rPr>
            </w:pPr>
          </w:p>
          <w:p w:rsidR="00A067A8" w:rsidRPr="001C6BD1" w:rsidRDefault="00A067A8" w:rsidP="00A067A8">
            <w:pPr>
              <w:spacing w:line="276" w:lineRule="auto"/>
              <w:jc w:val="center"/>
              <w:rPr>
                <w:rFonts w:eastAsiaTheme="minorHAnsi" w:cs="Arial"/>
                <w:sz w:val="20"/>
                <w:highlight w:val="yellow"/>
              </w:rPr>
            </w:pPr>
            <w:r>
              <w:rPr>
                <w:rFonts w:eastAsiaTheme="minorHAnsi" w:cs="Arial"/>
                <w:sz w:val="20"/>
              </w:rPr>
              <w:t>1</w:t>
            </w:r>
            <w:r w:rsidRPr="000A3126">
              <w:rPr>
                <w:rFonts w:eastAsiaTheme="minorHAnsi" w:cs="Arial"/>
                <w:sz w:val="20"/>
              </w:rPr>
              <w:t xml:space="preserve"> (0.794)</w:t>
            </w:r>
          </w:p>
        </w:tc>
        <w:tc>
          <w:tcPr>
            <w:tcW w:w="2452" w:type="dxa"/>
          </w:tcPr>
          <w:p w:rsidR="00A067A8" w:rsidRPr="001C6BD1" w:rsidRDefault="00A067A8" w:rsidP="00A067A8">
            <w:pPr>
              <w:spacing w:line="276" w:lineRule="auto"/>
              <w:jc w:val="center"/>
              <w:rPr>
                <w:rFonts w:eastAsiaTheme="minorHAnsi" w:cs="Arial"/>
                <w:sz w:val="20"/>
              </w:rPr>
            </w:pPr>
            <w:r w:rsidRPr="001C6BD1">
              <w:rPr>
                <w:rFonts w:eastAsiaTheme="minorHAnsi" w:cs="Arial"/>
                <w:sz w:val="20"/>
              </w:rPr>
              <w:t>Not calculated</w:t>
            </w:r>
          </w:p>
          <w:p w:rsidR="00A067A8" w:rsidRPr="001C6BD1" w:rsidRDefault="00A067A8" w:rsidP="00A067A8">
            <w:pPr>
              <w:spacing w:line="276" w:lineRule="auto"/>
              <w:jc w:val="center"/>
              <w:rPr>
                <w:rFonts w:eastAsiaTheme="minorHAnsi" w:cs="Arial"/>
                <w:sz w:val="20"/>
                <w:highlight w:val="yellow"/>
              </w:rPr>
            </w:pPr>
          </w:p>
          <w:p w:rsidR="00A067A8" w:rsidRPr="004C6AB9" w:rsidRDefault="00A067A8" w:rsidP="00A067A8">
            <w:pPr>
              <w:spacing w:line="276" w:lineRule="auto"/>
              <w:jc w:val="center"/>
              <w:rPr>
                <w:rFonts w:eastAsiaTheme="minorHAnsi" w:cs="Arial"/>
                <w:sz w:val="20"/>
              </w:rPr>
            </w:pPr>
            <w:r>
              <w:rPr>
                <w:rFonts w:eastAsiaTheme="minorHAnsi" w:cs="Arial"/>
                <w:sz w:val="20"/>
              </w:rPr>
              <w:t>Not calculated</w:t>
            </w:r>
          </w:p>
          <w:p w:rsidR="00A067A8" w:rsidRPr="001C6BD1" w:rsidRDefault="00A067A8" w:rsidP="00A067A8">
            <w:pPr>
              <w:spacing w:line="276" w:lineRule="auto"/>
              <w:jc w:val="center"/>
              <w:rPr>
                <w:rFonts w:eastAsiaTheme="minorHAnsi" w:cs="Arial"/>
                <w:sz w:val="20"/>
                <w:highlight w:val="yellow"/>
              </w:rPr>
            </w:pPr>
          </w:p>
          <w:p w:rsidR="00A067A8" w:rsidRPr="001C6BD1" w:rsidRDefault="00A067A8" w:rsidP="00A067A8">
            <w:pPr>
              <w:spacing w:line="276" w:lineRule="auto"/>
              <w:jc w:val="center"/>
              <w:rPr>
                <w:rFonts w:eastAsiaTheme="minorHAnsi" w:cs="Arial"/>
                <w:sz w:val="20"/>
                <w:highlight w:val="yellow"/>
              </w:rPr>
            </w:pPr>
            <w:r>
              <w:rPr>
                <w:rFonts w:eastAsiaTheme="minorHAnsi" w:cs="Arial"/>
                <w:sz w:val="20"/>
              </w:rPr>
              <w:t xml:space="preserve">Aspen: </w:t>
            </w:r>
            <w:r w:rsidRPr="004C6AB9">
              <w:rPr>
                <w:rFonts w:eastAsiaTheme="minorHAnsi" w:cs="Arial"/>
                <w:sz w:val="20"/>
              </w:rPr>
              <w:t>(0.79)</w:t>
            </w:r>
          </w:p>
        </w:tc>
      </w:tr>
    </w:tbl>
    <w:p w:rsidR="00A067A8" w:rsidRDefault="00A067A8" w:rsidP="00A067A8">
      <w:pPr>
        <w:pStyle w:val="ListParagraph"/>
        <w:ind w:left="0"/>
        <w:jc w:val="both"/>
        <w:rPr>
          <w:rFonts w:cs="Arial"/>
          <w:b/>
          <w:szCs w:val="22"/>
        </w:rPr>
      </w:pPr>
    </w:p>
    <w:p w:rsidR="00A067A8" w:rsidRDefault="00A067A8" w:rsidP="00A067A8">
      <w:r>
        <w:t xml:space="preserve">Again, it should be noted that in the interest of time, the fuel compounds used in the model are unchanged from those used in the algae HTL model.  Only the amounts of each compound were adjusted to match the experimental mass balance and simulated distillation data for the sludge </w:t>
      </w:r>
      <w:proofErr w:type="spellStart"/>
      <w:r>
        <w:t>biocrude</w:t>
      </w:r>
      <w:proofErr w:type="spellEnd"/>
      <w:r>
        <w:t xml:space="preserve"> runs.  Figure 3 shows the boiling point curves from simulated distillation (D2887) for the </w:t>
      </w:r>
      <w:proofErr w:type="spellStart"/>
      <w:r>
        <w:t>hydrotreated</w:t>
      </w:r>
      <w:proofErr w:type="spellEnd"/>
      <w:r>
        <w:t xml:space="preserve"> </w:t>
      </w:r>
      <w:proofErr w:type="spellStart"/>
      <w:r>
        <w:t>biocrude</w:t>
      </w:r>
      <w:proofErr w:type="spellEnd"/>
      <w:r>
        <w:t xml:space="preserve"> experimental data and the </w:t>
      </w:r>
      <w:proofErr w:type="spellStart"/>
      <w:r>
        <w:t>biocrude</w:t>
      </w:r>
      <w:proofErr w:type="spellEnd"/>
      <w:r>
        <w:t xml:space="preserve"> compound mixture estimated from the model.</w:t>
      </w:r>
    </w:p>
    <w:p w:rsidR="00A067A8" w:rsidRDefault="00A067A8" w:rsidP="00A067A8">
      <w:pPr>
        <w:pStyle w:val="ListParagraph"/>
        <w:ind w:left="0"/>
        <w:jc w:val="both"/>
        <w:rPr>
          <w:rFonts w:cs="Arial"/>
          <w:b/>
          <w:szCs w:val="22"/>
        </w:rPr>
      </w:pPr>
    </w:p>
    <w:p w:rsidR="00A067A8" w:rsidRPr="0038380E" w:rsidRDefault="00A067A8" w:rsidP="00A067A8">
      <w:pPr>
        <w:pStyle w:val="ListParagraph"/>
        <w:ind w:left="0"/>
        <w:jc w:val="both"/>
        <w:rPr>
          <w:rFonts w:cs="Arial"/>
          <w:b/>
          <w:szCs w:val="22"/>
        </w:rPr>
      </w:pPr>
    </w:p>
    <w:p w:rsidR="00A067A8" w:rsidRDefault="00A067A8" w:rsidP="00A067A8">
      <w:pPr>
        <w:pStyle w:val="ListParagraph"/>
        <w:ind w:left="0"/>
        <w:jc w:val="center"/>
        <w:rPr>
          <w:rFonts w:cs="Arial"/>
          <w:b/>
          <w:szCs w:val="22"/>
        </w:rPr>
      </w:pPr>
      <w:r>
        <w:rPr>
          <w:rFonts w:cs="Arial"/>
          <w:b/>
          <w:noProof/>
          <w:szCs w:val="22"/>
        </w:rPr>
        <w:drawing>
          <wp:inline distT="0" distB="0" distL="0" distR="0" wp14:anchorId="7E8E9BF0" wp14:editId="4001348F">
            <wp:extent cx="5432256" cy="304534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687" cy="3049515"/>
                    </a:xfrm>
                    <a:prstGeom prst="rect">
                      <a:avLst/>
                    </a:prstGeom>
                    <a:noFill/>
                  </pic:spPr>
                </pic:pic>
              </a:graphicData>
            </a:graphic>
          </wp:inline>
        </w:drawing>
      </w:r>
    </w:p>
    <w:p w:rsidR="00A067A8" w:rsidRPr="0038380E" w:rsidRDefault="00A067A8" w:rsidP="00A067A8">
      <w:pPr>
        <w:pStyle w:val="ListParagraph"/>
        <w:ind w:left="0"/>
        <w:jc w:val="center"/>
        <w:rPr>
          <w:rFonts w:cs="Arial"/>
          <w:b/>
          <w:szCs w:val="22"/>
        </w:rPr>
      </w:pPr>
      <w:proofErr w:type="gramStart"/>
      <w:r>
        <w:rPr>
          <w:rFonts w:cs="Arial"/>
          <w:b/>
          <w:szCs w:val="22"/>
        </w:rPr>
        <w:t>Figure 3.</w:t>
      </w:r>
      <w:proofErr w:type="gramEnd"/>
      <w:r>
        <w:rPr>
          <w:rFonts w:cs="Arial"/>
          <w:b/>
          <w:szCs w:val="22"/>
        </w:rPr>
        <w:t xml:space="preserve"> </w:t>
      </w:r>
      <w:r w:rsidRPr="006D6E3F">
        <w:rPr>
          <w:rFonts w:cs="Arial"/>
          <w:szCs w:val="22"/>
        </w:rPr>
        <w:t xml:space="preserve">Boiling point curve (ASTM D2887) for </w:t>
      </w:r>
      <w:proofErr w:type="spellStart"/>
      <w:r w:rsidRPr="006D6E3F">
        <w:rPr>
          <w:rFonts w:cs="Arial"/>
          <w:szCs w:val="22"/>
        </w:rPr>
        <w:t>hydrotreated</w:t>
      </w:r>
      <w:proofErr w:type="spellEnd"/>
      <w:r w:rsidRPr="006D6E3F">
        <w:rPr>
          <w:rFonts w:cs="Arial"/>
          <w:szCs w:val="22"/>
        </w:rPr>
        <w:t xml:space="preserve"> sludge HTL oil.</w:t>
      </w:r>
    </w:p>
    <w:p w:rsidR="00A067A8" w:rsidRDefault="00A067A8" w:rsidP="00A067A8"/>
    <w:p w:rsidR="00A067A8" w:rsidRDefault="00A067A8" w:rsidP="00A067A8">
      <w:pPr>
        <w:pStyle w:val="ListParagraph"/>
        <w:ind w:left="0"/>
        <w:jc w:val="both"/>
      </w:pPr>
    </w:p>
    <w:p w:rsidR="00A067A8" w:rsidRDefault="00A067A8" w:rsidP="00A067A8">
      <w:pPr>
        <w:pStyle w:val="ListParagraph"/>
        <w:ind w:left="0"/>
        <w:jc w:val="both"/>
      </w:pPr>
      <w:r>
        <w:t xml:space="preserve">The heavy oil from </w:t>
      </w:r>
      <w:proofErr w:type="spellStart"/>
      <w:r>
        <w:t>hydrotreating</w:t>
      </w:r>
      <w:proofErr w:type="spellEnd"/>
      <w:r>
        <w:t xml:space="preserve"> is assumed to be hydrocracked into additional gasoline and diesel range fuel.  No experimental data are yet available for hydrocracking of HTL </w:t>
      </w:r>
      <w:proofErr w:type="spellStart"/>
      <w:r>
        <w:t>biocrude</w:t>
      </w:r>
      <w:proofErr w:type="spellEnd"/>
      <w:r>
        <w:t>, so it is assumed that the heavy fraction is processed similar to petroleum operations.  The hydrocracking assumptions for the model are given in Table 5.</w:t>
      </w:r>
    </w:p>
    <w:p w:rsidR="00A067A8" w:rsidRDefault="00A067A8" w:rsidP="00A067A8">
      <w:pPr>
        <w:pStyle w:val="ListParagraph"/>
        <w:ind w:left="0"/>
        <w:jc w:val="both"/>
      </w:pPr>
    </w:p>
    <w:p w:rsidR="00A067A8" w:rsidRDefault="00A067A8" w:rsidP="00A067A8">
      <w:pPr>
        <w:pStyle w:val="ListParagraph"/>
        <w:ind w:left="0"/>
        <w:jc w:val="both"/>
      </w:pPr>
    </w:p>
    <w:p w:rsidR="00A067A8" w:rsidRDefault="00A067A8" w:rsidP="00A067A8">
      <w:pPr>
        <w:pStyle w:val="ListParagraph"/>
        <w:ind w:left="0"/>
        <w:jc w:val="center"/>
      </w:pPr>
      <w:r w:rsidRPr="00A865DD">
        <w:rPr>
          <w:b/>
        </w:rPr>
        <w:t xml:space="preserve">Table </w:t>
      </w:r>
      <w:proofErr w:type="gramStart"/>
      <w:r w:rsidRPr="00A865DD">
        <w:rPr>
          <w:b/>
        </w:rPr>
        <w:t>5</w:t>
      </w:r>
      <w:r>
        <w:t xml:space="preserve">  Hydrocracking</w:t>
      </w:r>
      <w:proofErr w:type="gramEnd"/>
      <w:r>
        <w:t xml:space="preserve"> model assumptions.</w:t>
      </w:r>
    </w:p>
    <w:p w:rsidR="00A067A8" w:rsidRDefault="00A067A8" w:rsidP="00A067A8">
      <w:pPr>
        <w:pStyle w:val="ListParagraph"/>
        <w:ind w:left="0"/>
        <w:jc w:val="center"/>
      </w:pPr>
    </w:p>
    <w:tbl>
      <w:tblPr>
        <w:tblW w:w="0" w:type="auto"/>
        <w:jc w:val="center"/>
        <w:tblLook w:val="04A0" w:firstRow="1" w:lastRow="0" w:firstColumn="1" w:lastColumn="0" w:noHBand="0" w:noVBand="1"/>
      </w:tblPr>
      <w:tblGrid>
        <w:gridCol w:w="2325"/>
        <w:gridCol w:w="2620"/>
        <w:gridCol w:w="3685"/>
      </w:tblGrid>
      <w:tr w:rsidR="00A067A8" w:rsidRPr="00FD0AF2" w:rsidTr="00A067A8">
        <w:trPr>
          <w:jc w:val="center"/>
        </w:trPr>
        <w:tc>
          <w:tcPr>
            <w:tcW w:w="2325" w:type="dxa"/>
          </w:tcPr>
          <w:p w:rsidR="00A067A8" w:rsidRPr="00811C67" w:rsidRDefault="00A067A8" w:rsidP="00A067A8">
            <w:pPr>
              <w:jc w:val="center"/>
              <w:rPr>
                <w:rFonts w:eastAsiaTheme="minorHAnsi"/>
                <w:b/>
              </w:rPr>
            </w:pPr>
            <w:r w:rsidRPr="00811C67">
              <w:rPr>
                <w:rFonts w:eastAsiaTheme="minorHAnsi"/>
                <w:b/>
              </w:rPr>
              <w:t>Process</w:t>
            </w:r>
          </w:p>
        </w:tc>
        <w:tc>
          <w:tcPr>
            <w:tcW w:w="2620" w:type="dxa"/>
          </w:tcPr>
          <w:p w:rsidR="00A067A8" w:rsidRPr="00811C67" w:rsidRDefault="00A067A8" w:rsidP="00A067A8">
            <w:pPr>
              <w:jc w:val="center"/>
              <w:rPr>
                <w:rFonts w:eastAsiaTheme="minorHAnsi"/>
                <w:b/>
              </w:rPr>
            </w:pPr>
            <w:r w:rsidRPr="00811C67">
              <w:rPr>
                <w:rFonts w:eastAsiaTheme="minorHAnsi"/>
                <w:b/>
              </w:rPr>
              <w:t>Basis</w:t>
            </w:r>
          </w:p>
        </w:tc>
        <w:tc>
          <w:tcPr>
            <w:tcW w:w="3685" w:type="dxa"/>
          </w:tcPr>
          <w:p w:rsidR="00A067A8" w:rsidRPr="00811C67" w:rsidRDefault="00A067A8" w:rsidP="00A067A8">
            <w:pPr>
              <w:jc w:val="center"/>
              <w:rPr>
                <w:rFonts w:eastAsiaTheme="minorHAnsi"/>
                <w:b/>
              </w:rPr>
            </w:pPr>
            <w:r w:rsidRPr="00811C67">
              <w:rPr>
                <w:rFonts w:eastAsiaTheme="minorHAnsi"/>
                <w:b/>
              </w:rPr>
              <w:t>Assumptions</w:t>
            </w:r>
          </w:p>
        </w:tc>
      </w:tr>
      <w:tr w:rsidR="00A067A8" w:rsidRPr="00FD0AF2" w:rsidTr="00A067A8">
        <w:trPr>
          <w:jc w:val="center"/>
        </w:trPr>
        <w:tc>
          <w:tcPr>
            <w:tcW w:w="2325" w:type="dxa"/>
          </w:tcPr>
          <w:p w:rsidR="00A067A8" w:rsidRPr="00FD0AF2" w:rsidRDefault="00A067A8" w:rsidP="00A067A8">
            <w:pPr>
              <w:rPr>
                <w:rFonts w:eastAsiaTheme="minorHAnsi"/>
              </w:rPr>
            </w:pPr>
            <w:r w:rsidRPr="00FD0AF2">
              <w:rPr>
                <w:rFonts w:eastAsiaTheme="minorHAnsi"/>
              </w:rPr>
              <w:t xml:space="preserve">Hydrocracking heavier than diesel portion of </w:t>
            </w:r>
            <w:proofErr w:type="spellStart"/>
            <w:r w:rsidRPr="00FD0AF2">
              <w:rPr>
                <w:rFonts w:eastAsiaTheme="minorHAnsi"/>
              </w:rPr>
              <w:t>hydrotreated</w:t>
            </w:r>
            <w:proofErr w:type="spellEnd"/>
            <w:r w:rsidRPr="00FD0AF2">
              <w:rPr>
                <w:rFonts w:eastAsiaTheme="minorHAnsi"/>
              </w:rPr>
              <w:t xml:space="preserve"> HTL oil</w:t>
            </w:r>
          </w:p>
        </w:tc>
        <w:tc>
          <w:tcPr>
            <w:tcW w:w="2620" w:type="dxa"/>
          </w:tcPr>
          <w:p w:rsidR="00A067A8" w:rsidRDefault="00A067A8" w:rsidP="00A067A8">
            <w:pPr>
              <w:rPr>
                <w:rFonts w:eastAsiaTheme="minorHAnsi"/>
              </w:rPr>
            </w:pPr>
            <w:r w:rsidRPr="00FD0AF2">
              <w:rPr>
                <w:rFonts w:eastAsiaTheme="minorHAnsi"/>
              </w:rPr>
              <w:t>No experimental data, assumed to be similar to conventional hydrocrackers</w:t>
            </w:r>
          </w:p>
          <w:p w:rsidR="00A067A8" w:rsidRPr="00FD0AF2" w:rsidRDefault="00A067A8" w:rsidP="00A067A8">
            <w:pPr>
              <w:rPr>
                <w:rFonts w:eastAsiaTheme="minorHAnsi"/>
              </w:rPr>
            </w:pPr>
            <w:r>
              <w:rPr>
                <w:rFonts w:eastAsiaTheme="minorHAnsi"/>
              </w:rPr>
              <w:t>Temperature: 390</w:t>
            </w:r>
            <w:r w:rsidRPr="00FD0AF2">
              <w:rPr>
                <w:rFonts w:eastAsiaTheme="minorHAnsi"/>
              </w:rPr>
              <w:t xml:space="preserve"> °C</w:t>
            </w:r>
          </w:p>
          <w:p w:rsidR="00A067A8" w:rsidRPr="00FD0AF2" w:rsidRDefault="00A067A8" w:rsidP="00A067A8">
            <w:pPr>
              <w:rPr>
                <w:rFonts w:eastAsiaTheme="minorHAnsi"/>
              </w:rPr>
            </w:pPr>
            <w:r w:rsidRPr="00FD0AF2">
              <w:rPr>
                <w:rFonts w:eastAsiaTheme="minorHAnsi"/>
              </w:rPr>
              <w:t>Pressure: 10</w:t>
            </w:r>
            <w:r>
              <w:rPr>
                <w:rFonts w:eastAsiaTheme="minorHAnsi"/>
              </w:rPr>
              <w:t>10</w:t>
            </w:r>
            <w:r w:rsidRPr="00FD0AF2">
              <w:rPr>
                <w:rFonts w:eastAsiaTheme="minorHAnsi"/>
              </w:rPr>
              <w:t xml:space="preserve"> </w:t>
            </w:r>
            <w:proofErr w:type="spellStart"/>
            <w:r w:rsidRPr="00FD0AF2">
              <w:rPr>
                <w:rFonts w:eastAsiaTheme="minorHAnsi"/>
              </w:rPr>
              <w:t>psi</w:t>
            </w:r>
            <w:r>
              <w:rPr>
                <w:rFonts w:eastAsiaTheme="minorHAnsi"/>
              </w:rPr>
              <w:t>a</w:t>
            </w:r>
            <w:proofErr w:type="spellEnd"/>
          </w:p>
        </w:tc>
        <w:tc>
          <w:tcPr>
            <w:tcW w:w="3685" w:type="dxa"/>
          </w:tcPr>
          <w:p w:rsidR="00A067A8" w:rsidRDefault="00A067A8" w:rsidP="00A067A8">
            <w:pPr>
              <w:rPr>
                <w:rFonts w:eastAsiaTheme="minorHAnsi"/>
              </w:rPr>
            </w:pPr>
            <w:r w:rsidRPr="00FD0AF2">
              <w:rPr>
                <w:rFonts w:eastAsiaTheme="minorHAnsi"/>
              </w:rPr>
              <w:t>H</w:t>
            </w:r>
            <w:r w:rsidRPr="00FD0AF2">
              <w:rPr>
                <w:rFonts w:eastAsiaTheme="minorHAnsi"/>
                <w:vertAlign w:val="subscript"/>
              </w:rPr>
              <w:t>2</w:t>
            </w:r>
            <w:r w:rsidRPr="00FD0AF2">
              <w:rPr>
                <w:rFonts w:eastAsiaTheme="minorHAnsi"/>
              </w:rPr>
              <w:t xml:space="preserve"> chemical consumption: </w:t>
            </w:r>
          </w:p>
          <w:p w:rsidR="00A067A8" w:rsidRDefault="00A067A8" w:rsidP="00A067A8">
            <w:pPr>
              <w:rPr>
                <w:rFonts w:eastAsiaTheme="minorHAnsi"/>
              </w:rPr>
            </w:pPr>
            <w:r>
              <w:rPr>
                <w:rFonts w:eastAsiaTheme="minorHAnsi"/>
              </w:rPr>
              <w:t xml:space="preserve">   0.004</w:t>
            </w:r>
            <w:r w:rsidRPr="00FD0AF2">
              <w:rPr>
                <w:rFonts w:eastAsiaTheme="minorHAnsi"/>
              </w:rPr>
              <w:t xml:space="preserve"> </w:t>
            </w:r>
            <w:proofErr w:type="spellStart"/>
            <w:r w:rsidRPr="00FD0AF2">
              <w:rPr>
                <w:rFonts w:eastAsiaTheme="minorHAnsi"/>
              </w:rPr>
              <w:t>wt</w:t>
            </w:r>
            <w:proofErr w:type="spellEnd"/>
            <w:r w:rsidRPr="00FD0AF2">
              <w:rPr>
                <w:rFonts w:eastAsiaTheme="minorHAnsi"/>
              </w:rPr>
              <w:t>/</w:t>
            </w:r>
            <w:proofErr w:type="spellStart"/>
            <w:r w:rsidRPr="00FD0AF2">
              <w:rPr>
                <w:rFonts w:eastAsiaTheme="minorHAnsi"/>
              </w:rPr>
              <w:t>wt</w:t>
            </w:r>
            <w:proofErr w:type="spellEnd"/>
            <w:r w:rsidRPr="00FD0AF2">
              <w:rPr>
                <w:rFonts w:eastAsiaTheme="minorHAnsi"/>
              </w:rPr>
              <w:t xml:space="preserve"> heavy oil</w:t>
            </w:r>
          </w:p>
          <w:p w:rsidR="00A067A8" w:rsidRPr="00FD0AF2" w:rsidRDefault="00A067A8" w:rsidP="00A067A8">
            <w:pPr>
              <w:rPr>
                <w:rFonts w:eastAsiaTheme="minorHAnsi"/>
              </w:rPr>
            </w:pPr>
            <w:r w:rsidRPr="00FD0AF2">
              <w:rPr>
                <w:rFonts w:eastAsiaTheme="minorHAnsi"/>
              </w:rPr>
              <w:t xml:space="preserve">Product breakdown: </w:t>
            </w:r>
          </w:p>
          <w:p w:rsidR="00A067A8" w:rsidRPr="00FD0AF2" w:rsidRDefault="00A067A8" w:rsidP="00A067A8">
            <w:pPr>
              <w:rPr>
                <w:rFonts w:eastAsiaTheme="minorHAnsi"/>
              </w:rPr>
            </w:pPr>
            <w:r>
              <w:rPr>
                <w:rFonts w:eastAsiaTheme="minorHAnsi"/>
              </w:rPr>
              <w:t xml:space="preserve">  </w:t>
            </w:r>
            <w:r w:rsidRPr="00FD0AF2">
              <w:rPr>
                <w:rFonts w:eastAsiaTheme="minorHAnsi"/>
              </w:rPr>
              <w:t>Gas (</w:t>
            </w:r>
            <w:r>
              <w:rPr>
                <w:rFonts w:eastAsiaTheme="minorHAnsi"/>
              </w:rPr>
              <w:t>excluding</w:t>
            </w:r>
            <w:r w:rsidRPr="00FD0AF2">
              <w:rPr>
                <w:rFonts w:eastAsiaTheme="minorHAnsi"/>
              </w:rPr>
              <w:t xml:space="preserve"> excess H</w:t>
            </w:r>
            <w:r w:rsidRPr="00FD0AF2">
              <w:rPr>
                <w:rFonts w:eastAsiaTheme="minorHAnsi"/>
                <w:vertAlign w:val="subscript"/>
              </w:rPr>
              <w:t>2</w:t>
            </w:r>
            <w:r>
              <w:rPr>
                <w:rFonts w:eastAsiaTheme="minorHAnsi"/>
              </w:rPr>
              <w:t>); 3</w:t>
            </w:r>
            <w:r w:rsidRPr="00FD0AF2">
              <w:rPr>
                <w:rFonts w:eastAsiaTheme="minorHAnsi"/>
              </w:rPr>
              <w:t xml:space="preserve"> </w:t>
            </w:r>
            <w:proofErr w:type="spellStart"/>
            <w:r w:rsidRPr="00FD0AF2">
              <w:rPr>
                <w:rFonts w:eastAsiaTheme="minorHAnsi"/>
              </w:rPr>
              <w:t>wt</w:t>
            </w:r>
            <w:proofErr w:type="spellEnd"/>
            <w:r w:rsidRPr="00FD0AF2">
              <w:rPr>
                <w:rFonts w:eastAsiaTheme="minorHAnsi"/>
              </w:rPr>
              <w:t>%</w:t>
            </w:r>
          </w:p>
          <w:p w:rsidR="00A067A8" w:rsidRPr="00FD0AF2" w:rsidRDefault="00A067A8" w:rsidP="00A067A8">
            <w:pPr>
              <w:rPr>
                <w:rFonts w:eastAsiaTheme="minorHAnsi"/>
              </w:rPr>
            </w:pPr>
            <w:r>
              <w:rPr>
                <w:rFonts w:eastAsiaTheme="minorHAnsi"/>
              </w:rPr>
              <w:t xml:space="preserve">  </w:t>
            </w:r>
            <w:r w:rsidRPr="00FD0AF2">
              <w:rPr>
                <w:rFonts w:eastAsiaTheme="minorHAnsi"/>
              </w:rPr>
              <w:t>Liq</w:t>
            </w:r>
            <w:r>
              <w:rPr>
                <w:rFonts w:eastAsiaTheme="minorHAnsi"/>
              </w:rPr>
              <w:t>uid fuels: 96</w:t>
            </w:r>
            <w:r w:rsidRPr="00FD0AF2">
              <w:rPr>
                <w:rFonts w:eastAsiaTheme="minorHAnsi"/>
              </w:rPr>
              <w:t xml:space="preserve"> </w:t>
            </w:r>
            <w:proofErr w:type="spellStart"/>
            <w:r w:rsidRPr="00FD0AF2">
              <w:rPr>
                <w:rFonts w:eastAsiaTheme="minorHAnsi"/>
              </w:rPr>
              <w:t>wt</w:t>
            </w:r>
            <w:proofErr w:type="spellEnd"/>
            <w:r w:rsidRPr="00FD0AF2">
              <w:rPr>
                <w:rFonts w:eastAsiaTheme="minorHAnsi"/>
              </w:rPr>
              <w:t>%</w:t>
            </w:r>
          </w:p>
          <w:p w:rsidR="00A067A8" w:rsidRPr="00FD0AF2" w:rsidRDefault="00A067A8" w:rsidP="00A067A8">
            <w:pPr>
              <w:rPr>
                <w:rFonts w:eastAsiaTheme="minorHAnsi"/>
              </w:rPr>
            </w:pPr>
            <w:r>
              <w:rPr>
                <w:rFonts w:eastAsiaTheme="minorHAnsi"/>
              </w:rPr>
              <w:t xml:space="preserve">  Aqueous: 1</w:t>
            </w:r>
            <w:r w:rsidRPr="00FD0AF2">
              <w:rPr>
                <w:rFonts w:eastAsiaTheme="minorHAnsi"/>
              </w:rPr>
              <w:t xml:space="preserve"> </w:t>
            </w:r>
            <w:proofErr w:type="spellStart"/>
            <w:r w:rsidRPr="00FD0AF2">
              <w:rPr>
                <w:rFonts w:eastAsiaTheme="minorHAnsi"/>
              </w:rPr>
              <w:t>wt</w:t>
            </w:r>
            <w:proofErr w:type="spellEnd"/>
            <w:r w:rsidRPr="00FD0AF2">
              <w:rPr>
                <w:rFonts w:eastAsiaTheme="minorHAnsi"/>
              </w:rPr>
              <w:t>%</w:t>
            </w:r>
          </w:p>
        </w:tc>
      </w:tr>
    </w:tbl>
    <w:p w:rsidR="00A067A8" w:rsidRDefault="00A067A8" w:rsidP="00A067A8">
      <w:pPr>
        <w:pStyle w:val="ListParagraph"/>
        <w:ind w:left="0"/>
        <w:jc w:val="both"/>
      </w:pPr>
    </w:p>
    <w:p w:rsidR="00A067A8" w:rsidRDefault="00A067A8" w:rsidP="00A067A8">
      <w:pPr>
        <w:pStyle w:val="ListParagraph"/>
        <w:ind w:left="0"/>
        <w:jc w:val="both"/>
        <w:rPr>
          <w:rFonts w:cs="Arial"/>
          <w:b/>
          <w:szCs w:val="22"/>
        </w:rPr>
      </w:pPr>
    </w:p>
    <w:p w:rsidR="00A067A8" w:rsidRPr="0038380E" w:rsidRDefault="00A067A8" w:rsidP="00A067A8">
      <w:pPr>
        <w:pStyle w:val="ListParagraph"/>
        <w:ind w:left="0"/>
        <w:jc w:val="both"/>
        <w:rPr>
          <w:rFonts w:cs="Arial"/>
          <w:b/>
          <w:szCs w:val="22"/>
        </w:rPr>
      </w:pPr>
    </w:p>
    <w:p w:rsidR="00A067A8" w:rsidRDefault="00A067A8" w:rsidP="00A067A8"/>
    <w:p w:rsidR="00A067A8" w:rsidRPr="00944F6A" w:rsidRDefault="00A067A8" w:rsidP="00A067A8">
      <w:pPr>
        <w:pStyle w:val="Heading2"/>
        <w:numPr>
          <w:ilvl w:val="0"/>
          <w:numId w:val="47"/>
        </w:numPr>
      </w:pPr>
      <w:r w:rsidRPr="00944F6A">
        <w:t>Process Economics and Sensitivity Analysis</w:t>
      </w:r>
    </w:p>
    <w:p w:rsidR="00A067A8" w:rsidRDefault="00A067A8" w:rsidP="00A067A8">
      <w:pPr>
        <w:rPr>
          <w:b/>
        </w:rPr>
      </w:pPr>
    </w:p>
    <w:p w:rsidR="00A067A8" w:rsidRPr="00BB519B" w:rsidRDefault="00A067A8" w:rsidP="00A067A8">
      <w:r>
        <w:t xml:space="preserve">The MFSP for the sludge HTL </w:t>
      </w:r>
      <w:proofErr w:type="spellStart"/>
      <w:r>
        <w:t>biocrude</w:t>
      </w:r>
      <w:proofErr w:type="spellEnd"/>
      <w:r>
        <w:t xml:space="preserve"> production plant and the centralized </w:t>
      </w:r>
      <w:proofErr w:type="spellStart"/>
      <w:r>
        <w:t>biocrude</w:t>
      </w:r>
      <w:proofErr w:type="spellEnd"/>
      <w:r>
        <w:t xml:space="preserve"> upgrading plant is determined using a discounted cash flow rate of return analysis.  The summary economics and performance for the HTL plant and the upgrading plant are presented in the following sections.  Sensitivity analysis around key technical and economic assumptions is also presented.</w:t>
      </w:r>
    </w:p>
    <w:p w:rsidR="00A067A8" w:rsidRDefault="00A067A8" w:rsidP="00A067A8"/>
    <w:p w:rsidR="00A067A8" w:rsidRDefault="00A067A8" w:rsidP="00A067A8">
      <w:pPr>
        <w:pStyle w:val="Heading2"/>
        <w:numPr>
          <w:ilvl w:val="1"/>
          <w:numId w:val="47"/>
        </w:numPr>
      </w:pPr>
      <w:r w:rsidRPr="00944F6A">
        <w:t>Sludge HTL Plan</w:t>
      </w:r>
      <w:r>
        <w:t>t</w:t>
      </w:r>
    </w:p>
    <w:p w:rsidR="00A067A8" w:rsidRDefault="00A067A8" w:rsidP="00A067A8"/>
    <w:p w:rsidR="00A067A8" w:rsidRDefault="00A067A8" w:rsidP="00A067A8">
      <w:r>
        <w:t>Table 6 gives the overall process economics for the base case sludge HTL plant.  The plant processes 100 dry ton/day primary sludge (at $0/dry ton) and produces 3 million gal/</w:t>
      </w:r>
      <w:proofErr w:type="spellStart"/>
      <w:r>
        <w:t>yr</w:t>
      </w:r>
      <w:proofErr w:type="spellEnd"/>
      <w:r>
        <w:t xml:space="preserve"> (234 BPSD) of </w:t>
      </w:r>
      <w:proofErr w:type="spellStart"/>
      <w:r>
        <w:t>biocrude</w:t>
      </w:r>
      <w:proofErr w:type="spellEnd"/>
      <w:r>
        <w:t xml:space="preserve"> at a MFSP of $4.09/</w:t>
      </w:r>
      <w:proofErr w:type="spellStart"/>
      <w:r>
        <w:t>gge</w:t>
      </w:r>
      <w:proofErr w:type="spellEnd"/>
      <w:r>
        <w:t xml:space="preserve"> ($4.01/gal).  The </w:t>
      </w:r>
      <w:proofErr w:type="gramStart"/>
      <w:r>
        <w:t>breakdown</w:t>
      </w:r>
      <w:proofErr w:type="gramEnd"/>
      <w:r>
        <w:t xml:space="preserve"> of costs that make up this price are shown in the manufacturing costs section of the table.  The total capital investment for the plant is $54.1 million.</w:t>
      </w:r>
    </w:p>
    <w:p w:rsidR="00A067A8" w:rsidRDefault="00A067A8" w:rsidP="00A067A8"/>
    <w:p w:rsidR="00A067A8" w:rsidRDefault="00A067A8" w:rsidP="00A067A8">
      <w:r>
        <w:t xml:space="preserve">Figure 4 shows the sensitivity of </w:t>
      </w:r>
      <w:proofErr w:type="spellStart"/>
      <w:r>
        <w:t>biocrude</w:t>
      </w:r>
      <w:proofErr w:type="spellEnd"/>
      <w:r>
        <w:t xml:space="preserve"> MFSP to select economic and technical modeling parameters. A wide range of plant scale (20 to 950 ton/day) was chosen to include the highest sludge producing waste water treatment plants in the U.S. This range represents about 56% of the total primary and secondary sludge produced.  The HTL </w:t>
      </w:r>
      <w:proofErr w:type="spellStart"/>
      <w:r>
        <w:t>biocrude</w:t>
      </w:r>
      <w:proofErr w:type="spellEnd"/>
      <w:r>
        <w:t xml:space="preserve"> yield sensitivity range was chosen based on that achieved in experimental testing of primary, secondary and </w:t>
      </w:r>
      <w:proofErr w:type="spellStart"/>
      <w:r>
        <w:t>biosolids</w:t>
      </w:r>
      <w:proofErr w:type="spellEnd"/>
      <w:r>
        <w:t xml:space="preserve"> sludge, as well as what the researchers feel is attainable with future research advancements. The ash-free dry weight (AFDW) yields attained in the laboratory are 32-40% for primary sludge, 25% for secondary sludge, and 31-35% for </w:t>
      </w:r>
      <w:proofErr w:type="spellStart"/>
      <w:r>
        <w:t>biosolids</w:t>
      </w:r>
      <w:proofErr w:type="spellEnd"/>
      <w:r>
        <w:t xml:space="preserve">.  It is thought that a 10% improvement in yield is achievable for the HTL of primary sludge.  Therefore, a range of 25-45% is chosen for </w:t>
      </w:r>
      <w:r>
        <w:lastRenderedPageBreak/>
        <w:t>the sensitivity analysis.  The sludge credit is an initial approximation of what WWTPs currently pay for sludge/</w:t>
      </w:r>
      <w:proofErr w:type="spellStart"/>
      <w:r>
        <w:t>biosolids</w:t>
      </w:r>
      <w:proofErr w:type="spellEnd"/>
      <w:r>
        <w:t xml:space="preserve"> disposal or land application. A brief literature review indicates that municipalities pay as much as $125/dry ton for disposal of sludge wastes (EPA 1995).  A feedstock cost of $25/ton is used as a conservative bound to account for the possibility that the treated sludge (</w:t>
      </w:r>
      <w:proofErr w:type="spellStart"/>
      <w:r>
        <w:t>biosolids</w:t>
      </w:r>
      <w:proofErr w:type="spellEnd"/>
      <w:r>
        <w:t xml:space="preserve">) may be sold as compost.  For slurry solids content, a maximum of 15% is thought to be possible while still enabling effective pumping.  </w:t>
      </w:r>
    </w:p>
    <w:p w:rsidR="00A067A8" w:rsidRDefault="00A067A8" w:rsidP="00A067A8"/>
    <w:p w:rsidR="00A067A8" w:rsidRDefault="00A067A8" w:rsidP="00A067A8"/>
    <w:p w:rsidR="00A067A8" w:rsidRDefault="00A067A8" w:rsidP="00A067A8">
      <w:pPr>
        <w:jc w:val="center"/>
      </w:pPr>
      <w:r w:rsidRPr="00A865DD">
        <w:rPr>
          <w:b/>
        </w:rPr>
        <w:t>Table 6</w:t>
      </w:r>
      <w:r>
        <w:t xml:space="preserve"> Base Case Summary Economics and Performance for Sludge HTL/CHG Plant</w:t>
      </w:r>
    </w:p>
    <w:p w:rsidR="00A067A8" w:rsidRPr="008722C7" w:rsidRDefault="00A067A8" w:rsidP="00A067A8">
      <w:pPr>
        <w:rPr>
          <w:b/>
        </w:rPr>
      </w:pPr>
      <w:r w:rsidRPr="003230A8">
        <w:rPr>
          <w:noProof/>
        </w:rPr>
        <w:drawing>
          <wp:inline distT="0" distB="0" distL="0" distR="0" wp14:anchorId="5C43AF82" wp14:editId="2BB101B1">
            <wp:extent cx="5486400" cy="5546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546182"/>
                    </a:xfrm>
                    <a:prstGeom prst="rect">
                      <a:avLst/>
                    </a:prstGeom>
                    <a:noFill/>
                    <a:ln>
                      <a:noFill/>
                    </a:ln>
                  </pic:spPr>
                </pic:pic>
              </a:graphicData>
            </a:graphic>
          </wp:inline>
        </w:drawing>
      </w:r>
    </w:p>
    <w:p w:rsidR="00A067A8" w:rsidRDefault="00A067A8" w:rsidP="00A067A8">
      <w:pPr>
        <w:rPr>
          <w:b/>
        </w:rPr>
      </w:pPr>
    </w:p>
    <w:p w:rsidR="00A067A8" w:rsidRDefault="00A067A8" w:rsidP="00A067A8">
      <w:pPr>
        <w:rPr>
          <w:b/>
        </w:rPr>
      </w:pPr>
    </w:p>
    <w:p w:rsidR="00A067A8" w:rsidRDefault="00A067A8" w:rsidP="00A067A8"/>
    <w:p w:rsidR="00A067A8" w:rsidRDefault="00A067A8" w:rsidP="00A067A8">
      <w:pPr>
        <w:jc w:val="center"/>
      </w:pPr>
      <w:r>
        <w:rPr>
          <w:noProof/>
        </w:rPr>
        <w:lastRenderedPageBreak/>
        <w:drawing>
          <wp:inline distT="0" distB="0" distL="0" distR="0" wp14:anchorId="7FBAAABE" wp14:editId="373536BB">
            <wp:extent cx="5486400" cy="3140710"/>
            <wp:effectExtent l="0" t="0" r="0" b="25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067A8" w:rsidRDefault="00A067A8" w:rsidP="00A067A8">
      <w:pPr>
        <w:jc w:val="center"/>
      </w:pPr>
      <w:r w:rsidRPr="00A865DD">
        <w:rPr>
          <w:b/>
        </w:rPr>
        <w:t xml:space="preserve">Figure </w:t>
      </w:r>
      <w:proofErr w:type="gramStart"/>
      <w:r w:rsidRPr="00A865DD">
        <w:rPr>
          <w:b/>
        </w:rPr>
        <w:t>4</w:t>
      </w:r>
      <w:r>
        <w:t xml:space="preserve">  Sensitivity</w:t>
      </w:r>
      <w:proofErr w:type="gramEnd"/>
      <w:r>
        <w:t xml:space="preserve"> analysis for HTL plant processing waste sludge.</w:t>
      </w:r>
    </w:p>
    <w:p w:rsidR="00A067A8" w:rsidRDefault="00A067A8" w:rsidP="00A067A8">
      <w:pPr>
        <w:rPr>
          <w:b/>
        </w:rPr>
      </w:pPr>
    </w:p>
    <w:p w:rsidR="00A067A8" w:rsidRDefault="00A067A8" w:rsidP="00A067A8"/>
    <w:p w:rsidR="00A067A8" w:rsidRDefault="00A067A8" w:rsidP="00A067A8">
      <w:r>
        <w:t xml:space="preserve">Given that plant scale and the potential sludge credit value are highly variable and uncertain at this time, Figure 5 shows further detail on the effect of these parameters on the </w:t>
      </w:r>
      <w:proofErr w:type="spellStart"/>
      <w:r>
        <w:t>biocrude</w:t>
      </w:r>
      <w:proofErr w:type="spellEnd"/>
      <w:r>
        <w:t xml:space="preserve"> MFSP.  It appears that below about 100 ton/day capacity, </w:t>
      </w:r>
      <w:proofErr w:type="spellStart"/>
      <w:r>
        <w:t>biocrude</w:t>
      </w:r>
      <w:proofErr w:type="spellEnd"/>
      <w:r>
        <w:t xml:space="preserve"> price is outside the range of economic feasibility, even with a sludge credit of $125/dry ton.  Although scales lower than this produce expensive </w:t>
      </w:r>
      <w:proofErr w:type="spellStart"/>
      <w:r>
        <w:t>biocrude</w:t>
      </w:r>
      <w:proofErr w:type="spellEnd"/>
      <w:r>
        <w:t xml:space="preserve">, scenarios feeding a variety of </w:t>
      </w:r>
      <w:proofErr w:type="spellStart"/>
      <w:r>
        <w:t>biocrude</w:t>
      </w:r>
      <w:proofErr w:type="spellEnd"/>
      <w:r>
        <w:t xml:space="preserve"> production capacity to a centralized plant would be likely and more economically feasible (e.g., a very large metropolitan POTW and several smaller ones in the suburbs). For example, assuming a $50/dry ton sludge credit, a scenario where an upgrading plant accepts </w:t>
      </w:r>
      <w:proofErr w:type="spellStart"/>
      <w:r>
        <w:t>biocrude</w:t>
      </w:r>
      <w:proofErr w:type="spellEnd"/>
      <w:r>
        <w:t xml:space="preserve"> from one 500-ton/day, four 250-ton/day, six 100-ton/day and eight 50-ton/day HTL plants results in a significantly reduced price from the base case, at $3.18/</w:t>
      </w:r>
      <w:proofErr w:type="spellStart"/>
      <w:r>
        <w:t>gge</w:t>
      </w:r>
      <w:proofErr w:type="spellEnd"/>
      <w:r>
        <w:t xml:space="preserve"> </w:t>
      </w:r>
      <w:proofErr w:type="spellStart"/>
      <w:r>
        <w:t>biocrude</w:t>
      </w:r>
      <w:proofErr w:type="spellEnd"/>
      <w:r>
        <w:t xml:space="preserve"> ($3.12/gal), as shown in Table 7.  This type of combined scale scenario, along with improvements in </w:t>
      </w:r>
      <w:proofErr w:type="spellStart"/>
      <w:r>
        <w:t>biocrude</w:t>
      </w:r>
      <w:proofErr w:type="spellEnd"/>
      <w:r>
        <w:t xml:space="preserve"> yield and feed solids content, could bring the price down to $2.40/</w:t>
      </w:r>
      <w:proofErr w:type="spellStart"/>
      <w:r>
        <w:t>gge</w:t>
      </w:r>
      <w:proofErr w:type="spellEnd"/>
      <w:r>
        <w:t xml:space="preserve"> </w:t>
      </w:r>
      <w:proofErr w:type="spellStart"/>
      <w:r>
        <w:t>biocrude</w:t>
      </w:r>
      <w:proofErr w:type="spellEnd"/>
      <w:r>
        <w:t>, as illustrated in Figure 6.</w:t>
      </w:r>
    </w:p>
    <w:p w:rsidR="00A067A8" w:rsidRDefault="00A067A8" w:rsidP="00A067A8"/>
    <w:p w:rsidR="00A067A8" w:rsidRDefault="00A067A8" w:rsidP="00A067A8">
      <w:pPr>
        <w:jc w:val="center"/>
      </w:pPr>
      <w:r>
        <w:rPr>
          <w:noProof/>
        </w:rPr>
        <w:lastRenderedPageBreak/>
        <w:drawing>
          <wp:inline distT="0" distB="0" distL="0" distR="0" wp14:anchorId="1C497823" wp14:editId="49929C53">
            <wp:extent cx="5064981" cy="3307742"/>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67A8" w:rsidRPr="00407B55" w:rsidRDefault="00A067A8" w:rsidP="00A067A8">
      <w:pPr>
        <w:jc w:val="center"/>
      </w:pPr>
      <w:r w:rsidRPr="00A865DD">
        <w:rPr>
          <w:b/>
        </w:rPr>
        <w:t xml:space="preserve">Figure </w:t>
      </w:r>
      <w:proofErr w:type="gramStart"/>
      <w:r w:rsidRPr="00A865DD">
        <w:rPr>
          <w:b/>
        </w:rPr>
        <w:t>5</w:t>
      </w:r>
      <w:r>
        <w:t xml:space="preserve">  Effect</w:t>
      </w:r>
      <w:proofErr w:type="gramEnd"/>
      <w:r>
        <w:t xml:space="preserve"> of plant scale and sludge credit on </w:t>
      </w:r>
      <w:proofErr w:type="spellStart"/>
      <w:r>
        <w:t>biocrude</w:t>
      </w:r>
      <w:proofErr w:type="spellEnd"/>
      <w:r>
        <w:t xml:space="preserve"> MFSP.</w:t>
      </w:r>
    </w:p>
    <w:p w:rsidR="00A067A8" w:rsidRDefault="00A067A8" w:rsidP="00A067A8">
      <w:pPr>
        <w:rPr>
          <w:b/>
        </w:rPr>
      </w:pPr>
    </w:p>
    <w:p w:rsidR="00A067A8" w:rsidRDefault="00A067A8" w:rsidP="00A067A8">
      <w:pPr>
        <w:rPr>
          <w:b/>
        </w:rPr>
      </w:pPr>
    </w:p>
    <w:p w:rsidR="00A067A8" w:rsidRPr="00DD00F5" w:rsidRDefault="00A067A8" w:rsidP="00A067A8">
      <w:pPr>
        <w:jc w:val="center"/>
      </w:pPr>
      <w:r w:rsidRPr="00A865DD">
        <w:rPr>
          <w:b/>
        </w:rPr>
        <w:t>Table 7</w:t>
      </w:r>
      <w:r>
        <w:t xml:space="preserve"> </w:t>
      </w:r>
      <w:proofErr w:type="gramStart"/>
      <w:r>
        <w:t xml:space="preserve">Overall feedstock </w:t>
      </w:r>
      <w:proofErr w:type="spellStart"/>
      <w:r>
        <w:t>biocrude</w:t>
      </w:r>
      <w:proofErr w:type="spellEnd"/>
      <w:r>
        <w:t xml:space="preserve"> price</w:t>
      </w:r>
      <w:proofErr w:type="gramEnd"/>
      <w:r>
        <w:t xml:space="preserve"> for an upgrading plant using feed from variable HTL plant sizes (including $50/dry ton sludge credit).</w:t>
      </w:r>
    </w:p>
    <w:tbl>
      <w:tblPr>
        <w:tblStyle w:val="Header"/>
        <w:tblW w:w="0" w:type="auto"/>
        <w:jc w:val="center"/>
        <w:tblLook w:val="04A0" w:firstRow="1" w:lastRow="0" w:firstColumn="1" w:lastColumn="0" w:noHBand="0" w:noVBand="1"/>
      </w:tblPr>
      <w:tblGrid>
        <w:gridCol w:w="1586"/>
        <w:gridCol w:w="924"/>
        <w:gridCol w:w="1174"/>
        <w:gridCol w:w="1351"/>
        <w:gridCol w:w="1800"/>
      </w:tblGrid>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WWTP Scale (dry ton/day sludge)</w:t>
            </w:r>
          </w:p>
        </w:tc>
        <w:tc>
          <w:tcPr>
            <w:tcW w:w="924" w:type="dxa"/>
            <w:noWrap/>
            <w:hideMark/>
          </w:tcPr>
          <w:p w:rsidR="00A067A8" w:rsidRPr="009E3AE6" w:rsidRDefault="00A067A8" w:rsidP="00A067A8">
            <w:pPr>
              <w:rPr>
                <w:sz w:val="20"/>
              </w:rPr>
            </w:pPr>
            <w:r w:rsidRPr="009E3AE6">
              <w:rPr>
                <w:sz w:val="20"/>
              </w:rPr>
              <w:t># of Plants</w:t>
            </w:r>
          </w:p>
        </w:tc>
        <w:tc>
          <w:tcPr>
            <w:tcW w:w="1174" w:type="dxa"/>
            <w:noWrap/>
            <w:hideMark/>
          </w:tcPr>
          <w:p w:rsidR="00A067A8" w:rsidRPr="009E3AE6" w:rsidRDefault="00A067A8" w:rsidP="00A067A8">
            <w:pPr>
              <w:rPr>
                <w:sz w:val="20"/>
              </w:rPr>
            </w:pPr>
            <w:proofErr w:type="spellStart"/>
            <w:r w:rsidRPr="009E3AE6">
              <w:rPr>
                <w:sz w:val="20"/>
              </w:rPr>
              <w:t>Biocrude</w:t>
            </w:r>
            <w:proofErr w:type="spellEnd"/>
            <w:r w:rsidRPr="009E3AE6">
              <w:rPr>
                <w:sz w:val="20"/>
              </w:rPr>
              <w:t xml:space="preserve"> Price $/gal</w:t>
            </w:r>
            <w:r>
              <w:rPr>
                <w:sz w:val="20"/>
              </w:rPr>
              <w:t xml:space="preserve"> (includes $0.10/gal shipping)</w:t>
            </w:r>
          </w:p>
        </w:tc>
        <w:tc>
          <w:tcPr>
            <w:tcW w:w="1351" w:type="dxa"/>
            <w:noWrap/>
            <w:hideMark/>
          </w:tcPr>
          <w:p w:rsidR="00A067A8" w:rsidRPr="009E3AE6" w:rsidRDefault="00A067A8" w:rsidP="00A067A8">
            <w:pPr>
              <w:rPr>
                <w:sz w:val="20"/>
              </w:rPr>
            </w:pPr>
            <w:r w:rsidRPr="009E3AE6">
              <w:rPr>
                <w:sz w:val="20"/>
              </w:rPr>
              <w:t xml:space="preserve">Final </w:t>
            </w:r>
            <w:r>
              <w:rPr>
                <w:sz w:val="20"/>
              </w:rPr>
              <w:t xml:space="preserve">Upgraded </w:t>
            </w:r>
            <w:r w:rsidRPr="009E3AE6">
              <w:rPr>
                <w:sz w:val="20"/>
              </w:rPr>
              <w:t>Fuel, BPSD</w:t>
            </w:r>
          </w:p>
        </w:tc>
        <w:tc>
          <w:tcPr>
            <w:tcW w:w="1800" w:type="dxa"/>
            <w:noWrap/>
            <w:hideMark/>
          </w:tcPr>
          <w:p w:rsidR="00A067A8" w:rsidRPr="009E3AE6" w:rsidRDefault="00A067A8" w:rsidP="00A067A8">
            <w:pPr>
              <w:rPr>
                <w:sz w:val="20"/>
              </w:rPr>
            </w:pPr>
            <w:r w:rsidRPr="009E3AE6">
              <w:rPr>
                <w:sz w:val="20"/>
              </w:rPr>
              <w:t xml:space="preserve">Total </w:t>
            </w:r>
            <w:proofErr w:type="spellStart"/>
            <w:r w:rsidRPr="009E3AE6">
              <w:rPr>
                <w:sz w:val="20"/>
              </w:rPr>
              <w:t>Biocrude</w:t>
            </w:r>
            <w:proofErr w:type="spellEnd"/>
            <w:r w:rsidRPr="009E3AE6">
              <w:rPr>
                <w:sz w:val="20"/>
              </w:rPr>
              <w:t xml:space="preserve"> Price, $/day</w:t>
            </w:r>
          </w:p>
        </w:tc>
      </w:tr>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500</w:t>
            </w:r>
          </w:p>
        </w:tc>
        <w:tc>
          <w:tcPr>
            <w:tcW w:w="924" w:type="dxa"/>
            <w:noWrap/>
            <w:hideMark/>
          </w:tcPr>
          <w:p w:rsidR="00A067A8" w:rsidRPr="009E3AE6" w:rsidRDefault="00A067A8" w:rsidP="00A067A8">
            <w:pPr>
              <w:rPr>
                <w:sz w:val="20"/>
              </w:rPr>
            </w:pPr>
            <w:r w:rsidRPr="009E3AE6">
              <w:rPr>
                <w:sz w:val="20"/>
              </w:rPr>
              <w:t>1</w:t>
            </w:r>
          </w:p>
        </w:tc>
        <w:tc>
          <w:tcPr>
            <w:tcW w:w="1174" w:type="dxa"/>
            <w:noWrap/>
            <w:hideMark/>
          </w:tcPr>
          <w:p w:rsidR="00A067A8" w:rsidRPr="009E3AE6" w:rsidRDefault="00A067A8" w:rsidP="00A067A8">
            <w:pPr>
              <w:rPr>
                <w:sz w:val="20"/>
              </w:rPr>
            </w:pPr>
            <w:r>
              <w:rPr>
                <w:sz w:val="20"/>
              </w:rPr>
              <w:t>2.1</w:t>
            </w:r>
            <w:r w:rsidRPr="009E3AE6">
              <w:rPr>
                <w:sz w:val="20"/>
              </w:rPr>
              <w:t>7</w:t>
            </w:r>
          </w:p>
        </w:tc>
        <w:tc>
          <w:tcPr>
            <w:tcW w:w="1351" w:type="dxa"/>
            <w:noWrap/>
            <w:hideMark/>
          </w:tcPr>
          <w:p w:rsidR="00A067A8" w:rsidRPr="009E3AE6" w:rsidRDefault="00A067A8" w:rsidP="00A067A8">
            <w:pPr>
              <w:rPr>
                <w:sz w:val="20"/>
              </w:rPr>
            </w:pPr>
            <w:r>
              <w:rPr>
                <w:sz w:val="20"/>
              </w:rPr>
              <w:t>1009</w:t>
            </w:r>
          </w:p>
        </w:tc>
        <w:tc>
          <w:tcPr>
            <w:tcW w:w="1800" w:type="dxa"/>
            <w:noWrap/>
            <w:hideMark/>
          </w:tcPr>
          <w:p w:rsidR="00A067A8" w:rsidRPr="009E3AE6" w:rsidRDefault="00A067A8" w:rsidP="00A067A8">
            <w:pPr>
              <w:rPr>
                <w:sz w:val="20"/>
              </w:rPr>
            </w:pPr>
            <w:r>
              <w:rPr>
                <w:sz w:val="20"/>
              </w:rPr>
              <w:t>91,997</w:t>
            </w:r>
          </w:p>
        </w:tc>
      </w:tr>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250</w:t>
            </w:r>
          </w:p>
        </w:tc>
        <w:tc>
          <w:tcPr>
            <w:tcW w:w="924" w:type="dxa"/>
            <w:noWrap/>
            <w:hideMark/>
          </w:tcPr>
          <w:p w:rsidR="00A067A8" w:rsidRPr="009E3AE6" w:rsidRDefault="00A067A8" w:rsidP="00A067A8">
            <w:pPr>
              <w:rPr>
                <w:sz w:val="20"/>
              </w:rPr>
            </w:pPr>
            <w:r w:rsidRPr="009E3AE6">
              <w:rPr>
                <w:sz w:val="20"/>
              </w:rPr>
              <w:t>4</w:t>
            </w:r>
          </w:p>
        </w:tc>
        <w:tc>
          <w:tcPr>
            <w:tcW w:w="1174" w:type="dxa"/>
            <w:noWrap/>
            <w:hideMark/>
          </w:tcPr>
          <w:p w:rsidR="00A067A8" w:rsidRPr="009E3AE6" w:rsidRDefault="00A067A8" w:rsidP="00A067A8">
            <w:pPr>
              <w:rPr>
                <w:sz w:val="20"/>
              </w:rPr>
            </w:pPr>
            <w:r>
              <w:rPr>
                <w:sz w:val="20"/>
              </w:rPr>
              <w:t>2.66</w:t>
            </w:r>
          </w:p>
        </w:tc>
        <w:tc>
          <w:tcPr>
            <w:tcW w:w="1351" w:type="dxa"/>
            <w:noWrap/>
            <w:hideMark/>
          </w:tcPr>
          <w:p w:rsidR="00A067A8" w:rsidRPr="009E3AE6" w:rsidRDefault="00A067A8" w:rsidP="00A067A8">
            <w:pPr>
              <w:rPr>
                <w:sz w:val="20"/>
              </w:rPr>
            </w:pPr>
            <w:r>
              <w:rPr>
                <w:sz w:val="20"/>
              </w:rPr>
              <w:t>2019</w:t>
            </w:r>
          </w:p>
        </w:tc>
        <w:tc>
          <w:tcPr>
            <w:tcW w:w="1800" w:type="dxa"/>
            <w:noWrap/>
            <w:hideMark/>
          </w:tcPr>
          <w:p w:rsidR="00A067A8" w:rsidRPr="009E3AE6" w:rsidRDefault="00A067A8" w:rsidP="00A067A8">
            <w:pPr>
              <w:rPr>
                <w:sz w:val="20"/>
              </w:rPr>
            </w:pPr>
            <w:r>
              <w:rPr>
                <w:sz w:val="20"/>
              </w:rPr>
              <w:t>225,540</w:t>
            </w:r>
          </w:p>
        </w:tc>
      </w:tr>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100</w:t>
            </w:r>
          </w:p>
        </w:tc>
        <w:tc>
          <w:tcPr>
            <w:tcW w:w="924" w:type="dxa"/>
            <w:noWrap/>
            <w:hideMark/>
          </w:tcPr>
          <w:p w:rsidR="00A067A8" w:rsidRPr="009E3AE6" w:rsidRDefault="00A067A8" w:rsidP="00A067A8">
            <w:pPr>
              <w:rPr>
                <w:sz w:val="20"/>
              </w:rPr>
            </w:pPr>
            <w:r w:rsidRPr="009E3AE6">
              <w:rPr>
                <w:sz w:val="20"/>
              </w:rPr>
              <w:t>6</w:t>
            </w:r>
          </w:p>
        </w:tc>
        <w:tc>
          <w:tcPr>
            <w:tcW w:w="1174" w:type="dxa"/>
            <w:noWrap/>
            <w:hideMark/>
          </w:tcPr>
          <w:p w:rsidR="00A067A8" w:rsidRPr="009E3AE6" w:rsidRDefault="00A067A8" w:rsidP="00A067A8">
            <w:pPr>
              <w:rPr>
                <w:sz w:val="20"/>
              </w:rPr>
            </w:pPr>
            <w:r>
              <w:rPr>
                <w:sz w:val="20"/>
              </w:rPr>
              <w:t>3.61</w:t>
            </w:r>
          </w:p>
        </w:tc>
        <w:tc>
          <w:tcPr>
            <w:tcW w:w="1351" w:type="dxa"/>
            <w:noWrap/>
            <w:hideMark/>
          </w:tcPr>
          <w:p w:rsidR="00A067A8" w:rsidRPr="009E3AE6" w:rsidRDefault="00A067A8" w:rsidP="00A067A8">
            <w:pPr>
              <w:rPr>
                <w:sz w:val="20"/>
              </w:rPr>
            </w:pPr>
            <w:r>
              <w:rPr>
                <w:sz w:val="20"/>
              </w:rPr>
              <w:t>1211</w:t>
            </w:r>
          </w:p>
        </w:tc>
        <w:tc>
          <w:tcPr>
            <w:tcW w:w="1800" w:type="dxa"/>
            <w:noWrap/>
            <w:hideMark/>
          </w:tcPr>
          <w:p w:rsidR="00A067A8" w:rsidRPr="009E3AE6" w:rsidRDefault="00A067A8" w:rsidP="00A067A8">
            <w:pPr>
              <w:rPr>
                <w:sz w:val="20"/>
              </w:rPr>
            </w:pPr>
            <w:r>
              <w:rPr>
                <w:sz w:val="20"/>
              </w:rPr>
              <w:t>284,654</w:t>
            </w:r>
          </w:p>
        </w:tc>
      </w:tr>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50</w:t>
            </w:r>
          </w:p>
        </w:tc>
        <w:tc>
          <w:tcPr>
            <w:tcW w:w="924" w:type="dxa"/>
            <w:noWrap/>
            <w:hideMark/>
          </w:tcPr>
          <w:p w:rsidR="00A067A8" w:rsidRPr="009E3AE6" w:rsidRDefault="00A067A8" w:rsidP="00A067A8">
            <w:pPr>
              <w:rPr>
                <w:sz w:val="20"/>
              </w:rPr>
            </w:pPr>
            <w:r w:rsidRPr="009E3AE6">
              <w:rPr>
                <w:sz w:val="20"/>
              </w:rPr>
              <w:t>8</w:t>
            </w:r>
          </w:p>
        </w:tc>
        <w:tc>
          <w:tcPr>
            <w:tcW w:w="1174" w:type="dxa"/>
            <w:noWrap/>
            <w:hideMark/>
          </w:tcPr>
          <w:p w:rsidR="00A067A8" w:rsidRPr="009E3AE6" w:rsidRDefault="00A067A8" w:rsidP="00A067A8">
            <w:pPr>
              <w:rPr>
                <w:sz w:val="20"/>
              </w:rPr>
            </w:pPr>
            <w:r>
              <w:rPr>
                <w:sz w:val="20"/>
              </w:rPr>
              <w:t>4.75</w:t>
            </w:r>
          </w:p>
        </w:tc>
        <w:tc>
          <w:tcPr>
            <w:tcW w:w="1351" w:type="dxa"/>
            <w:noWrap/>
            <w:hideMark/>
          </w:tcPr>
          <w:p w:rsidR="00A067A8" w:rsidRPr="009E3AE6" w:rsidRDefault="00A067A8" w:rsidP="00A067A8">
            <w:pPr>
              <w:rPr>
                <w:sz w:val="20"/>
              </w:rPr>
            </w:pPr>
            <w:r>
              <w:rPr>
                <w:sz w:val="20"/>
              </w:rPr>
              <w:t>808</w:t>
            </w:r>
          </w:p>
        </w:tc>
        <w:tc>
          <w:tcPr>
            <w:tcW w:w="1800" w:type="dxa"/>
            <w:noWrap/>
            <w:hideMark/>
          </w:tcPr>
          <w:p w:rsidR="00A067A8" w:rsidRPr="009E3AE6" w:rsidRDefault="00A067A8" w:rsidP="00A067A8">
            <w:pPr>
              <w:rPr>
                <w:sz w:val="20"/>
              </w:rPr>
            </w:pPr>
            <w:r>
              <w:rPr>
                <w:sz w:val="20"/>
              </w:rPr>
              <w:t>161,100</w:t>
            </w:r>
          </w:p>
        </w:tc>
      </w:tr>
      <w:tr w:rsidR="00A067A8" w:rsidRPr="009E3AE6" w:rsidTr="00A067A8">
        <w:trPr>
          <w:trHeight w:val="300"/>
          <w:jc w:val="center"/>
        </w:trPr>
        <w:tc>
          <w:tcPr>
            <w:tcW w:w="1586" w:type="dxa"/>
            <w:noWrap/>
            <w:hideMark/>
          </w:tcPr>
          <w:p w:rsidR="00A067A8" w:rsidRPr="009E3AE6" w:rsidRDefault="00A067A8" w:rsidP="00A067A8">
            <w:pPr>
              <w:rPr>
                <w:sz w:val="20"/>
              </w:rPr>
            </w:pPr>
          </w:p>
        </w:tc>
        <w:tc>
          <w:tcPr>
            <w:tcW w:w="924" w:type="dxa"/>
            <w:noWrap/>
            <w:hideMark/>
          </w:tcPr>
          <w:p w:rsidR="00A067A8" w:rsidRPr="009E3AE6" w:rsidRDefault="00A067A8" w:rsidP="00A067A8">
            <w:pPr>
              <w:rPr>
                <w:sz w:val="20"/>
              </w:rPr>
            </w:pPr>
          </w:p>
        </w:tc>
        <w:tc>
          <w:tcPr>
            <w:tcW w:w="1174" w:type="dxa"/>
            <w:noWrap/>
            <w:hideMark/>
          </w:tcPr>
          <w:p w:rsidR="00A067A8" w:rsidRPr="009E3AE6" w:rsidRDefault="00A067A8" w:rsidP="00A067A8">
            <w:pPr>
              <w:rPr>
                <w:sz w:val="20"/>
              </w:rPr>
            </w:pPr>
          </w:p>
        </w:tc>
        <w:tc>
          <w:tcPr>
            <w:tcW w:w="1351" w:type="dxa"/>
            <w:noWrap/>
            <w:hideMark/>
          </w:tcPr>
          <w:p w:rsidR="00A067A8" w:rsidRPr="009E3AE6" w:rsidRDefault="00A067A8" w:rsidP="00A067A8">
            <w:pPr>
              <w:rPr>
                <w:sz w:val="20"/>
              </w:rPr>
            </w:pPr>
          </w:p>
        </w:tc>
        <w:tc>
          <w:tcPr>
            <w:tcW w:w="1800" w:type="dxa"/>
            <w:noWrap/>
            <w:hideMark/>
          </w:tcPr>
          <w:p w:rsidR="00A067A8" w:rsidRPr="009E3AE6" w:rsidRDefault="00A067A8" w:rsidP="00A067A8">
            <w:pPr>
              <w:rPr>
                <w:sz w:val="20"/>
              </w:rPr>
            </w:pPr>
          </w:p>
        </w:tc>
      </w:tr>
      <w:tr w:rsidR="00A067A8" w:rsidRPr="009E3AE6" w:rsidTr="00A067A8">
        <w:trPr>
          <w:trHeight w:val="300"/>
          <w:jc w:val="center"/>
        </w:trPr>
        <w:tc>
          <w:tcPr>
            <w:tcW w:w="1586" w:type="dxa"/>
            <w:noWrap/>
            <w:hideMark/>
          </w:tcPr>
          <w:p w:rsidR="00A067A8" w:rsidRPr="009E3AE6" w:rsidRDefault="00A067A8" w:rsidP="00A067A8">
            <w:pPr>
              <w:rPr>
                <w:sz w:val="20"/>
              </w:rPr>
            </w:pPr>
            <w:r w:rsidRPr="009E3AE6">
              <w:rPr>
                <w:sz w:val="20"/>
              </w:rPr>
              <w:t>Total</w:t>
            </w:r>
          </w:p>
        </w:tc>
        <w:tc>
          <w:tcPr>
            <w:tcW w:w="924" w:type="dxa"/>
            <w:noWrap/>
            <w:hideMark/>
          </w:tcPr>
          <w:p w:rsidR="00A067A8" w:rsidRPr="009E3AE6" w:rsidRDefault="00A067A8" w:rsidP="00A067A8">
            <w:pPr>
              <w:rPr>
                <w:sz w:val="20"/>
              </w:rPr>
            </w:pPr>
          </w:p>
        </w:tc>
        <w:tc>
          <w:tcPr>
            <w:tcW w:w="1174" w:type="dxa"/>
            <w:noWrap/>
            <w:hideMark/>
          </w:tcPr>
          <w:p w:rsidR="00A067A8" w:rsidRPr="00B52984" w:rsidRDefault="00A067A8" w:rsidP="00A067A8">
            <w:pPr>
              <w:rPr>
                <w:sz w:val="20"/>
              </w:rPr>
            </w:pPr>
            <w:r w:rsidRPr="00B52984">
              <w:rPr>
                <w:bCs/>
                <w:sz w:val="20"/>
              </w:rPr>
              <w:t>$3.12/gal ($3.18/</w:t>
            </w:r>
            <w:proofErr w:type="spellStart"/>
            <w:r w:rsidRPr="00B52984">
              <w:rPr>
                <w:bCs/>
                <w:sz w:val="20"/>
              </w:rPr>
              <w:t>gge</w:t>
            </w:r>
            <w:proofErr w:type="spellEnd"/>
            <w:r w:rsidRPr="00B52984">
              <w:rPr>
                <w:bCs/>
                <w:sz w:val="20"/>
              </w:rPr>
              <w:t>)</w:t>
            </w:r>
          </w:p>
        </w:tc>
        <w:tc>
          <w:tcPr>
            <w:tcW w:w="1351" w:type="dxa"/>
            <w:noWrap/>
            <w:hideMark/>
          </w:tcPr>
          <w:p w:rsidR="00A067A8" w:rsidRPr="009E3AE6" w:rsidRDefault="00A067A8" w:rsidP="00A067A8">
            <w:pPr>
              <w:rPr>
                <w:sz w:val="20"/>
              </w:rPr>
            </w:pPr>
            <w:r w:rsidRPr="009E3AE6">
              <w:rPr>
                <w:sz w:val="20"/>
              </w:rPr>
              <w:t>5047</w:t>
            </w:r>
          </w:p>
        </w:tc>
        <w:tc>
          <w:tcPr>
            <w:tcW w:w="1800" w:type="dxa"/>
            <w:noWrap/>
            <w:hideMark/>
          </w:tcPr>
          <w:p w:rsidR="00A067A8" w:rsidRPr="009E3AE6" w:rsidRDefault="00A067A8" w:rsidP="00A067A8">
            <w:pPr>
              <w:rPr>
                <w:bCs/>
                <w:sz w:val="20"/>
              </w:rPr>
            </w:pPr>
            <w:r>
              <w:rPr>
                <w:sz w:val="20"/>
              </w:rPr>
              <w:t>662,292</w:t>
            </w:r>
          </w:p>
        </w:tc>
      </w:tr>
    </w:tbl>
    <w:p w:rsidR="00A067A8" w:rsidRDefault="00A067A8" w:rsidP="00A067A8">
      <w:pPr>
        <w:rPr>
          <w:b/>
        </w:rPr>
      </w:pPr>
    </w:p>
    <w:p w:rsidR="00A067A8" w:rsidRDefault="00A067A8" w:rsidP="00A067A8">
      <w:pPr>
        <w:jc w:val="center"/>
        <w:rPr>
          <w:b/>
        </w:rPr>
      </w:pPr>
    </w:p>
    <w:p w:rsidR="00A067A8" w:rsidRDefault="00A067A8" w:rsidP="00A067A8">
      <w:pPr>
        <w:jc w:val="center"/>
        <w:rPr>
          <w:b/>
        </w:rPr>
      </w:pPr>
    </w:p>
    <w:p w:rsidR="00A067A8" w:rsidRDefault="00A067A8" w:rsidP="00A067A8">
      <w:pPr>
        <w:jc w:val="center"/>
        <w:rPr>
          <w:b/>
        </w:rPr>
      </w:pPr>
      <w:r>
        <w:rPr>
          <w:noProof/>
        </w:rPr>
        <w:lastRenderedPageBreak/>
        <w:drawing>
          <wp:inline distT="0" distB="0" distL="0" distR="0" wp14:anchorId="49DA140C" wp14:editId="4E3FE314">
            <wp:extent cx="4572000" cy="2578678"/>
            <wp:effectExtent l="0" t="0" r="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067A8" w:rsidRPr="00DD00F5" w:rsidRDefault="00A067A8" w:rsidP="00A067A8">
      <w:pPr>
        <w:jc w:val="center"/>
      </w:pPr>
      <w:r>
        <w:rPr>
          <w:b/>
        </w:rPr>
        <w:t>Figure 6</w:t>
      </w:r>
      <w:r w:rsidRPr="00A865DD">
        <w:rPr>
          <w:b/>
        </w:rPr>
        <w:t xml:space="preserve"> </w:t>
      </w:r>
      <w:r>
        <w:t>Combined reductions in MFSP with applied sludge credit, technology advancements, and combined scale scenario.</w:t>
      </w:r>
    </w:p>
    <w:p w:rsidR="00A067A8" w:rsidRDefault="00A067A8" w:rsidP="00A067A8"/>
    <w:p w:rsidR="00A067A8" w:rsidRDefault="00A067A8" w:rsidP="00A067A8"/>
    <w:p w:rsidR="00A067A8" w:rsidRPr="000A2254" w:rsidRDefault="00A067A8" w:rsidP="00A067A8">
      <w:pPr>
        <w:pStyle w:val="Heading2"/>
        <w:numPr>
          <w:ilvl w:val="1"/>
          <w:numId w:val="47"/>
        </w:numPr>
      </w:pPr>
      <w:r w:rsidRPr="000A2254">
        <w:t xml:space="preserve">Sludge </w:t>
      </w:r>
      <w:proofErr w:type="spellStart"/>
      <w:r>
        <w:t>Biocrude</w:t>
      </w:r>
      <w:proofErr w:type="spellEnd"/>
      <w:r w:rsidRPr="000A2254">
        <w:t xml:space="preserve"> Upgrading Plant</w:t>
      </w:r>
    </w:p>
    <w:p w:rsidR="00A067A8" w:rsidRDefault="00A067A8" w:rsidP="00A067A8"/>
    <w:p w:rsidR="00A067A8" w:rsidRDefault="00A067A8" w:rsidP="00A067A8">
      <w:r>
        <w:t xml:space="preserve">Table 8 gives the summary economics for the base case upgrading plant processing </w:t>
      </w:r>
      <w:proofErr w:type="spellStart"/>
      <w:r>
        <w:t>biocrude</w:t>
      </w:r>
      <w:proofErr w:type="spellEnd"/>
      <w:r>
        <w:t xml:space="preserve"> feed at $4.19/</w:t>
      </w:r>
      <w:proofErr w:type="spellStart"/>
      <w:r>
        <w:t>gge</w:t>
      </w:r>
      <w:proofErr w:type="spellEnd"/>
      <w:r>
        <w:t xml:space="preserve"> (includes $0.10/</w:t>
      </w:r>
      <w:proofErr w:type="spellStart"/>
      <w:r>
        <w:t>gge</w:t>
      </w:r>
      <w:proofErr w:type="spellEnd"/>
      <w:r>
        <w:t xml:space="preserve"> transport cost).  The plant produces 5,047 BPSD of naphtha and diesel fuel at a MFSP of $5.15/</w:t>
      </w:r>
      <w:proofErr w:type="spellStart"/>
      <w:r>
        <w:t>gge</w:t>
      </w:r>
      <w:proofErr w:type="spellEnd"/>
      <w:r>
        <w:t xml:space="preserve"> and a total capital investment of $184.6 million. Figure 7 shows the sensitivity of final fuel MFSP to several economic and technical parameters for the </w:t>
      </w:r>
      <w:proofErr w:type="spellStart"/>
      <w:r>
        <w:t>biocrude</w:t>
      </w:r>
      <w:proofErr w:type="spellEnd"/>
      <w:r>
        <w:t xml:space="preserve"> upgrading plant model.  </w:t>
      </w:r>
      <w:proofErr w:type="spellStart"/>
      <w:r>
        <w:t>Biocrude</w:t>
      </w:r>
      <w:proofErr w:type="spellEnd"/>
      <w:r>
        <w:t xml:space="preserve"> feedstock price was varied widely according to the price range resulting from the HTL plant sensitivity analysis (Figure 4).  The range for </w:t>
      </w:r>
      <w:proofErr w:type="spellStart"/>
      <w:r>
        <w:t>hydrotreating</w:t>
      </w:r>
      <w:proofErr w:type="spellEnd"/>
      <w:r>
        <w:t xml:space="preserve"> oil yield is based on that achieved in the experimental testing.  A maximum upgraded oil yield of 93 g dry oil/g dry </w:t>
      </w:r>
      <w:proofErr w:type="spellStart"/>
      <w:r>
        <w:t>biocrude</w:t>
      </w:r>
      <w:proofErr w:type="spellEnd"/>
      <w:r>
        <w:t xml:space="preserve"> was achieved for </w:t>
      </w:r>
      <w:proofErr w:type="spellStart"/>
      <w:r>
        <w:t>biocrude</w:t>
      </w:r>
      <w:proofErr w:type="spellEnd"/>
      <w:r>
        <w:t xml:space="preserve"> from HTL of </w:t>
      </w:r>
      <w:proofErr w:type="spellStart"/>
      <w:r>
        <w:t>biosolids</w:t>
      </w:r>
      <w:proofErr w:type="spellEnd"/>
      <w:r>
        <w:t xml:space="preserve"> (90 g/g was chosen as a conservative max) and a minimum of 70 g dry oil/g dry </w:t>
      </w:r>
      <w:proofErr w:type="spellStart"/>
      <w:r>
        <w:t>biocrude</w:t>
      </w:r>
      <w:proofErr w:type="spellEnd"/>
      <w:r>
        <w:t xml:space="preserve"> was chosen as a conservative lower bound.  Upgrading at an existing petroleum refinery is also considered where only operating costs associated with fuel upgrading are included in the economics (TCI = 0 case).</w:t>
      </w:r>
    </w:p>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Default="00A067A8" w:rsidP="00A067A8"/>
    <w:p w:rsidR="00A067A8" w:rsidRPr="006F7F8E" w:rsidRDefault="00A067A8" w:rsidP="00A067A8">
      <w:r w:rsidRPr="00D33AAA">
        <w:rPr>
          <w:b/>
        </w:rPr>
        <w:t>Table 8</w:t>
      </w:r>
      <w:r w:rsidRPr="006F7F8E">
        <w:t xml:space="preserve"> </w:t>
      </w:r>
      <w:r>
        <w:t xml:space="preserve">Base Case </w:t>
      </w:r>
      <w:r w:rsidRPr="006F7F8E">
        <w:t xml:space="preserve">Summary Economics for Sludge HTL </w:t>
      </w:r>
      <w:proofErr w:type="spellStart"/>
      <w:r>
        <w:t>Biocrude</w:t>
      </w:r>
      <w:proofErr w:type="spellEnd"/>
      <w:r w:rsidRPr="006F7F8E">
        <w:t xml:space="preserve"> Upgrading</w:t>
      </w:r>
    </w:p>
    <w:p w:rsidR="00A067A8" w:rsidRDefault="00A067A8" w:rsidP="00A067A8">
      <w:pPr>
        <w:rPr>
          <w:b/>
        </w:rPr>
      </w:pPr>
      <w:r w:rsidRPr="003230A8">
        <w:rPr>
          <w:noProof/>
        </w:rPr>
        <w:drawing>
          <wp:inline distT="0" distB="0" distL="0" distR="0" wp14:anchorId="60E076A4" wp14:editId="1E3462CC">
            <wp:extent cx="5486400" cy="574744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747449"/>
                    </a:xfrm>
                    <a:prstGeom prst="rect">
                      <a:avLst/>
                    </a:prstGeom>
                    <a:noFill/>
                    <a:ln>
                      <a:noFill/>
                    </a:ln>
                  </pic:spPr>
                </pic:pic>
              </a:graphicData>
            </a:graphic>
          </wp:inline>
        </w:drawing>
      </w:r>
    </w:p>
    <w:p w:rsidR="00A067A8" w:rsidRDefault="00A067A8" w:rsidP="00A067A8">
      <w:pPr>
        <w:rPr>
          <w:b/>
        </w:rPr>
      </w:pPr>
    </w:p>
    <w:p w:rsidR="00A067A8" w:rsidRDefault="00A067A8" w:rsidP="00A067A8">
      <w:pPr>
        <w:rPr>
          <w:b/>
        </w:rPr>
      </w:pPr>
    </w:p>
    <w:p w:rsidR="00A067A8" w:rsidRDefault="00A067A8" w:rsidP="00A067A8">
      <w:r>
        <w:rPr>
          <w:noProof/>
        </w:rPr>
        <w:lastRenderedPageBreak/>
        <w:drawing>
          <wp:inline distT="0" distB="0" distL="0" distR="0" wp14:anchorId="1244692F" wp14:editId="6583E5F2">
            <wp:extent cx="5486400" cy="3294380"/>
            <wp:effectExtent l="0" t="0" r="0"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067A8" w:rsidRDefault="00A067A8" w:rsidP="00A067A8"/>
    <w:p w:rsidR="00A067A8" w:rsidRDefault="00A067A8" w:rsidP="00A067A8">
      <w:pPr>
        <w:jc w:val="center"/>
      </w:pPr>
      <w:r w:rsidRPr="00D33AAA">
        <w:rPr>
          <w:b/>
        </w:rPr>
        <w:t xml:space="preserve">Figure </w:t>
      </w:r>
      <w:proofErr w:type="gramStart"/>
      <w:r>
        <w:rPr>
          <w:b/>
        </w:rPr>
        <w:t>7</w:t>
      </w:r>
      <w:r>
        <w:t xml:space="preserve">  Sensitivity</w:t>
      </w:r>
      <w:proofErr w:type="gramEnd"/>
      <w:r>
        <w:t xml:space="preserve"> analysis for sludge HTL </w:t>
      </w:r>
      <w:proofErr w:type="spellStart"/>
      <w:r>
        <w:t>biocrude</w:t>
      </w:r>
      <w:proofErr w:type="spellEnd"/>
      <w:r>
        <w:t xml:space="preserve"> upgrading plant.</w:t>
      </w:r>
    </w:p>
    <w:p w:rsidR="00A067A8" w:rsidRDefault="00A067A8" w:rsidP="00A067A8">
      <w:pPr>
        <w:jc w:val="center"/>
      </w:pPr>
    </w:p>
    <w:p w:rsidR="00A067A8" w:rsidRDefault="00A067A8" w:rsidP="00A067A8">
      <w:pPr>
        <w:jc w:val="center"/>
      </w:pPr>
    </w:p>
    <w:p w:rsidR="00A067A8" w:rsidRDefault="00A067A8" w:rsidP="00A067A8"/>
    <w:p w:rsidR="00A067A8" w:rsidRDefault="00A067A8" w:rsidP="00A067A8">
      <w:pPr>
        <w:jc w:val="center"/>
      </w:pPr>
      <w:r>
        <w:rPr>
          <w:noProof/>
        </w:rPr>
        <w:drawing>
          <wp:inline distT="0" distB="0" distL="0" distR="0" wp14:anchorId="0CB66268" wp14:editId="4BE9E1D5">
            <wp:extent cx="4776717" cy="2818263"/>
            <wp:effectExtent l="0" t="0" r="5080" b="12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067A8" w:rsidRDefault="00A067A8" w:rsidP="00A067A8">
      <w:pPr>
        <w:jc w:val="center"/>
      </w:pPr>
      <w:r w:rsidRPr="00D33AAA">
        <w:rPr>
          <w:b/>
        </w:rPr>
        <w:t xml:space="preserve">Figure </w:t>
      </w:r>
      <w:proofErr w:type="gramStart"/>
      <w:r>
        <w:rPr>
          <w:b/>
        </w:rPr>
        <w:t>8</w:t>
      </w:r>
      <w:r>
        <w:t xml:space="preserve">  Reduction</w:t>
      </w:r>
      <w:proofErr w:type="gramEnd"/>
      <w:r>
        <w:t xml:space="preserve"> in upgraded fuel price with combined technology improvements.</w:t>
      </w:r>
      <w:r w:rsidDel="000A50D0">
        <w:t xml:space="preserve"> </w:t>
      </w:r>
    </w:p>
    <w:p w:rsidR="00A067A8" w:rsidRDefault="00A067A8" w:rsidP="00A067A8"/>
    <w:p w:rsidR="00A067A8" w:rsidRDefault="00A067A8" w:rsidP="00A067A8">
      <w:pPr>
        <w:pStyle w:val="Heading2"/>
        <w:numPr>
          <w:ilvl w:val="0"/>
          <w:numId w:val="47"/>
        </w:numPr>
      </w:pPr>
      <w:r>
        <w:t>Conclusions and Recommendations</w:t>
      </w:r>
    </w:p>
    <w:p w:rsidR="00A067A8" w:rsidRPr="00E01458" w:rsidRDefault="00A067A8" w:rsidP="00A067A8"/>
    <w:p w:rsidR="00A067A8" w:rsidRDefault="00A067A8" w:rsidP="00A067A8">
      <w:r>
        <w:lastRenderedPageBreak/>
        <w:t xml:space="preserve">Sludge HTL and </w:t>
      </w:r>
      <w:proofErr w:type="spellStart"/>
      <w:r>
        <w:t>biocrude</w:t>
      </w:r>
      <w:proofErr w:type="spellEnd"/>
      <w:r>
        <w:t xml:space="preserve"> upgrading is an attractive alternative to anaerobic digestion and other sludge management methods that has the added benefit of producing salable fuel substitute for petroleum diesel and naphtha.  The base case scenario for this analysis consists of 25 100-dry ton/day sludge HTL plants feeding into a centralized upgrading plant producing 5,000 BPSD of diesel and naphtha. The base case assumptions result in a minimum fuel selling price of $4.09/</w:t>
      </w:r>
      <w:proofErr w:type="spellStart"/>
      <w:r>
        <w:t>gge</w:t>
      </w:r>
      <w:proofErr w:type="spellEnd"/>
      <w:r>
        <w:t xml:space="preserve"> for HTL </w:t>
      </w:r>
      <w:proofErr w:type="spellStart"/>
      <w:r>
        <w:t>biocrude</w:t>
      </w:r>
      <w:proofErr w:type="spellEnd"/>
      <w:r>
        <w:t xml:space="preserve"> and $5.15/</w:t>
      </w:r>
      <w:proofErr w:type="spellStart"/>
      <w:r>
        <w:t>gge</w:t>
      </w:r>
      <w:proofErr w:type="spellEnd"/>
      <w:r>
        <w:t xml:space="preserve"> for final upgraded fuel. </w:t>
      </w:r>
    </w:p>
    <w:p w:rsidR="00A067A8" w:rsidRDefault="00A067A8" w:rsidP="00A067A8"/>
    <w:p w:rsidR="00A067A8" w:rsidRDefault="00A067A8" w:rsidP="00A067A8">
      <w:r>
        <w:t>This preliminary analysis is based on initial testing of primary sludge waste HTL and upgrading and as such, it is intended to be a starting point from which advancements in the technology and refinements to the analysis may be identified.  Several areas of potential improvement are apparent:</w:t>
      </w:r>
    </w:p>
    <w:p w:rsidR="00A067A8" w:rsidRDefault="00A067A8" w:rsidP="00A067A8"/>
    <w:p w:rsidR="00A067A8" w:rsidRDefault="00A067A8" w:rsidP="00A067A8">
      <w:pPr>
        <w:pStyle w:val="ListParagraph"/>
        <w:numPr>
          <w:ilvl w:val="0"/>
          <w:numId w:val="49"/>
        </w:numPr>
      </w:pPr>
      <w:r>
        <w:t xml:space="preserve">Optimization of HTL feed solids content can improve economics through increased energy efficiency (less water to heat and pump) and decreased capital cost (smaller equipment size).  A maximum 15% solids content is thought to be possible while still allowing effective pumping through the HTL system.  Increasing solids level to 15% reduces the base case </w:t>
      </w:r>
      <w:proofErr w:type="spellStart"/>
      <w:r>
        <w:t>biocrude</w:t>
      </w:r>
      <w:proofErr w:type="spellEnd"/>
      <w:r>
        <w:t xml:space="preserve"> MFSP by $0.56/</w:t>
      </w:r>
      <w:proofErr w:type="spellStart"/>
      <w:r>
        <w:t>gge</w:t>
      </w:r>
      <w:proofErr w:type="spellEnd"/>
      <w:r>
        <w:t xml:space="preserve">. Further testing is needed to validate HTL performance at this level of solids. Testing is also necessary to ensure that dewatering of </w:t>
      </w:r>
      <w:proofErr w:type="spellStart"/>
      <w:r>
        <w:t>sludges</w:t>
      </w:r>
      <w:proofErr w:type="spellEnd"/>
      <w:r>
        <w:t xml:space="preserve"> to 15% is possible.     </w:t>
      </w:r>
    </w:p>
    <w:p w:rsidR="00A067A8" w:rsidRDefault="00A067A8" w:rsidP="00A067A8">
      <w:pPr>
        <w:pStyle w:val="ListParagraph"/>
      </w:pPr>
    </w:p>
    <w:p w:rsidR="00A067A8" w:rsidRDefault="00A067A8" w:rsidP="00A067A8">
      <w:pPr>
        <w:pStyle w:val="ListParagraph"/>
        <w:numPr>
          <w:ilvl w:val="0"/>
          <w:numId w:val="49"/>
        </w:numPr>
      </w:pPr>
      <w:r>
        <w:t xml:space="preserve">A maximum HTL </w:t>
      </w:r>
      <w:proofErr w:type="spellStart"/>
      <w:r>
        <w:t>biocrude</w:t>
      </w:r>
      <w:proofErr w:type="spellEnd"/>
      <w:r>
        <w:t xml:space="preserve"> yield of 45% is thought to be achievable, which alone would reduce the base case </w:t>
      </w:r>
      <w:proofErr w:type="spellStart"/>
      <w:r>
        <w:t>biocrude</w:t>
      </w:r>
      <w:proofErr w:type="spellEnd"/>
      <w:r>
        <w:t xml:space="preserve"> price by $0.40/</w:t>
      </w:r>
      <w:proofErr w:type="spellStart"/>
      <w:r>
        <w:t>gge</w:t>
      </w:r>
      <w:proofErr w:type="spellEnd"/>
      <w:r>
        <w:t xml:space="preserve">. Further testing for optimization of </w:t>
      </w:r>
      <w:proofErr w:type="spellStart"/>
      <w:r>
        <w:t>biocrude</w:t>
      </w:r>
      <w:proofErr w:type="spellEnd"/>
      <w:r>
        <w:t xml:space="preserve"> yield is needed.  In addition, as most wastewater treatment plants produce both primary and secondary sludge waste, testing of mixtures of these feeds will help to more realistically model the production plant.</w:t>
      </w:r>
    </w:p>
    <w:p w:rsidR="00A067A8" w:rsidRDefault="00A067A8" w:rsidP="00A067A8"/>
    <w:p w:rsidR="00A067A8" w:rsidRDefault="00A067A8" w:rsidP="00A067A8">
      <w:pPr>
        <w:pStyle w:val="ListParagraph"/>
        <w:numPr>
          <w:ilvl w:val="0"/>
          <w:numId w:val="49"/>
        </w:numPr>
      </w:pPr>
      <w:r>
        <w:t xml:space="preserve">The base case assumes an upgraded </w:t>
      </w:r>
      <w:proofErr w:type="spellStart"/>
      <w:r>
        <w:t>biocrude</w:t>
      </w:r>
      <w:proofErr w:type="spellEnd"/>
      <w:r>
        <w:t xml:space="preserve"> yield of 78.6 g/g dry </w:t>
      </w:r>
      <w:proofErr w:type="spellStart"/>
      <w:r>
        <w:t>biocrude</w:t>
      </w:r>
      <w:proofErr w:type="spellEnd"/>
      <w:r>
        <w:t xml:space="preserve"> (based on testing of primary waste), however, yields as high as 93 g/g dry </w:t>
      </w:r>
      <w:proofErr w:type="spellStart"/>
      <w:r>
        <w:t>biocrude</w:t>
      </w:r>
      <w:proofErr w:type="spellEnd"/>
      <w:r>
        <w:t xml:space="preserve"> were achieved in the testing of </w:t>
      </w:r>
      <w:proofErr w:type="spellStart"/>
      <w:r>
        <w:t>biocrude</w:t>
      </w:r>
      <w:proofErr w:type="spellEnd"/>
      <w:r>
        <w:t xml:space="preserve"> from </w:t>
      </w:r>
      <w:proofErr w:type="spellStart"/>
      <w:r>
        <w:t>biosolids</w:t>
      </w:r>
      <w:proofErr w:type="spellEnd"/>
      <w:r>
        <w:t xml:space="preserve"> sample.  An increase in yield to 90 g/g </w:t>
      </w:r>
      <w:proofErr w:type="spellStart"/>
      <w:r>
        <w:t>biocrude</w:t>
      </w:r>
      <w:proofErr w:type="spellEnd"/>
      <w:r>
        <w:t xml:space="preserve"> reduces the base case final fuel MFSP by $0.61/</w:t>
      </w:r>
      <w:proofErr w:type="spellStart"/>
      <w:r>
        <w:t>gge</w:t>
      </w:r>
      <w:proofErr w:type="spellEnd"/>
      <w:r>
        <w:t xml:space="preserve">.  Further testing is needed on </w:t>
      </w:r>
      <w:proofErr w:type="spellStart"/>
      <w:r>
        <w:t>biocrudes</w:t>
      </w:r>
      <w:proofErr w:type="spellEnd"/>
      <w:r>
        <w:t xml:space="preserve"> from primary, secondary, and </w:t>
      </w:r>
      <w:proofErr w:type="spellStart"/>
      <w:r>
        <w:t>biosolids</w:t>
      </w:r>
      <w:proofErr w:type="spellEnd"/>
      <w:r>
        <w:t xml:space="preserve"> wastes, and combinations thereof, to achieve optimized </w:t>
      </w:r>
      <w:proofErr w:type="spellStart"/>
      <w:r>
        <w:t>hydrotreated</w:t>
      </w:r>
      <w:proofErr w:type="spellEnd"/>
      <w:r>
        <w:t xml:space="preserve"> oil yields.</w:t>
      </w:r>
    </w:p>
    <w:p w:rsidR="00A067A8" w:rsidRDefault="00A067A8" w:rsidP="00A067A8"/>
    <w:p w:rsidR="00A067A8" w:rsidRDefault="00A067A8" w:rsidP="00A067A8">
      <w:pPr>
        <w:pStyle w:val="ListParagraph"/>
        <w:numPr>
          <w:ilvl w:val="0"/>
          <w:numId w:val="49"/>
        </w:numPr>
      </w:pPr>
      <w:r>
        <w:t>The economics of the HTL plant are highly sensitive to sludge credit value (the current cost to treat and/or dispose). While the base case does not consider any cost savings associated with avoided sludge disposal, it is more likely that the current costs associated with sludge management would translate to a potential feedstock credit. If a sludge credit of $50/dry ton is considered, the upgraded fuel MFSP is reduced by $0.57/</w:t>
      </w:r>
      <w:proofErr w:type="spellStart"/>
      <w:r>
        <w:t>gge</w:t>
      </w:r>
      <w:proofErr w:type="spellEnd"/>
      <w:r>
        <w:t xml:space="preserve">.  A more detailed analysis of the actual savings from avoidance of sludge waste disposal is needed.  </w:t>
      </w:r>
    </w:p>
    <w:p w:rsidR="00A067A8" w:rsidRDefault="00A067A8" w:rsidP="00A067A8"/>
    <w:p w:rsidR="00A067A8" w:rsidRDefault="00A067A8" w:rsidP="00A067A8">
      <w:pPr>
        <w:pStyle w:val="ListParagraph"/>
        <w:numPr>
          <w:ilvl w:val="0"/>
          <w:numId w:val="49"/>
        </w:numPr>
      </w:pPr>
      <w:r>
        <w:t xml:space="preserve">The choice of the base case HTL plant scale is roughly based on the number and capacity of existing WWTPs in the US and what the resulting </w:t>
      </w:r>
      <w:proofErr w:type="spellStart"/>
      <w:r>
        <w:t>biocrude</w:t>
      </w:r>
      <w:proofErr w:type="spellEnd"/>
      <w:r>
        <w:t xml:space="preserve"> availability might be within a reasonable transportation radius.  The base case assumes that the </w:t>
      </w:r>
      <w:proofErr w:type="spellStart"/>
      <w:r>
        <w:t>biocrude</w:t>
      </w:r>
      <w:proofErr w:type="spellEnd"/>
      <w:r>
        <w:t xml:space="preserve"> is transported by tanker truck 100 miles to the upgrading plant at a cost of $0.10/</w:t>
      </w:r>
      <w:proofErr w:type="gramStart"/>
      <w:r>
        <w:t>gal,</w:t>
      </w:r>
      <w:proofErr w:type="gramEnd"/>
      <w:r>
        <w:t xml:space="preserve"> however, sensitivity analysis shows that larger draw radii that allow for larger plant scale could improve economics.  In addition, scenarios combining large and small scale WWTPs could significantly reduce MFSP.  Further collaboration with the resource </w:t>
      </w:r>
      <w:r>
        <w:lastRenderedPageBreak/>
        <w:t xml:space="preserve">analysis team is needed to develop and model realistic scale scenarios (and combinations) that could be beneficial.  </w:t>
      </w:r>
    </w:p>
    <w:p w:rsidR="00A067A8" w:rsidRDefault="00A067A8" w:rsidP="00A067A8"/>
    <w:p w:rsidR="00A067A8" w:rsidRDefault="00A067A8" w:rsidP="00A067A8">
      <w:r>
        <w:t xml:space="preserve">When combined improvements and refinements in all of these areas are considered, it is feasible that </w:t>
      </w:r>
      <w:proofErr w:type="spellStart"/>
      <w:r>
        <w:t>biocrude</w:t>
      </w:r>
      <w:proofErr w:type="spellEnd"/>
      <w:r>
        <w:t xml:space="preserve"> could be produced for as low as $2.37/</w:t>
      </w:r>
      <w:proofErr w:type="spellStart"/>
      <w:r>
        <w:t>gge</w:t>
      </w:r>
      <w:proofErr w:type="spellEnd"/>
      <w:r>
        <w:t xml:space="preserve"> (Fig. 6) and upgraded fuel may be produced for as low as $2.92/</w:t>
      </w:r>
      <w:proofErr w:type="spellStart"/>
      <w:r>
        <w:t>gge</w:t>
      </w:r>
      <w:proofErr w:type="spellEnd"/>
      <w:r>
        <w:t xml:space="preserve"> (Fig. 8).  In addition, work being conducted under separate BETO projects is investigating alternative HTL aqueous phase treatment methods that may yield higher-value products compared to methane, which could further improve plant economics.  Upgrading at an existing refinery could offer additional economic benefit as well.</w:t>
      </w:r>
    </w:p>
    <w:p w:rsidR="00A067A8" w:rsidRDefault="00A067A8" w:rsidP="00A067A8"/>
    <w:p w:rsidR="00A067A8" w:rsidRDefault="00A067A8" w:rsidP="00A067A8">
      <w:pPr>
        <w:pStyle w:val="ListParagraph"/>
      </w:pPr>
    </w:p>
    <w:p w:rsidR="00A067A8" w:rsidRDefault="00A067A8" w:rsidP="00A067A8">
      <w:r>
        <w:br w:type="page"/>
      </w:r>
    </w:p>
    <w:p w:rsidR="00A067A8" w:rsidRPr="00D1704E" w:rsidRDefault="00A067A8" w:rsidP="00A067A8">
      <w:pPr>
        <w:pStyle w:val="Heading2"/>
      </w:pPr>
      <w:r w:rsidRPr="00D1704E">
        <w:lastRenderedPageBreak/>
        <w:t>References</w:t>
      </w:r>
    </w:p>
    <w:p w:rsidR="00A067A8" w:rsidRPr="00D1704E" w:rsidRDefault="00A067A8" w:rsidP="00A067A8">
      <w:pPr>
        <w:rPr>
          <w:b/>
        </w:rPr>
      </w:pPr>
    </w:p>
    <w:p w:rsidR="00A067A8" w:rsidRDefault="00A067A8" w:rsidP="00A067A8">
      <w:proofErr w:type="gramStart"/>
      <w:r w:rsidRPr="00D9488D">
        <w:t xml:space="preserve">Dutta, A., Talmadge, M., Hensley, J., Worley, M., Dudgeon, D., Barton, D., </w:t>
      </w:r>
      <w:proofErr w:type="spellStart"/>
      <w:r w:rsidRPr="00D9488D">
        <w:t>Groenendijk</w:t>
      </w:r>
      <w:proofErr w:type="spellEnd"/>
      <w:r w:rsidRPr="00D9488D">
        <w:t xml:space="preserve">, P., Ferrari, D., </w:t>
      </w:r>
      <w:proofErr w:type="spellStart"/>
      <w:r w:rsidRPr="00D9488D">
        <w:t>Stears</w:t>
      </w:r>
      <w:proofErr w:type="spellEnd"/>
      <w:r w:rsidRPr="00D9488D">
        <w:t>, B., Searcy, E., Wright, C., Hess, J.R. (2011).</w:t>
      </w:r>
      <w:proofErr w:type="gramEnd"/>
      <w:r w:rsidRPr="00D9488D">
        <w:t xml:space="preserve"> Process design and economics for conversion of lignocellulosic biomass to ethanol: thermochemical pathway by indirect gasification and mixed alcohol synthesis. Golden, CO: National Renewable Energy Laboratory.</w:t>
      </w:r>
      <w:r>
        <w:t xml:space="preserve"> </w:t>
      </w:r>
      <w:hyperlink r:id="rId25" w:history="1">
        <w:r w:rsidRPr="00D9488D">
          <w:rPr>
            <w:rStyle w:val="Hyperlink"/>
          </w:rPr>
          <w:t>http://www.nrel.gov/docs/fy11osti/51400.pdf</w:t>
        </w:r>
      </w:hyperlink>
    </w:p>
    <w:p w:rsidR="00A067A8" w:rsidRDefault="00A067A8" w:rsidP="00A067A8"/>
    <w:p w:rsidR="00A067A8" w:rsidRDefault="00A067A8" w:rsidP="00A067A8">
      <w:pPr>
        <w:rPr>
          <w:rStyle w:val="Hyperlink"/>
          <w:rFonts w:cs="Arial"/>
          <w:szCs w:val="22"/>
        </w:rPr>
      </w:pPr>
      <w:proofErr w:type="gramStart"/>
      <w:r>
        <w:t xml:space="preserve">Environmental Protection Agency, </w:t>
      </w:r>
      <w:proofErr w:type="spellStart"/>
      <w:r>
        <w:t>Biosolids</w:t>
      </w:r>
      <w:proofErr w:type="spellEnd"/>
      <w:r>
        <w:t xml:space="preserve"> Website, 2015.</w:t>
      </w:r>
      <w:proofErr w:type="gramEnd"/>
      <w:r>
        <w:t xml:space="preserve"> </w:t>
      </w:r>
      <w:hyperlink r:id="rId26" w:history="1">
        <w:r w:rsidRPr="0038380E">
          <w:rPr>
            <w:rStyle w:val="Hyperlink"/>
            <w:rFonts w:cs="Arial"/>
            <w:szCs w:val="22"/>
          </w:rPr>
          <w:t>http://water.epa.gov/polwaste/wastewater/treatment/biosolids/genqa.cfm</w:t>
        </w:r>
      </w:hyperlink>
    </w:p>
    <w:p w:rsidR="00A067A8" w:rsidRDefault="00A067A8" w:rsidP="00A067A8">
      <w:pPr>
        <w:rPr>
          <w:rStyle w:val="Hyperlink"/>
          <w:rFonts w:cs="Arial"/>
          <w:szCs w:val="22"/>
        </w:rPr>
      </w:pPr>
      <w:r>
        <w:rPr>
          <w:rStyle w:val="Hyperlink"/>
          <w:rFonts w:cs="Arial"/>
          <w:szCs w:val="22"/>
        </w:rPr>
        <w:t xml:space="preserve"> </w:t>
      </w:r>
    </w:p>
    <w:p w:rsidR="00A067A8" w:rsidRDefault="00A067A8" w:rsidP="00A067A8">
      <w:proofErr w:type="gramStart"/>
      <w:r>
        <w:t>Environmental Protection Agency.</w:t>
      </w:r>
      <w:proofErr w:type="gramEnd"/>
      <w:r>
        <w:t xml:space="preserve"> Process Design Manual: Land Application of Sewage Sludge and Domestic </w:t>
      </w:r>
      <w:proofErr w:type="spellStart"/>
      <w:r>
        <w:t>Septage</w:t>
      </w:r>
      <w:proofErr w:type="spellEnd"/>
      <w:r>
        <w:t xml:space="preserve">. </w:t>
      </w:r>
      <w:proofErr w:type="gramStart"/>
      <w:r>
        <w:t>EPA/625/R-95/001.</w:t>
      </w:r>
      <w:proofErr w:type="gramEnd"/>
      <w:r>
        <w:t xml:space="preserve"> September 1995.</w:t>
      </w:r>
    </w:p>
    <w:p w:rsidR="00A067A8" w:rsidRDefault="00A067A8" w:rsidP="00A067A8"/>
    <w:p w:rsidR="00A067A8" w:rsidRDefault="00A067A8" w:rsidP="00A067A8">
      <w:proofErr w:type="gramStart"/>
      <w:r w:rsidRPr="008D5BE6">
        <w:t>U.S. Department of Energy.</w:t>
      </w:r>
      <w:proofErr w:type="gramEnd"/>
      <w:r w:rsidRPr="008D5BE6">
        <w:t xml:space="preserve"> March 2015. </w:t>
      </w:r>
      <w:proofErr w:type="gramStart"/>
      <w:r w:rsidRPr="008D5BE6">
        <w:t>Biomass Multi-Year Program Plan.</w:t>
      </w:r>
      <w:proofErr w:type="gramEnd"/>
      <w:r w:rsidRPr="008D5BE6">
        <w:t xml:space="preserve"> </w:t>
      </w:r>
      <w:proofErr w:type="spellStart"/>
      <w:proofErr w:type="gramStart"/>
      <w:r w:rsidRPr="008D5BE6">
        <w:t>Bionergy</w:t>
      </w:r>
      <w:proofErr w:type="spellEnd"/>
      <w:r w:rsidRPr="008D5BE6">
        <w:t xml:space="preserve"> Technologies Office, Energy Efficiency and Renewable Energy, U.S. Department of Energy, Washington D.C.</w:t>
      </w:r>
      <w:proofErr w:type="gramEnd"/>
    </w:p>
    <w:p w:rsidR="00A067A8" w:rsidRDefault="00A067A8" w:rsidP="00A067A8">
      <w:pPr>
        <w:spacing w:before="240" w:after="240"/>
      </w:pPr>
      <w:proofErr w:type="spellStart"/>
      <w:r w:rsidRPr="00D9488D">
        <w:t>Humbird</w:t>
      </w:r>
      <w:proofErr w:type="spellEnd"/>
      <w:r w:rsidRPr="00D9488D">
        <w:t xml:space="preserve">, David, R. Davis, L. Tao, C. </w:t>
      </w:r>
      <w:proofErr w:type="spellStart"/>
      <w:r w:rsidRPr="00D9488D">
        <w:t>Kinchin</w:t>
      </w:r>
      <w:proofErr w:type="spellEnd"/>
      <w:r w:rsidRPr="00D9488D">
        <w:t xml:space="preserve">, D. Hsu, A. Aden. 2011. “Process Design and Economics for Biochemical Conversion of Lignocellulosic Biomass to Ethanol Dilute-Acid Pretreatment and Enzymatic Hydrolysis of Corn Stover.” NREL/TP-5100-47764, National Renewable Energy Laboratory, Golden, CO. Accessed at </w:t>
      </w:r>
      <w:hyperlink r:id="rId27" w:history="1">
        <w:r w:rsidRPr="00D9488D">
          <w:rPr>
            <w:rStyle w:val="Hyperlink"/>
          </w:rPr>
          <w:t>http://www.nrel.gov/docs/fy11osti/47764.pdf</w:t>
        </w:r>
      </w:hyperlink>
    </w:p>
    <w:p w:rsidR="00A067A8" w:rsidRDefault="00A067A8" w:rsidP="00A067A8">
      <w:r>
        <w:t xml:space="preserve">Jones, S., P. Meyer, L. Snowden-Swan, A. Padmaperuma, E. Tan, A. Dutta, J. Jacobson, and K. Cafferty. “Process Design and Economics for the Conversion of Lignocellulosic Biomass to Hydrocarbon Fuels: Fast Pyrolysis and </w:t>
      </w:r>
      <w:proofErr w:type="spellStart"/>
      <w:r>
        <w:t>Hydrotreating</w:t>
      </w:r>
      <w:proofErr w:type="spellEnd"/>
      <w:r>
        <w:t xml:space="preserve"> Bio-oil Pathway.” November 2013.  </w:t>
      </w:r>
      <w:proofErr w:type="gramStart"/>
      <w:r>
        <w:t>Pacific Northwest National Laboratory, Richland, WA.</w:t>
      </w:r>
      <w:proofErr w:type="gramEnd"/>
      <w:r>
        <w:t xml:space="preserve"> </w:t>
      </w:r>
      <w:proofErr w:type="gramStart"/>
      <w:r>
        <w:t>PNNL-23053.</w:t>
      </w:r>
      <w:proofErr w:type="gramEnd"/>
    </w:p>
    <w:p w:rsidR="00A067A8" w:rsidRDefault="00A067A8" w:rsidP="00A067A8"/>
    <w:p w:rsidR="00A067A8" w:rsidRDefault="00A067A8" w:rsidP="00A067A8">
      <w:r>
        <w:t xml:space="preserve">Jones, S., Y. Zhu, D. Anderson, R. Hallen, D. Elliott, A. Schmidt, K. Albrecht, T. Hart, M. Butcher, C. Drennan, L. Snowden-Swan, R. Davis and C. </w:t>
      </w:r>
      <w:proofErr w:type="spellStart"/>
      <w:r>
        <w:t>Kinchin</w:t>
      </w:r>
      <w:proofErr w:type="spellEnd"/>
      <w:r>
        <w:t xml:space="preserve">. “Process Design and Economics for the Conversion of Algal Biomass to Hydrocarbons: Whole Algae Hydrothermal Liquefaction and Upgrading.” March 2014. </w:t>
      </w:r>
      <w:proofErr w:type="gramStart"/>
      <w:r>
        <w:t>Pacific Northwest National Laboratory, Richland, WA.</w:t>
      </w:r>
      <w:proofErr w:type="gramEnd"/>
      <w:r>
        <w:t xml:space="preserve"> </w:t>
      </w:r>
      <w:proofErr w:type="gramStart"/>
      <w:r>
        <w:t>PNNL-23227.</w:t>
      </w:r>
      <w:proofErr w:type="gramEnd"/>
      <w:r>
        <w:t xml:space="preserve"> </w:t>
      </w:r>
    </w:p>
    <w:p w:rsidR="00A067A8" w:rsidRDefault="00A067A8" w:rsidP="00A067A8"/>
    <w:p w:rsidR="00A067A8" w:rsidRDefault="00A067A8" w:rsidP="00A067A8">
      <w:r>
        <w:t xml:space="preserve">SCAP, Southern California Alliance of Publicly Owned Treatment Works (SCAP), “2012 SCAP </w:t>
      </w:r>
      <w:proofErr w:type="spellStart"/>
      <w:r>
        <w:t>Biosolids</w:t>
      </w:r>
      <w:proofErr w:type="spellEnd"/>
      <w:r>
        <w:t xml:space="preserve"> Trends Survey”. 2013. </w:t>
      </w:r>
    </w:p>
    <w:p w:rsidR="00A067A8" w:rsidRDefault="00A067A8" w:rsidP="00A067A8"/>
    <w:p w:rsidR="00A067A8" w:rsidRDefault="00A067A8" w:rsidP="00A067A8">
      <w:r>
        <w:br w:type="page"/>
      </w:r>
    </w:p>
    <w:p w:rsidR="00A067A8" w:rsidRDefault="00A067A8" w:rsidP="00A067A8">
      <w:pPr>
        <w:pStyle w:val="Heading2"/>
        <w:jc w:val="center"/>
        <w:rPr>
          <w:i w:val="0"/>
        </w:rPr>
      </w:pPr>
      <w:r w:rsidRPr="00A067A8">
        <w:rPr>
          <w:i w:val="0"/>
        </w:rPr>
        <w:lastRenderedPageBreak/>
        <w:t>Appendix B</w:t>
      </w:r>
    </w:p>
    <w:p w:rsidR="00A067A8" w:rsidRPr="00A067A8" w:rsidRDefault="00A067A8" w:rsidP="00A067A8"/>
    <w:p w:rsidR="00A067A8" w:rsidRPr="00EC2687" w:rsidRDefault="00A067A8" w:rsidP="00A067A8">
      <w:pPr>
        <w:rPr>
          <w:b/>
          <w:szCs w:val="22"/>
        </w:rPr>
      </w:pPr>
      <w:r w:rsidRPr="00EC2687">
        <w:rPr>
          <w:b/>
          <w:szCs w:val="22"/>
        </w:rPr>
        <w:t>Table A1.  Nth-Plant Assumptions</w:t>
      </w:r>
      <w:r>
        <w:rPr>
          <w:b/>
          <w:szCs w:val="22"/>
        </w:rPr>
        <w:t xml:space="preserve"> </w:t>
      </w:r>
    </w:p>
    <w:tbl>
      <w:tblPr>
        <w:tblW w:w="0" w:type="auto"/>
        <w:jc w:val="center"/>
        <w:tblBorders>
          <w:top w:val="single" w:sz="8" w:space="0" w:color="auto"/>
          <w:bottom w:val="single" w:sz="8" w:space="0" w:color="auto"/>
        </w:tblBorders>
        <w:tblLayout w:type="fixed"/>
        <w:tblCellMar>
          <w:top w:w="29" w:type="dxa"/>
          <w:left w:w="115" w:type="dxa"/>
          <w:bottom w:w="29" w:type="dxa"/>
          <w:right w:w="115" w:type="dxa"/>
        </w:tblCellMar>
        <w:tblLook w:val="0000" w:firstRow="0" w:lastRow="0" w:firstColumn="0" w:lastColumn="0" w:noHBand="0" w:noVBand="0"/>
      </w:tblPr>
      <w:tblGrid>
        <w:gridCol w:w="4370"/>
        <w:gridCol w:w="4655"/>
      </w:tblGrid>
      <w:tr w:rsidR="00A067A8" w:rsidRPr="00EC2687" w:rsidTr="00A067A8">
        <w:trPr>
          <w:trHeight w:val="240"/>
          <w:jc w:val="center"/>
        </w:trPr>
        <w:tc>
          <w:tcPr>
            <w:tcW w:w="4370" w:type="dxa"/>
            <w:tcBorders>
              <w:top w:val="single" w:sz="8" w:space="0" w:color="A6A6A6"/>
              <w:bottom w:val="single" w:sz="8" w:space="0" w:color="A6A6A6"/>
            </w:tcBorders>
          </w:tcPr>
          <w:p w:rsidR="00A067A8" w:rsidRPr="00EC2687" w:rsidRDefault="00A067A8" w:rsidP="00A067A8">
            <w:pPr>
              <w:tabs>
                <w:tab w:val="left" w:pos="1080"/>
              </w:tabs>
              <w:autoSpaceDE w:val="0"/>
              <w:autoSpaceDN w:val="0"/>
              <w:adjustRightInd w:val="0"/>
              <w:rPr>
                <w:b/>
                <w:bCs/>
                <w:color w:val="000000"/>
                <w:szCs w:val="22"/>
              </w:rPr>
            </w:pPr>
            <w:r w:rsidRPr="00EC2687">
              <w:rPr>
                <w:b/>
                <w:bCs/>
                <w:color w:val="000000"/>
                <w:szCs w:val="22"/>
              </w:rPr>
              <w:t>Assumption Description</w:t>
            </w:r>
          </w:p>
        </w:tc>
        <w:tc>
          <w:tcPr>
            <w:tcW w:w="4655" w:type="dxa"/>
            <w:tcBorders>
              <w:top w:val="single" w:sz="8" w:space="0" w:color="A6A6A6"/>
              <w:bottom w:val="single" w:sz="8" w:space="0" w:color="A6A6A6"/>
            </w:tcBorders>
          </w:tcPr>
          <w:p w:rsidR="00A067A8" w:rsidRPr="00EC2687" w:rsidRDefault="00A067A8" w:rsidP="00A067A8">
            <w:pPr>
              <w:tabs>
                <w:tab w:val="left" w:pos="360"/>
                <w:tab w:val="left" w:pos="720"/>
                <w:tab w:val="left" w:pos="1080"/>
                <w:tab w:val="left" w:pos="4540"/>
              </w:tabs>
              <w:autoSpaceDE w:val="0"/>
              <w:autoSpaceDN w:val="0"/>
              <w:adjustRightInd w:val="0"/>
              <w:jc w:val="right"/>
              <w:rPr>
                <w:b/>
                <w:color w:val="000000"/>
                <w:szCs w:val="22"/>
              </w:rPr>
            </w:pPr>
            <w:r w:rsidRPr="00EC2687">
              <w:rPr>
                <w:b/>
                <w:color w:val="000000"/>
                <w:szCs w:val="22"/>
              </w:rPr>
              <w:t>Assumed Value</w:t>
            </w:r>
          </w:p>
        </w:tc>
      </w:tr>
      <w:tr w:rsidR="00A067A8" w:rsidRPr="00EC2687" w:rsidTr="00A067A8">
        <w:trPr>
          <w:trHeight w:val="240"/>
          <w:jc w:val="center"/>
        </w:trPr>
        <w:tc>
          <w:tcPr>
            <w:tcW w:w="4370" w:type="dxa"/>
            <w:tcBorders>
              <w:top w:val="single" w:sz="8" w:space="0" w:color="A6A6A6"/>
              <w:bottom w:val="nil"/>
            </w:tcBorders>
            <w:shd w:val="clear" w:color="auto" w:fill="F2F2F2"/>
          </w:tcPr>
          <w:p w:rsidR="00A067A8" w:rsidRPr="00EC2687" w:rsidRDefault="00A067A8" w:rsidP="00A067A8">
            <w:pPr>
              <w:tabs>
                <w:tab w:val="left" w:pos="1080"/>
              </w:tabs>
              <w:autoSpaceDE w:val="0"/>
              <w:autoSpaceDN w:val="0"/>
              <w:adjustRightInd w:val="0"/>
              <w:rPr>
                <w:bCs/>
                <w:color w:val="000000"/>
                <w:szCs w:val="22"/>
              </w:rPr>
            </w:pPr>
            <w:r w:rsidRPr="00EC2687">
              <w:rPr>
                <w:bCs/>
                <w:color w:val="000000"/>
                <w:szCs w:val="22"/>
              </w:rPr>
              <w:t>Internal rate of return</w:t>
            </w:r>
          </w:p>
        </w:tc>
        <w:tc>
          <w:tcPr>
            <w:tcW w:w="4655" w:type="dxa"/>
            <w:tcBorders>
              <w:top w:val="single" w:sz="8" w:space="0" w:color="A6A6A6"/>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10%</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Plant financing debt/equity</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60% / 40% of total capital investment</w:t>
            </w:r>
          </w:p>
        </w:tc>
      </w:tr>
      <w:tr w:rsidR="00A067A8" w:rsidRPr="00EC2687" w:rsidTr="00A067A8">
        <w:trPr>
          <w:trHeight w:val="240"/>
          <w:jc w:val="center"/>
        </w:trPr>
        <w:tc>
          <w:tcPr>
            <w:tcW w:w="4370" w:type="dxa"/>
            <w:tcBorders>
              <w:top w:val="nil"/>
              <w:bottom w:val="nil"/>
            </w:tcBorders>
            <w:shd w:val="clear" w:color="auto" w:fill="F2F2F2"/>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Plant life</w:t>
            </w:r>
          </w:p>
        </w:tc>
        <w:tc>
          <w:tcPr>
            <w:tcW w:w="4655" w:type="dxa"/>
            <w:tcBorders>
              <w:top w:val="nil"/>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30 years</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Income tax rate</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35%</w:t>
            </w:r>
          </w:p>
        </w:tc>
      </w:tr>
      <w:tr w:rsidR="00A067A8" w:rsidRPr="00EC2687" w:rsidTr="00A067A8">
        <w:trPr>
          <w:trHeight w:val="178"/>
          <w:jc w:val="center"/>
        </w:trPr>
        <w:tc>
          <w:tcPr>
            <w:tcW w:w="4370" w:type="dxa"/>
            <w:tcBorders>
              <w:top w:val="nil"/>
              <w:bottom w:val="nil"/>
            </w:tcBorders>
            <w:shd w:val="clear" w:color="auto" w:fill="F2F2F2"/>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Interest rate for debt financing</w:t>
            </w:r>
          </w:p>
        </w:tc>
        <w:tc>
          <w:tcPr>
            <w:tcW w:w="4655" w:type="dxa"/>
            <w:tcBorders>
              <w:top w:val="nil"/>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8.0% annually</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Term for debt financing</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10 years</w:t>
            </w:r>
          </w:p>
        </w:tc>
      </w:tr>
      <w:tr w:rsidR="00A067A8" w:rsidRPr="00EC2687" w:rsidTr="00A067A8">
        <w:trPr>
          <w:trHeight w:val="240"/>
          <w:jc w:val="center"/>
        </w:trPr>
        <w:tc>
          <w:tcPr>
            <w:tcW w:w="4370" w:type="dxa"/>
            <w:tcBorders>
              <w:top w:val="nil"/>
              <w:bottom w:val="nil"/>
            </w:tcBorders>
            <w:shd w:val="clear" w:color="auto" w:fill="F2F2F2"/>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Working capital cost</w:t>
            </w:r>
          </w:p>
        </w:tc>
        <w:tc>
          <w:tcPr>
            <w:tcW w:w="4655" w:type="dxa"/>
            <w:tcBorders>
              <w:top w:val="nil"/>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5.0% of fixed capital investment (excluding land)</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Depreciation schedule</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7-years MACRS schedule</w:t>
            </w:r>
          </w:p>
        </w:tc>
      </w:tr>
      <w:tr w:rsidR="00A067A8" w:rsidRPr="00EC2687" w:rsidTr="00A067A8">
        <w:trPr>
          <w:trHeight w:val="240"/>
          <w:jc w:val="center"/>
        </w:trPr>
        <w:tc>
          <w:tcPr>
            <w:tcW w:w="4370" w:type="dxa"/>
            <w:tcBorders>
              <w:top w:val="nil"/>
              <w:bottom w:val="nil"/>
            </w:tcBorders>
            <w:shd w:val="clear" w:color="auto" w:fill="F2F2F2"/>
          </w:tcPr>
          <w:p w:rsidR="00A067A8" w:rsidRPr="00EC2687" w:rsidRDefault="00A067A8" w:rsidP="00A067A8">
            <w:pPr>
              <w:tabs>
                <w:tab w:val="left" w:pos="360"/>
                <w:tab w:val="left" w:pos="720"/>
                <w:tab w:val="left" w:pos="1080"/>
              </w:tabs>
              <w:autoSpaceDE w:val="0"/>
              <w:autoSpaceDN w:val="0"/>
              <w:adjustRightInd w:val="0"/>
              <w:rPr>
                <w:bCs/>
                <w:color w:val="000000"/>
                <w:szCs w:val="22"/>
              </w:rPr>
            </w:pPr>
            <w:r w:rsidRPr="00EC2687">
              <w:rPr>
                <w:bCs/>
                <w:color w:val="000000"/>
                <w:szCs w:val="22"/>
              </w:rPr>
              <w:t>Construction period</w:t>
            </w:r>
          </w:p>
        </w:tc>
        <w:tc>
          <w:tcPr>
            <w:tcW w:w="4655" w:type="dxa"/>
            <w:tcBorders>
              <w:top w:val="nil"/>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3 years (8% 1</w:t>
            </w:r>
            <w:r w:rsidRPr="00EC2687">
              <w:rPr>
                <w:color w:val="000000"/>
                <w:szCs w:val="22"/>
                <w:vertAlign w:val="superscript"/>
              </w:rPr>
              <w:t>st</w:t>
            </w:r>
            <w:r w:rsidRPr="00EC2687">
              <w:rPr>
                <w:color w:val="000000"/>
                <w:szCs w:val="22"/>
              </w:rPr>
              <w:t xml:space="preserve"> </w:t>
            </w:r>
            <w:proofErr w:type="spellStart"/>
            <w:r w:rsidRPr="00EC2687">
              <w:rPr>
                <w:color w:val="000000"/>
                <w:szCs w:val="22"/>
              </w:rPr>
              <w:t>yr</w:t>
            </w:r>
            <w:proofErr w:type="spellEnd"/>
            <w:r w:rsidRPr="00EC2687">
              <w:rPr>
                <w:color w:val="000000"/>
                <w:szCs w:val="22"/>
              </w:rPr>
              <w:t>, 60% 2</w:t>
            </w:r>
            <w:r w:rsidRPr="00EC2687">
              <w:rPr>
                <w:color w:val="000000"/>
                <w:szCs w:val="22"/>
                <w:vertAlign w:val="superscript"/>
              </w:rPr>
              <w:t>nd</w:t>
            </w:r>
            <w:r w:rsidRPr="00EC2687">
              <w:rPr>
                <w:color w:val="000000"/>
                <w:szCs w:val="22"/>
              </w:rPr>
              <w:t xml:space="preserve"> </w:t>
            </w:r>
            <w:proofErr w:type="spellStart"/>
            <w:r w:rsidRPr="00EC2687">
              <w:rPr>
                <w:color w:val="000000"/>
                <w:szCs w:val="22"/>
              </w:rPr>
              <w:t>yr</w:t>
            </w:r>
            <w:proofErr w:type="spellEnd"/>
            <w:r w:rsidRPr="00EC2687">
              <w:rPr>
                <w:color w:val="000000"/>
                <w:szCs w:val="22"/>
              </w:rPr>
              <w:t>, 32% 3</w:t>
            </w:r>
            <w:r w:rsidRPr="00EC2687">
              <w:rPr>
                <w:color w:val="000000"/>
                <w:szCs w:val="22"/>
                <w:vertAlign w:val="superscript"/>
              </w:rPr>
              <w:t>rd</w:t>
            </w:r>
            <w:r w:rsidRPr="00EC2687">
              <w:rPr>
                <w:color w:val="000000"/>
                <w:szCs w:val="22"/>
              </w:rPr>
              <w:t xml:space="preserve"> </w:t>
            </w:r>
            <w:proofErr w:type="spellStart"/>
            <w:r w:rsidRPr="00EC2687">
              <w:rPr>
                <w:color w:val="000000"/>
                <w:szCs w:val="22"/>
              </w:rPr>
              <w:t>yr</w:t>
            </w:r>
            <w:proofErr w:type="spellEnd"/>
            <w:r w:rsidRPr="00EC2687">
              <w:rPr>
                <w:color w:val="000000"/>
                <w:szCs w:val="22"/>
              </w:rPr>
              <w:t>)</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Plant salvage value</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No value</w:t>
            </w:r>
          </w:p>
        </w:tc>
      </w:tr>
      <w:tr w:rsidR="00A067A8" w:rsidRPr="00EC2687" w:rsidTr="00A067A8">
        <w:trPr>
          <w:trHeight w:val="240"/>
          <w:jc w:val="center"/>
        </w:trPr>
        <w:tc>
          <w:tcPr>
            <w:tcW w:w="4370" w:type="dxa"/>
            <w:tcBorders>
              <w:top w:val="nil"/>
              <w:bottom w:val="nil"/>
            </w:tcBorders>
            <w:shd w:val="clear" w:color="auto" w:fill="F2F2F2"/>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Start-up time</w:t>
            </w:r>
          </w:p>
        </w:tc>
        <w:tc>
          <w:tcPr>
            <w:tcW w:w="4655" w:type="dxa"/>
            <w:tcBorders>
              <w:top w:val="nil"/>
              <w:bottom w:val="nil"/>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6 months</w:t>
            </w:r>
          </w:p>
        </w:tc>
      </w:tr>
      <w:tr w:rsidR="00A067A8" w:rsidRPr="00EC2687" w:rsidTr="00A067A8">
        <w:trPr>
          <w:trHeight w:val="240"/>
          <w:jc w:val="center"/>
        </w:trPr>
        <w:tc>
          <w:tcPr>
            <w:tcW w:w="4370" w:type="dxa"/>
            <w:tcBorders>
              <w:top w:val="nil"/>
              <w:bottom w:val="nil"/>
            </w:tcBorders>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Revenue and costs during start-up</w:t>
            </w:r>
          </w:p>
        </w:tc>
        <w:tc>
          <w:tcPr>
            <w:tcW w:w="4655" w:type="dxa"/>
            <w:tcBorders>
              <w:top w:val="nil"/>
              <w:bottom w:val="nil"/>
            </w:tcBorders>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Revenue = 50% of normal</w:t>
            </w:r>
          </w:p>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Variable costs = 75% of normal</w:t>
            </w:r>
          </w:p>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Fixed costs = 100% of normal</w:t>
            </w:r>
          </w:p>
        </w:tc>
      </w:tr>
      <w:tr w:rsidR="00A067A8" w:rsidRPr="00EC2687" w:rsidTr="00A067A8">
        <w:trPr>
          <w:trHeight w:val="240"/>
          <w:jc w:val="center"/>
        </w:trPr>
        <w:tc>
          <w:tcPr>
            <w:tcW w:w="4370" w:type="dxa"/>
            <w:tcBorders>
              <w:top w:val="nil"/>
              <w:bottom w:val="single" w:sz="8" w:space="0" w:color="A6A6A6"/>
            </w:tcBorders>
            <w:shd w:val="clear" w:color="auto" w:fill="F2F2F2"/>
          </w:tcPr>
          <w:p w:rsidR="00A067A8" w:rsidRPr="00EC2687" w:rsidRDefault="00A067A8" w:rsidP="00A067A8">
            <w:pPr>
              <w:tabs>
                <w:tab w:val="left" w:pos="360"/>
                <w:tab w:val="left" w:pos="720"/>
                <w:tab w:val="left" w:pos="1080"/>
              </w:tabs>
              <w:autoSpaceDE w:val="0"/>
              <w:autoSpaceDN w:val="0"/>
              <w:adjustRightInd w:val="0"/>
              <w:rPr>
                <w:color w:val="000000"/>
                <w:szCs w:val="22"/>
              </w:rPr>
            </w:pPr>
            <w:r w:rsidRPr="00EC2687">
              <w:rPr>
                <w:color w:val="000000"/>
                <w:szCs w:val="22"/>
              </w:rPr>
              <w:t xml:space="preserve">On-stream factor </w:t>
            </w:r>
          </w:p>
        </w:tc>
        <w:tc>
          <w:tcPr>
            <w:tcW w:w="4655" w:type="dxa"/>
            <w:tcBorders>
              <w:top w:val="nil"/>
              <w:bottom w:val="single" w:sz="8" w:space="0" w:color="A6A6A6"/>
            </w:tcBorders>
            <w:shd w:val="clear" w:color="auto" w:fill="F2F2F2"/>
          </w:tcPr>
          <w:p w:rsidR="00A067A8" w:rsidRPr="00EC2687" w:rsidRDefault="00A067A8" w:rsidP="00A067A8">
            <w:pPr>
              <w:tabs>
                <w:tab w:val="left" w:pos="360"/>
                <w:tab w:val="left" w:pos="720"/>
                <w:tab w:val="left" w:pos="1080"/>
                <w:tab w:val="left" w:pos="4540"/>
              </w:tabs>
              <w:autoSpaceDE w:val="0"/>
              <w:autoSpaceDN w:val="0"/>
              <w:adjustRightInd w:val="0"/>
              <w:jc w:val="right"/>
              <w:rPr>
                <w:color w:val="000000"/>
                <w:szCs w:val="22"/>
              </w:rPr>
            </w:pPr>
            <w:r w:rsidRPr="00EC2687">
              <w:rPr>
                <w:color w:val="000000"/>
                <w:szCs w:val="22"/>
              </w:rPr>
              <w:t>90% (7,884 operating hours per year)</w:t>
            </w:r>
          </w:p>
        </w:tc>
      </w:tr>
    </w:tbl>
    <w:p w:rsidR="00A067A8" w:rsidRPr="0038380E" w:rsidRDefault="00A067A8" w:rsidP="00A067A8"/>
    <w:p w:rsidR="00D02B72" w:rsidRPr="00AC74BD" w:rsidRDefault="00D02B72" w:rsidP="00AC74BD"/>
    <w:sectPr w:rsidR="00D02B72" w:rsidRPr="00AC74BD" w:rsidSect="00D02B72">
      <w:headerReference w:type="first" r:id="rId28"/>
      <w:pgSz w:w="12240" w:h="15840"/>
      <w:pgMar w:top="1440" w:right="1440" w:bottom="1440" w:left="1440" w:header="115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DC" w:rsidRDefault="00C57EDC" w:rsidP="00A95529">
      <w:r>
        <w:separator/>
      </w:r>
    </w:p>
  </w:endnote>
  <w:endnote w:type="continuationSeparator" w:id="0">
    <w:p w:rsidR="00C57EDC" w:rsidRDefault="00C57EDC" w:rsidP="00A9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Times-Roman">
    <w:panose1 w:val="00000000000000000000"/>
    <w:charset w:val="4D"/>
    <w:family w:val="auto"/>
    <w:notTrueType/>
    <w:pitch w:val="default"/>
    <w:sig w:usb0="00000003" w:usb1="00000000" w:usb2="00000000" w:usb3="00000000" w:csb0="00000001" w:csb1="00000000"/>
  </w:font>
  <w:font w:name="TimesNewRomanM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DC" w:rsidRDefault="00C57EDC" w:rsidP="00A95529">
      <w:r>
        <w:separator/>
      </w:r>
    </w:p>
  </w:footnote>
  <w:footnote w:type="continuationSeparator" w:id="0">
    <w:p w:rsidR="00C57EDC" w:rsidRDefault="00C57EDC" w:rsidP="00A95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A8" w:rsidRPr="00AC74BD" w:rsidRDefault="00A067A8" w:rsidP="00D02B72">
    <w:pPr>
      <w:tabs>
        <w:tab w:val="right" w:pos="9360"/>
      </w:tabs>
      <w:spacing w:before="1000"/>
      <w:rPr>
        <w:rFonts w:ascii="Arial" w:hAnsi="Arial"/>
        <w:b/>
        <w:sz w:val="16"/>
        <w:szCs w:val="16"/>
      </w:rPr>
    </w:pPr>
    <w:r w:rsidRPr="00AC74BD">
      <w:rPr>
        <w:noProof/>
        <w:sz w:val="16"/>
        <w:szCs w:val="16"/>
      </w:rPr>
      <w:drawing>
        <wp:anchor distT="0" distB="0" distL="0" distR="0" simplePos="0" relativeHeight="251660288" behindDoc="1" locked="0" layoutInCell="1" allowOverlap="1" wp14:anchorId="6FB036D1" wp14:editId="22AD2A19">
          <wp:simplePos x="0" y="0"/>
          <wp:positionH relativeFrom="page">
            <wp:posOffset>5286375</wp:posOffset>
          </wp:positionH>
          <wp:positionV relativeFrom="page">
            <wp:posOffset>26035</wp:posOffset>
          </wp:positionV>
          <wp:extent cx="2466975" cy="1373657"/>
          <wp:effectExtent l="0" t="0" r="0" b="0"/>
          <wp:wrapNone/>
          <wp:docPr id="5" name="Picture 5" descr="PNNL_Agenda_Logo_with_Endorsement_05-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NL_Agenda_Logo_with_Endorsement_05-13-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137365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16"/>
        <w:szCs w:val="16"/>
      </w:rPr>
      <w:tab/>
    </w:r>
  </w:p>
  <w:p w:rsidR="00A067A8" w:rsidRDefault="00A0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545F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F512E"/>
    <w:multiLevelType w:val="multilevel"/>
    <w:tmpl w:val="5F14D75E"/>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2477F78"/>
    <w:multiLevelType w:val="hybridMultilevel"/>
    <w:tmpl w:val="D464B444"/>
    <w:lvl w:ilvl="0" w:tplc="0409000F">
      <w:start w:val="1"/>
      <w:numFmt w:val="decimal"/>
      <w:lvlText w:val="%1."/>
      <w:lvlJc w:val="left"/>
      <w:pPr>
        <w:tabs>
          <w:tab w:val="num" w:pos="1513"/>
        </w:tabs>
        <w:ind w:left="1513" w:hanging="360"/>
      </w:pPr>
    </w:lvl>
    <w:lvl w:ilvl="1" w:tplc="04090019" w:tentative="1">
      <w:start w:val="1"/>
      <w:numFmt w:val="lowerLetter"/>
      <w:lvlText w:val="%2."/>
      <w:lvlJc w:val="left"/>
      <w:pPr>
        <w:tabs>
          <w:tab w:val="num" w:pos="2233"/>
        </w:tabs>
        <w:ind w:left="2233" w:hanging="360"/>
      </w:pPr>
    </w:lvl>
    <w:lvl w:ilvl="2" w:tplc="0409001B" w:tentative="1">
      <w:start w:val="1"/>
      <w:numFmt w:val="lowerRoman"/>
      <w:lvlText w:val="%3."/>
      <w:lvlJc w:val="right"/>
      <w:pPr>
        <w:tabs>
          <w:tab w:val="num" w:pos="2953"/>
        </w:tabs>
        <w:ind w:left="2953" w:hanging="180"/>
      </w:pPr>
    </w:lvl>
    <w:lvl w:ilvl="3" w:tplc="0409000F" w:tentative="1">
      <w:start w:val="1"/>
      <w:numFmt w:val="decimal"/>
      <w:lvlText w:val="%4."/>
      <w:lvlJc w:val="left"/>
      <w:pPr>
        <w:tabs>
          <w:tab w:val="num" w:pos="3673"/>
        </w:tabs>
        <w:ind w:left="3673" w:hanging="360"/>
      </w:pPr>
    </w:lvl>
    <w:lvl w:ilvl="4" w:tplc="04090019" w:tentative="1">
      <w:start w:val="1"/>
      <w:numFmt w:val="lowerLetter"/>
      <w:lvlText w:val="%5."/>
      <w:lvlJc w:val="left"/>
      <w:pPr>
        <w:tabs>
          <w:tab w:val="num" w:pos="4393"/>
        </w:tabs>
        <w:ind w:left="4393" w:hanging="360"/>
      </w:pPr>
    </w:lvl>
    <w:lvl w:ilvl="5" w:tplc="0409001B" w:tentative="1">
      <w:start w:val="1"/>
      <w:numFmt w:val="lowerRoman"/>
      <w:lvlText w:val="%6."/>
      <w:lvlJc w:val="right"/>
      <w:pPr>
        <w:tabs>
          <w:tab w:val="num" w:pos="5113"/>
        </w:tabs>
        <w:ind w:left="5113" w:hanging="180"/>
      </w:pPr>
    </w:lvl>
    <w:lvl w:ilvl="6" w:tplc="0409000F" w:tentative="1">
      <w:start w:val="1"/>
      <w:numFmt w:val="decimal"/>
      <w:lvlText w:val="%7."/>
      <w:lvlJc w:val="left"/>
      <w:pPr>
        <w:tabs>
          <w:tab w:val="num" w:pos="5833"/>
        </w:tabs>
        <w:ind w:left="5833" w:hanging="360"/>
      </w:pPr>
    </w:lvl>
    <w:lvl w:ilvl="7" w:tplc="04090019" w:tentative="1">
      <w:start w:val="1"/>
      <w:numFmt w:val="lowerLetter"/>
      <w:lvlText w:val="%8."/>
      <w:lvlJc w:val="left"/>
      <w:pPr>
        <w:tabs>
          <w:tab w:val="num" w:pos="6553"/>
        </w:tabs>
        <w:ind w:left="6553" w:hanging="360"/>
      </w:pPr>
    </w:lvl>
    <w:lvl w:ilvl="8" w:tplc="0409001B" w:tentative="1">
      <w:start w:val="1"/>
      <w:numFmt w:val="lowerRoman"/>
      <w:lvlText w:val="%9."/>
      <w:lvlJc w:val="right"/>
      <w:pPr>
        <w:tabs>
          <w:tab w:val="num" w:pos="7273"/>
        </w:tabs>
        <w:ind w:left="7273" w:hanging="180"/>
      </w:pPr>
    </w:lvl>
  </w:abstractNum>
  <w:abstractNum w:abstractNumId="3">
    <w:nsid w:val="04125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580EC8"/>
    <w:multiLevelType w:val="hybridMultilevel"/>
    <w:tmpl w:val="7DF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40BA9"/>
    <w:multiLevelType w:val="hybridMultilevel"/>
    <w:tmpl w:val="E24C1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7B2FC8"/>
    <w:multiLevelType w:val="hybridMultilevel"/>
    <w:tmpl w:val="1A1A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572F2"/>
    <w:multiLevelType w:val="hybridMultilevel"/>
    <w:tmpl w:val="03868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9B0788"/>
    <w:multiLevelType w:val="hybridMultilevel"/>
    <w:tmpl w:val="3AEA8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93C4B"/>
    <w:multiLevelType w:val="hybridMultilevel"/>
    <w:tmpl w:val="95C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D3995"/>
    <w:multiLevelType w:val="multilevel"/>
    <w:tmpl w:val="FD4871C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224142FE"/>
    <w:multiLevelType w:val="hybridMultilevel"/>
    <w:tmpl w:val="8BFE2D82"/>
    <w:lvl w:ilvl="0" w:tplc="04090001">
      <w:start w:val="1"/>
      <w:numFmt w:val="bullet"/>
      <w:lvlText w:val=""/>
      <w:lvlJc w:val="left"/>
      <w:pPr>
        <w:ind w:left="3162" w:hanging="360"/>
      </w:pPr>
      <w:rPr>
        <w:rFonts w:ascii="Symbol" w:hAnsi="Symbol" w:hint="default"/>
      </w:rPr>
    </w:lvl>
    <w:lvl w:ilvl="1" w:tplc="04090003" w:tentative="1">
      <w:start w:val="1"/>
      <w:numFmt w:val="bullet"/>
      <w:lvlText w:val="o"/>
      <w:lvlJc w:val="left"/>
      <w:pPr>
        <w:ind w:left="3882" w:hanging="360"/>
      </w:pPr>
      <w:rPr>
        <w:rFonts w:ascii="Courier New" w:hAnsi="Courier New" w:cs="Courier New" w:hint="default"/>
      </w:rPr>
    </w:lvl>
    <w:lvl w:ilvl="2" w:tplc="04090005" w:tentative="1">
      <w:start w:val="1"/>
      <w:numFmt w:val="bullet"/>
      <w:lvlText w:val=""/>
      <w:lvlJc w:val="left"/>
      <w:pPr>
        <w:ind w:left="4602" w:hanging="360"/>
      </w:pPr>
      <w:rPr>
        <w:rFonts w:ascii="Wingdings" w:hAnsi="Wingdings" w:hint="default"/>
      </w:rPr>
    </w:lvl>
    <w:lvl w:ilvl="3" w:tplc="04090001" w:tentative="1">
      <w:start w:val="1"/>
      <w:numFmt w:val="bullet"/>
      <w:lvlText w:val=""/>
      <w:lvlJc w:val="left"/>
      <w:pPr>
        <w:ind w:left="5322" w:hanging="360"/>
      </w:pPr>
      <w:rPr>
        <w:rFonts w:ascii="Symbol" w:hAnsi="Symbol" w:hint="default"/>
      </w:rPr>
    </w:lvl>
    <w:lvl w:ilvl="4" w:tplc="04090003" w:tentative="1">
      <w:start w:val="1"/>
      <w:numFmt w:val="bullet"/>
      <w:lvlText w:val="o"/>
      <w:lvlJc w:val="left"/>
      <w:pPr>
        <w:ind w:left="6042" w:hanging="360"/>
      </w:pPr>
      <w:rPr>
        <w:rFonts w:ascii="Courier New" w:hAnsi="Courier New" w:cs="Courier New" w:hint="default"/>
      </w:rPr>
    </w:lvl>
    <w:lvl w:ilvl="5" w:tplc="04090005" w:tentative="1">
      <w:start w:val="1"/>
      <w:numFmt w:val="bullet"/>
      <w:lvlText w:val=""/>
      <w:lvlJc w:val="left"/>
      <w:pPr>
        <w:ind w:left="6762" w:hanging="360"/>
      </w:pPr>
      <w:rPr>
        <w:rFonts w:ascii="Wingdings" w:hAnsi="Wingdings" w:hint="default"/>
      </w:rPr>
    </w:lvl>
    <w:lvl w:ilvl="6" w:tplc="04090001" w:tentative="1">
      <w:start w:val="1"/>
      <w:numFmt w:val="bullet"/>
      <w:lvlText w:val=""/>
      <w:lvlJc w:val="left"/>
      <w:pPr>
        <w:ind w:left="7482" w:hanging="360"/>
      </w:pPr>
      <w:rPr>
        <w:rFonts w:ascii="Symbol" w:hAnsi="Symbol" w:hint="default"/>
      </w:rPr>
    </w:lvl>
    <w:lvl w:ilvl="7" w:tplc="04090003" w:tentative="1">
      <w:start w:val="1"/>
      <w:numFmt w:val="bullet"/>
      <w:lvlText w:val="o"/>
      <w:lvlJc w:val="left"/>
      <w:pPr>
        <w:ind w:left="8202" w:hanging="360"/>
      </w:pPr>
      <w:rPr>
        <w:rFonts w:ascii="Courier New" w:hAnsi="Courier New" w:cs="Courier New" w:hint="default"/>
      </w:rPr>
    </w:lvl>
    <w:lvl w:ilvl="8" w:tplc="04090005" w:tentative="1">
      <w:start w:val="1"/>
      <w:numFmt w:val="bullet"/>
      <w:lvlText w:val=""/>
      <w:lvlJc w:val="left"/>
      <w:pPr>
        <w:ind w:left="8922" w:hanging="360"/>
      </w:pPr>
      <w:rPr>
        <w:rFonts w:ascii="Wingdings" w:hAnsi="Wingdings" w:hint="default"/>
      </w:rPr>
    </w:lvl>
  </w:abstractNum>
  <w:abstractNum w:abstractNumId="12">
    <w:nsid w:val="27A175CE"/>
    <w:multiLevelType w:val="hybridMultilevel"/>
    <w:tmpl w:val="55040934"/>
    <w:lvl w:ilvl="0" w:tplc="93780BDA">
      <w:start w:val="1"/>
      <w:numFmt w:val="bullet"/>
      <w:lvlText w:val=""/>
      <w:lvlJc w:val="left"/>
      <w:pPr>
        <w:tabs>
          <w:tab w:val="num" w:pos="720"/>
        </w:tabs>
        <w:ind w:left="720" w:hanging="360"/>
      </w:pPr>
      <w:rPr>
        <w:rFonts w:ascii="Wingdings" w:hAnsi="Wingdings" w:hint="default"/>
      </w:rPr>
    </w:lvl>
    <w:lvl w:ilvl="1" w:tplc="02F4C6B8" w:tentative="1">
      <w:start w:val="1"/>
      <w:numFmt w:val="bullet"/>
      <w:lvlText w:val=""/>
      <w:lvlJc w:val="left"/>
      <w:pPr>
        <w:tabs>
          <w:tab w:val="num" w:pos="1440"/>
        </w:tabs>
        <w:ind w:left="1440" w:hanging="360"/>
      </w:pPr>
      <w:rPr>
        <w:rFonts w:ascii="Wingdings" w:hAnsi="Wingdings" w:hint="default"/>
      </w:rPr>
    </w:lvl>
    <w:lvl w:ilvl="2" w:tplc="223A646A" w:tentative="1">
      <w:start w:val="1"/>
      <w:numFmt w:val="bullet"/>
      <w:lvlText w:val=""/>
      <w:lvlJc w:val="left"/>
      <w:pPr>
        <w:tabs>
          <w:tab w:val="num" w:pos="2160"/>
        </w:tabs>
        <w:ind w:left="2160" w:hanging="360"/>
      </w:pPr>
      <w:rPr>
        <w:rFonts w:ascii="Wingdings" w:hAnsi="Wingdings" w:hint="default"/>
      </w:rPr>
    </w:lvl>
    <w:lvl w:ilvl="3" w:tplc="C2B07692" w:tentative="1">
      <w:start w:val="1"/>
      <w:numFmt w:val="bullet"/>
      <w:lvlText w:val=""/>
      <w:lvlJc w:val="left"/>
      <w:pPr>
        <w:tabs>
          <w:tab w:val="num" w:pos="2880"/>
        </w:tabs>
        <w:ind w:left="2880" w:hanging="360"/>
      </w:pPr>
      <w:rPr>
        <w:rFonts w:ascii="Wingdings" w:hAnsi="Wingdings" w:hint="default"/>
      </w:rPr>
    </w:lvl>
    <w:lvl w:ilvl="4" w:tplc="44EA5986" w:tentative="1">
      <w:start w:val="1"/>
      <w:numFmt w:val="bullet"/>
      <w:lvlText w:val=""/>
      <w:lvlJc w:val="left"/>
      <w:pPr>
        <w:tabs>
          <w:tab w:val="num" w:pos="3600"/>
        </w:tabs>
        <w:ind w:left="3600" w:hanging="360"/>
      </w:pPr>
      <w:rPr>
        <w:rFonts w:ascii="Wingdings" w:hAnsi="Wingdings" w:hint="default"/>
      </w:rPr>
    </w:lvl>
    <w:lvl w:ilvl="5" w:tplc="E10AEEBA" w:tentative="1">
      <w:start w:val="1"/>
      <w:numFmt w:val="bullet"/>
      <w:lvlText w:val=""/>
      <w:lvlJc w:val="left"/>
      <w:pPr>
        <w:tabs>
          <w:tab w:val="num" w:pos="4320"/>
        </w:tabs>
        <w:ind w:left="4320" w:hanging="360"/>
      </w:pPr>
      <w:rPr>
        <w:rFonts w:ascii="Wingdings" w:hAnsi="Wingdings" w:hint="default"/>
      </w:rPr>
    </w:lvl>
    <w:lvl w:ilvl="6" w:tplc="186A212A" w:tentative="1">
      <w:start w:val="1"/>
      <w:numFmt w:val="bullet"/>
      <w:lvlText w:val=""/>
      <w:lvlJc w:val="left"/>
      <w:pPr>
        <w:tabs>
          <w:tab w:val="num" w:pos="5040"/>
        </w:tabs>
        <w:ind w:left="5040" w:hanging="360"/>
      </w:pPr>
      <w:rPr>
        <w:rFonts w:ascii="Wingdings" w:hAnsi="Wingdings" w:hint="default"/>
      </w:rPr>
    </w:lvl>
    <w:lvl w:ilvl="7" w:tplc="CAB65D60" w:tentative="1">
      <w:start w:val="1"/>
      <w:numFmt w:val="bullet"/>
      <w:lvlText w:val=""/>
      <w:lvlJc w:val="left"/>
      <w:pPr>
        <w:tabs>
          <w:tab w:val="num" w:pos="5760"/>
        </w:tabs>
        <w:ind w:left="5760" w:hanging="360"/>
      </w:pPr>
      <w:rPr>
        <w:rFonts w:ascii="Wingdings" w:hAnsi="Wingdings" w:hint="default"/>
      </w:rPr>
    </w:lvl>
    <w:lvl w:ilvl="8" w:tplc="999A43AC" w:tentative="1">
      <w:start w:val="1"/>
      <w:numFmt w:val="bullet"/>
      <w:lvlText w:val=""/>
      <w:lvlJc w:val="left"/>
      <w:pPr>
        <w:tabs>
          <w:tab w:val="num" w:pos="6480"/>
        </w:tabs>
        <w:ind w:left="6480" w:hanging="360"/>
      </w:pPr>
      <w:rPr>
        <w:rFonts w:ascii="Wingdings" w:hAnsi="Wingdings" w:hint="default"/>
      </w:rPr>
    </w:lvl>
  </w:abstractNum>
  <w:abstractNum w:abstractNumId="13">
    <w:nsid w:val="2B977782"/>
    <w:multiLevelType w:val="hybridMultilevel"/>
    <w:tmpl w:val="0374BE3A"/>
    <w:lvl w:ilvl="0" w:tplc="30CA1C06">
      <w:start w:val="1"/>
      <w:numFmt w:val="bullet"/>
      <w:lvlText w:val=""/>
      <w:lvlJc w:val="left"/>
      <w:pPr>
        <w:tabs>
          <w:tab w:val="num" w:pos="720"/>
        </w:tabs>
        <w:ind w:left="720" w:hanging="360"/>
      </w:pPr>
      <w:rPr>
        <w:rFonts w:ascii="Wingdings" w:hAnsi="Wingdings" w:hint="default"/>
      </w:rPr>
    </w:lvl>
    <w:lvl w:ilvl="1" w:tplc="8188C834" w:tentative="1">
      <w:start w:val="1"/>
      <w:numFmt w:val="bullet"/>
      <w:lvlText w:val=""/>
      <w:lvlJc w:val="left"/>
      <w:pPr>
        <w:tabs>
          <w:tab w:val="num" w:pos="1440"/>
        </w:tabs>
        <w:ind w:left="1440" w:hanging="360"/>
      </w:pPr>
      <w:rPr>
        <w:rFonts w:ascii="Wingdings" w:hAnsi="Wingdings" w:hint="default"/>
      </w:rPr>
    </w:lvl>
    <w:lvl w:ilvl="2" w:tplc="002CDC92" w:tentative="1">
      <w:start w:val="1"/>
      <w:numFmt w:val="bullet"/>
      <w:lvlText w:val=""/>
      <w:lvlJc w:val="left"/>
      <w:pPr>
        <w:tabs>
          <w:tab w:val="num" w:pos="2160"/>
        </w:tabs>
        <w:ind w:left="2160" w:hanging="360"/>
      </w:pPr>
      <w:rPr>
        <w:rFonts w:ascii="Wingdings" w:hAnsi="Wingdings" w:hint="default"/>
      </w:rPr>
    </w:lvl>
    <w:lvl w:ilvl="3" w:tplc="5BC4CA92" w:tentative="1">
      <w:start w:val="1"/>
      <w:numFmt w:val="bullet"/>
      <w:lvlText w:val=""/>
      <w:lvlJc w:val="left"/>
      <w:pPr>
        <w:tabs>
          <w:tab w:val="num" w:pos="2880"/>
        </w:tabs>
        <w:ind w:left="2880" w:hanging="360"/>
      </w:pPr>
      <w:rPr>
        <w:rFonts w:ascii="Wingdings" w:hAnsi="Wingdings" w:hint="default"/>
      </w:rPr>
    </w:lvl>
    <w:lvl w:ilvl="4" w:tplc="CEA66090" w:tentative="1">
      <w:start w:val="1"/>
      <w:numFmt w:val="bullet"/>
      <w:lvlText w:val=""/>
      <w:lvlJc w:val="left"/>
      <w:pPr>
        <w:tabs>
          <w:tab w:val="num" w:pos="3600"/>
        </w:tabs>
        <w:ind w:left="3600" w:hanging="360"/>
      </w:pPr>
      <w:rPr>
        <w:rFonts w:ascii="Wingdings" w:hAnsi="Wingdings" w:hint="default"/>
      </w:rPr>
    </w:lvl>
    <w:lvl w:ilvl="5" w:tplc="1272093E" w:tentative="1">
      <w:start w:val="1"/>
      <w:numFmt w:val="bullet"/>
      <w:lvlText w:val=""/>
      <w:lvlJc w:val="left"/>
      <w:pPr>
        <w:tabs>
          <w:tab w:val="num" w:pos="4320"/>
        </w:tabs>
        <w:ind w:left="4320" w:hanging="360"/>
      </w:pPr>
      <w:rPr>
        <w:rFonts w:ascii="Wingdings" w:hAnsi="Wingdings" w:hint="default"/>
      </w:rPr>
    </w:lvl>
    <w:lvl w:ilvl="6" w:tplc="D68A2224" w:tentative="1">
      <w:start w:val="1"/>
      <w:numFmt w:val="bullet"/>
      <w:lvlText w:val=""/>
      <w:lvlJc w:val="left"/>
      <w:pPr>
        <w:tabs>
          <w:tab w:val="num" w:pos="5040"/>
        </w:tabs>
        <w:ind w:left="5040" w:hanging="360"/>
      </w:pPr>
      <w:rPr>
        <w:rFonts w:ascii="Wingdings" w:hAnsi="Wingdings" w:hint="default"/>
      </w:rPr>
    </w:lvl>
    <w:lvl w:ilvl="7" w:tplc="34E6EC82" w:tentative="1">
      <w:start w:val="1"/>
      <w:numFmt w:val="bullet"/>
      <w:lvlText w:val=""/>
      <w:lvlJc w:val="left"/>
      <w:pPr>
        <w:tabs>
          <w:tab w:val="num" w:pos="5760"/>
        </w:tabs>
        <w:ind w:left="5760" w:hanging="360"/>
      </w:pPr>
      <w:rPr>
        <w:rFonts w:ascii="Wingdings" w:hAnsi="Wingdings" w:hint="default"/>
      </w:rPr>
    </w:lvl>
    <w:lvl w:ilvl="8" w:tplc="FB56DD74" w:tentative="1">
      <w:start w:val="1"/>
      <w:numFmt w:val="bullet"/>
      <w:lvlText w:val=""/>
      <w:lvlJc w:val="left"/>
      <w:pPr>
        <w:tabs>
          <w:tab w:val="num" w:pos="6480"/>
        </w:tabs>
        <w:ind w:left="6480" w:hanging="360"/>
      </w:pPr>
      <w:rPr>
        <w:rFonts w:ascii="Wingdings" w:hAnsi="Wingdings" w:hint="default"/>
      </w:rPr>
    </w:lvl>
  </w:abstractNum>
  <w:abstractNum w:abstractNumId="14">
    <w:nsid w:val="2CAA2ECC"/>
    <w:multiLevelType w:val="hybridMultilevel"/>
    <w:tmpl w:val="4C80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B5E18"/>
    <w:multiLevelType w:val="hybridMultilevel"/>
    <w:tmpl w:val="0D46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07F4E"/>
    <w:multiLevelType w:val="hybridMultilevel"/>
    <w:tmpl w:val="2FF0839C"/>
    <w:lvl w:ilvl="0" w:tplc="465A7016">
      <w:start w:val="1"/>
      <w:numFmt w:val="bullet"/>
      <w:lvlText w:val="–"/>
      <w:lvlJc w:val="left"/>
      <w:pPr>
        <w:tabs>
          <w:tab w:val="num" w:pos="1513"/>
        </w:tabs>
        <w:ind w:left="1513" w:hanging="360"/>
      </w:pPr>
      <w:rPr>
        <w:rFonts w:ascii="Arial" w:hAnsi="Arial" w:hint="default"/>
      </w:rPr>
    </w:lvl>
    <w:lvl w:ilvl="1" w:tplc="04090019">
      <w:start w:val="1"/>
      <w:numFmt w:val="lowerLetter"/>
      <w:lvlText w:val="%2."/>
      <w:lvlJc w:val="left"/>
      <w:pPr>
        <w:tabs>
          <w:tab w:val="num" w:pos="2233"/>
        </w:tabs>
        <w:ind w:left="2233" w:hanging="360"/>
      </w:pPr>
    </w:lvl>
    <w:lvl w:ilvl="2" w:tplc="0409001B" w:tentative="1">
      <w:start w:val="1"/>
      <w:numFmt w:val="lowerRoman"/>
      <w:lvlText w:val="%3."/>
      <w:lvlJc w:val="right"/>
      <w:pPr>
        <w:tabs>
          <w:tab w:val="num" w:pos="2953"/>
        </w:tabs>
        <w:ind w:left="2953" w:hanging="180"/>
      </w:pPr>
    </w:lvl>
    <w:lvl w:ilvl="3" w:tplc="0409000F" w:tentative="1">
      <w:start w:val="1"/>
      <w:numFmt w:val="decimal"/>
      <w:lvlText w:val="%4."/>
      <w:lvlJc w:val="left"/>
      <w:pPr>
        <w:tabs>
          <w:tab w:val="num" w:pos="3673"/>
        </w:tabs>
        <w:ind w:left="3673" w:hanging="360"/>
      </w:pPr>
    </w:lvl>
    <w:lvl w:ilvl="4" w:tplc="04090019" w:tentative="1">
      <w:start w:val="1"/>
      <w:numFmt w:val="lowerLetter"/>
      <w:lvlText w:val="%5."/>
      <w:lvlJc w:val="left"/>
      <w:pPr>
        <w:tabs>
          <w:tab w:val="num" w:pos="4393"/>
        </w:tabs>
        <w:ind w:left="4393" w:hanging="360"/>
      </w:pPr>
    </w:lvl>
    <w:lvl w:ilvl="5" w:tplc="0409001B" w:tentative="1">
      <w:start w:val="1"/>
      <w:numFmt w:val="lowerRoman"/>
      <w:lvlText w:val="%6."/>
      <w:lvlJc w:val="right"/>
      <w:pPr>
        <w:tabs>
          <w:tab w:val="num" w:pos="5113"/>
        </w:tabs>
        <w:ind w:left="5113" w:hanging="180"/>
      </w:pPr>
    </w:lvl>
    <w:lvl w:ilvl="6" w:tplc="0409000F" w:tentative="1">
      <w:start w:val="1"/>
      <w:numFmt w:val="decimal"/>
      <w:lvlText w:val="%7."/>
      <w:lvlJc w:val="left"/>
      <w:pPr>
        <w:tabs>
          <w:tab w:val="num" w:pos="5833"/>
        </w:tabs>
        <w:ind w:left="5833" w:hanging="360"/>
      </w:pPr>
    </w:lvl>
    <w:lvl w:ilvl="7" w:tplc="04090019" w:tentative="1">
      <w:start w:val="1"/>
      <w:numFmt w:val="lowerLetter"/>
      <w:lvlText w:val="%8."/>
      <w:lvlJc w:val="left"/>
      <w:pPr>
        <w:tabs>
          <w:tab w:val="num" w:pos="6553"/>
        </w:tabs>
        <w:ind w:left="6553" w:hanging="360"/>
      </w:pPr>
    </w:lvl>
    <w:lvl w:ilvl="8" w:tplc="0409001B" w:tentative="1">
      <w:start w:val="1"/>
      <w:numFmt w:val="lowerRoman"/>
      <w:lvlText w:val="%9."/>
      <w:lvlJc w:val="right"/>
      <w:pPr>
        <w:tabs>
          <w:tab w:val="num" w:pos="7273"/>
        </w:tabs>
        <w:ind w:left="7273" w:hanging="180"/>
      </w:pPr>
    </w:lvl>
  </w:abstractNum>
  <w:abstractNum w:abstractNumId="17">
    <w:nsid w:val="33BA275E"/>
    <w:multiLevelType w:val="hybridMultilevel"/>
    <w:tmpl w:val="2FF0839C"/>
    <w:lvl w:ilvl="0" w:tplc="0409000D">
      <w:start w:val="1"/>
      <w:numFmt w:val="bullet"/>
      <w:lvlText w:val=""/>
      <w:lvlJc w:val="left"/>
      <w:pPr>
        <w:tabs>
          <w:tab w:val="num" w:pos="1513"/>
        </w:tabs>
        <w:ind w:left="1513" w:hanging="360"/>
      </w:pPr>
      <w:rPr>
        <w:rFonts w:ascii="Wingdings" w:hAnsi="Wingdings" w:hint="default"/>
      </w:rPr>
    </w:lvl>
    <w:lvl w:ilvl="1" w:tplc="04090019">
      <w:start w:val="1"/>
      <w:numFmt w:val="lowerLetter"/>
      <w:lvlText w:val="%2."/>
      <w:lvlJc w:val="left"/>
      <w:pPr>
        <w:tabs>
          <w:tab w:val="num" w:pos="2233"/>
        </w:tabs>
        <w:ind w:left="2233" w:hanging="360"/>
      </w:pPr>
    </w:lvl>
    <w:lvl w:ilvl="2" w:tplc="0409001B" w:tentative="1">
      <w:start w:val="1"/>
      <w:numFmt w:val="lowerRoman"/>
      <w:lvlText w:val="%3."/>
      <w:lvlJc w:val="right"/>
      <w:pPr>
        <w:tabs>
          <w:tab w:val="num" w:pos="2953"/>
        </w:tabs>
        <w:ind w:left="2953" w:hanging="180"/>
      </w:pPr>
    </w:lvl>
    <w:lvl w:ilvl="3" w:tplc="0409000F" w:tentative="1">
      <w:start w:val="1"/>
      <w:numFmt w:val="decimal"/>
      <w:lvlText w:val="%4."/>
      <w:lvlJc w:val="left"/>
      <w:pPr>
        <w:tabs>
          <w:tab w:val="num" w:pos="3673"/>
        </w:tabs>
        <w:ind w:left="3673" w:hanging="360"/>
      </w:pPr>
    </w:lvl>
    <w:lvl w:ilvl="4" w:tplc="04090019" w:tentative="1">
      <w:start w:val="1"/>
      <w:numFmt w:val="lowerLetter"/>
      <w:lvlText w:val="%5."/>
      <w:lvlJc w:val="left"/>
      <w:pPr>
        <w:tabs>
          <w:tab w:val="num" w:pos="4393"/>
        </w:tabs>
        <w:ind w:left="4393" w:hanging="360"/>
      </w:pPr>
    </w:lvl>
    <w:lvl w:ilvl="5" w:tplc="0409001B" w:tentative="1">
      <w:start w:val="1"/>
      <w:numFmt w:val="lowerRoman"/>
      <w:lvlText w:val="%6."/>
      <w:lvlJc w:val="right"/>
      <w:pPr>
        <w:tabs>
          <w:tab w:val="num" w:pos="5113"/>
        </w:tabs>
        <w:ind w:left="5113" w:hanging="180"/>
      </w:pPr>
    </w:lvl>
    <w:lvl w:ilvl="6" w:tplc="0409000F" w:tentative="1">
      <w:start w:val="1"/>
      <w:numFmt w:val="decimal"/>
      <w:lvlText w:val="%7."/>
      <w:lvlJc w:val="left"/>
      <w:pPr>
        <w:tabs>
          <w:tab w:val="num" w:pos="5833"/>
        </w:tabs>
        <w:ind w:left="5833" w:hanging="360"/>
      </w:pPr>
    </w:lvl>
    <w:lvl w:ilvl="7" w:tplc="04090019" w:tentative="1">
      <w:start w:val="1"/>
      <w:numFmt w:val="lowerLetter"/>
      <w:lvlText w:val="%8."/>
      <w:lvlJc w:val="left"/>
      <w:pPr>
        <w:tabs>
          <w:tab w:val="num" w:pos="6553"/>
        </w:tabs>
        <w:ind w:left="6553" w:hanging="360"/>
      </w:pPr>
    </w:lvl>
    <w:lvl w:ilvl="8" w:tplc="0409001B" w:tentative="1">
      <w:start w:val="1"/>
      <w:numFmt w:val="lowerRoman"/>
      <w:lvlText w:val="%9."/>
      <w:lvlJc w:val="right"/>
      <w:pPr>
        <w:tabs>
          <w:tab w:val="num" w:pos="7273"/>
        </w:tabs>
        <w:ind w:left="7273" w:hanging="180"/>
      </w:pPr>
    </w:lvl>
  </w:abstractNum>
  <w:abstractNum w:abstractNumId="18">
    <w:nsid w:val="3EC00588"/>
    <w:multiLevelType w:val="hybridMultilevel"/>
    <w:tmpl w:val="D5385CF4"/>
    <w:lvl w:ilvl="0" w:tplc="04090001">
      <w:start w:val="1"/>
      <w:numFmt w:val="bullet"/>
      <w:lvlText w:val=""/>
      <w:lvlJc w:val="left"/>
      <w:pPr>
        <w:tabs>
          <w:tab w:val="num" w:pos="1440"/>
        </w:tabs>
        <w:ind w:left="1440" w:hanging="360"/>
      </w:pPr>
      <w:rPr>
        <w:rFonts w:ascii="Symbol" w:hAnsi="Symbol" w:hint="default"/>
      </w:rPr>
    </w:lvl>
    <w:lvl w:ilvl="1" w:tplc="465A7016">
      <w:start w:val="1"/>
      <w:numFmt w:val="bullet"/>
      <w:lvlText w:val="–"/>
      <w:lvlJc w:val="left"/>
      <w:pPr>
        <w:tabs>
          <w:tab w:val="num" w:pos="2160"/>
        </w:tabs>
        <w:ind w:left="2160" w:hanging="360"/>
      </w:pPr>
      <w:rPr>
        <w:rFonts w:ascii="Arial" w:hAnsi="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F1E25CE"/>
    <w:multiLevelType w:val="hybridMultilevel"/>
    <w:tmpl w:val="1F48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15D3A"/>
    <w:multiLevelType w:val="hybridMultilevel"/>
    <w:tmpl w:val="995A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EE2E31"/>
    <w:multiLevelType w:val="hybridMultilevel"/>
    <w:tmpl w:val="6ED6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37C13"/>
    <w:multiLevelType w:val="hybridMultilevel"/>
    <w:tmpl w:val="03040F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411AB"/>
    <w:multiLevelType w:val="hybridMultilevel"/>
    <w:tmpl w:val="3D040F30"/>
    <w:lvl w:ilvl="0" w:tplc="F1AE5256">
      <w:start w:val="2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4C1121"/>
    <w:multiLevelType w:val="multilevel"/>
    <w:tmpl w:val="6FA8F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2EC2643"/>
    <w:multiLevelType w:val="hybridMultilevel"/>
    <w:tmpl w:val="3EAE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0C6A1B"/>
    <w:multiLevelType w:val="hybridMultilevel"/>
    <w:tmpl w:val="C3F4EF02"/>
    <w:lvl w:ilvl="0" w:tplc="E80EF89E">
      <w:start w:val="1"/>
      <w:numFmt w:val="bullet"/>
      <w:lvlText w:val=""/>
      <w:lvlJc w:val="left"/>
      <w:pPr>
        <w:tabs>
          <w:tab w:val="num" w:pos="720"/>
        </w:tabs>
        <w:ind w:left="720" w:hanging="360"/>
      </w:pPr>
      <w:rPr>
        <w:rFonts w:ascii="Wingdings" w:hAnsi="Wingdings" w:hint="default"/>
      </w:rPr>
    </w:lvl>
    <w:lvl w:ilvl="1" w:tplc="626E91E0" w:tentative="1">
      <w:start w:val="1"/>
      <w:numFmt w:val="bullet"/>
      <w:lvlText w:val=""/>
      <w:lvlJc w:val="left"/>
      <w:pPr>
        <w:tabs>
          <w:tab w:val="num" w:pos="1440"/>
        </w:tabs>
        <w:ind w:left="1440" w:hanging="360"/>
      </w:pPr>
      <w:rPr>
        <w:rFonts w:ascii="Wingdings" w:hAnsi="Wingdings" w:hint="default"/>
      </w:rPr>
    </w:lvl>
    <w:lvl w:ilvl="2" w:tplc="C55CCDD4" w:tentative="1">
      <w:start w:val="1"/>
      <w:numFmt w:val="bullet"/>
      <w:lvlText w:val=""/>
      <w:lvlJc w:val="left"/>
      <w:pPr>
        <w:tabs>
          <w:tab w:val="num" w:pos="2160"/>
        </w:tabs>
        <w:ind w:left="2160" w:hanging="360"/>
      </w:pPr>
      <w:rPr>
        <w:rFonts w:ascii="Wingdings" w:hAnsi="Wingdings" w:hint="default"/>
      </w:rPr>
    </w:lvl>
    <w:lvl w:ilvl="3" w:tplc="CABE600E" w:tentative="1">
      <w:start w:val="1"/>
      <w:numFmt w:val="bullet"/>
      <w:lvlText w:val=""/>
      <w:lvlJc w:val="left"/>
      <w:pPr>
        <w:tabs>
          <w:tab w:val="num" w:pos="2880"/>
        </w:tabs>
        <w:ind w:left="2880" w:hanging="360"/>
      </w:pPr>
      <w:rPr>
        <w:rFonts w:ascii="Wingdings" w:hAnsi="Wingdings" w:hint="default"/>
      </w:rPr>
    </w:lvl>
    <w:lvl w:ilvl="4" w:tplc="72665244" w:tentative="1">
      <w:start w:val="1"/>
      <w:numFmt w:val="bullet"/>
      <w:lvlText w:val=""/>
      <w:lvlJc w:val="left"/>
      <w:pPr>
        <w:tabs>
          <w:tab w:val="num" w:pos="3600"/>
        </w:tabs>
        <w:ind w:left="3600" w:hanging="360"/>
      </w:pPr>
      <w:rPr>
        <w:rFonts w:ascii="Wingdings" w:hAnsi="Wingdings" w:hint="default"/>
      </w:rPr>
    </w:lvl>
    <w:lvl w:ilvl="5" w:tplc="87ECE0F8" w:tentative="1">
      <w:start w:val="1"/>
      <w:numFmt w:val="bullet"/>
      <w:lvlText w:val=""/>
      <w:lvlJc w:val="left"/>
      <w:pPr>
        <w:tabs>
          <w:tab w:val="num" w:pos="4320"/>
        </w:tabs>
        <w:ind w:left="4320" w:hanging="360"/>
      </w:pPr>
      <w:rPr>
        <w:rFonts w:ascii="Wingdings" w:hAnsi="Wingdings" w:hint="default"/>
      </w:rPr>
    </w:lvl>
    <w:lvl w:ilvl="6" w:tplc="0742EF04" w:tentative="1">
      <w:start w:val="1"/>
      <w:numFmt w:val="bullet"/>
      <w:lvlText w:val=""/>
      <w:lvlJc w:val="left"/>
      <w:pPr>
        <w:tabs>
          <w:tab w:val="num" w:pos="5040"/>
        </w:tabs>
        <w:ind w:left="5040" w:hanging="360"/>
      </w:pPr>
      <w:rPr>
        <w:rFonts w:ascii="Wingdings" w:hAnsi="Wingdings" w:hint="default"/>
      </w:rPr>
    </w:lvl>
    <w:lvl w:ilvl="7" w:tplc="0FA0BD46" w:tentative="1">
      <w:start w:val="1"/>
      <w:numFmt w:val="bullet"/>
      <w:lvlText w:val=""/>
      <w:lvlJc w:val="left"/>
      <w:pPr>
        <w:tabs>
          <w:tab w:val="num" w:pos="5760"/>
        </w:tabs>
        <w:ind w:left="5760" w:hanging="360"/>
      </w:pPr>
      <w:rPr>
        <w:rFonts w:ascii="Wingdings" w:hAnsi="Wingdings" w:hint="default"/>
      </w:rPr>
    </w:lvl>
    <w:lvl w:ilvl="8" w:tplc="ABB0F74C" w:tentative="1">
      <w:start w:val="1"/>
      <w:numFmt w:val="bullet"/>
      <w:lvlText w:val=""/>
      <w:lvlJc w:val="left"/>
      <w:pPr>
        <w:tabs>
          <w:tab w:val="num" w:pos="6480"/>
        </w:tabs>
        <w:ind w:left="6480" w:hanging="360"/>
      </w:pPr>
      <w:rPr>
        <w:rFonts w:ascii="Wingdings" w:hAnsi="Wingdings" w:hint="default"/>
      </w:rPr>
    </w:lvl>
  </w:abstractNum>
  <w:abstractNum w:abstractNumId="27">
    <w:nsid w:val="44AC34E5"/>
    <w:multiLevelType w:val="multilevel"/>
    <w:tmpl w:val="7FBCC2A4"/>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8">
    <w:nsid w:val="505F178F"/>
    <w:multiLevelType w:val="hybridMultilevel"/>
    <w:tmpl w:val="FD4871C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4476D16"/>
    <w:multiLevelType w:val="hybridMultilevel"/>
    <w:tmpl w:val="543C1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83F7E"/>
    <w:multiLevelType w:val="hybridMultilevel"/>
    <w:tmpl w:val="5EA4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FB5354"/>
    <w:multiLevelType w:val="multilevel"/>
    <w:tmpl w:val="1F0EE298"/>
    <w:lvl w:ilvl="0">
      <w:start w:val="2"/>
      <w:numFmt w:val="decimal"/>
      <w:lvlText w:val="%1"/>
      <w:lvlJc w:val="left"/>
      <w:pPr>
        <w:ind w:left="420" w:hanging="420"/>
      </w:pPr>
      <w:rPr>
        <w:rFonts w:hint="default"/>
      </w:rPr>
    </w:lvl>
    <w:lvl w:ilvl="1">
      <w:start w:val="25"/>
      <w:numFmt w:val="decimal"/>
      <w:lvlText w:val="%1.%2"/>
      <w:lvlJc w:val="left"/>
      <w:pPr>
        <w:ind w:left="1536" w:hanging="42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32">
    <w:nsid w:val="59AF6461"/>
    <w:multiLevelType w:val="multilevel"/>
    <w:tmpl w:val="F6CA3290"/>
    <w:lvl w:ilvl="0">
      <w:start w:val="1"/>
      <w:numFmt w:val="bullet"/>
      <w:lvlText w:val=""/>
      <w:lvlJc w:val="left"/>
      <w:pPr>
        <w:tabs>
          <w:tab w:val="num" w:pos="1513"/>
        </w:tabs>
        <w:ind w:left="1513" w:hanging="360"/>
      </w:pPr>
      <w:rPr>
        <w:rFonts w:ascii="Symbol" w:hAnsi="Symbol" w:hint="default"/>
      </w:rPr>
    </w:lvl>
    <w:lvl w:ilvl="1">
      <w:start w:val="1"/>
      <w:numFmt w:val="lowerLetter"/>
      <w:lvlText w:val="%2."/>
      <w:lvlJc w:val="left"/>
      <w:pPr>
        <w:tabs>
          <w:tab w:val="num" w:pos="2233"/>
        </w:tabs>
        <w:ind w:left="2233" w:hanging="360"/>
      </w:pPr>
    </w:lvl>
    <w:lvl w:ilvl="2">
      <w:start w:val="1"/>
      <w:numFmt w:val="lowerRoman"/>
      <w:lvlText w:val="%3."/>
      <w:lvlJc w:val="right"/>
      <w:pPr>
        <w:tabs>
          <w:tab w:val="num" w:pos="2953"/>
        </w:tabs>
        <w:ind w:left="2953" w:hanging="180"/>
      </w:pPr>
    </w:lvl>
    <w:lvl w:ilvl="3">
      <w:start w:val="1"/>
      <w:numFmt w:val="decimal"/>
      <w:lvlText w:val="%4."/>
      <w:lvlJc w:val="left"/>
      <w:pPr>
        <w:tabs>
          <w:tab w:val="num" w:pos="3673"/>
        </w:tabs>
        <w:ind w:left="3673" w:hanging="360"/>
      </w:pPr>
    </w:lvl>
    <w:lvl w:ilvl="4">
      <w:start w:val="1"/>
      <w:numFmt w:val="lowerLetter"/>
      <w:lvlText w:val="%5."/>
      <w:lvlJc w:val="left"/>
      <w:pPr>
        <w:tabs>
          <w:tab w:val="num" w:pos="4393"/>
        </w:tabs>
        <w:ind w:left="4393" w:hanging="360"/>
      </w:pPr>
    </w:lvl>
    <w:lvl w:ilvl="5">
      <w:start w:val="1"/>
      <w:numFmt w:val="lowerRoman"/>
      <w:lvlText w:val="%6."/>
      <w:lvlJc w:val="right"/>
      <w:pPr>
        <w:tabs>
          <w:tab w:val="num" w:pos="5113"/>
        </w:tabs>
        <w:ind w:left="5113" w:hanging="180"/>
      </w:pPr>
    </w:lvl>
    <w:lvl w:ilvl="6">
      <w:start w:val="1"/>
      <w:numFmt w:val="decimal"/>
      <w:lvlText w:val="%7."/>
      <w:lvlJc w:val="left"/>
      <w:pPr>
        <w:tabs>
          <w:tab w:val="num" w:pos="5833"/>
        </w:tabs>
        <w:ind w:left="5833" w:hanging="360"/>
      </w:pPr>
    </w:lvl>
    <w:lvl w:ilvl="7">
      <w:start w:val="1"/>
      <w:numFmt w:val="lowerLetter"/>
      <w:lvlText w:val="%8."/>
      <w:lvlJc w:val="left"/>
      <w:pPr>
        <w:tabs>
          <w:tab w:val="num" w:pos="6553"/>
        </w:tabs>
        <w:ind w:left="6553" w:hanging="360"/>
      </w:pPr>
    </w:lvl>
    <w:lvl w:ilvl="8">
      <w:start w:val="1"/>
      <w:numFmt w:val="lowerRoman"/>
      <w:lvlText w:val="%9."/>
      <w:lvlJc w:val="right"/>
      <w:pPr>
        <w:tabs>
          <w:tab w:val="num" w:pos="7273"/>
        </w:tabs>
        <w:ind w:left="7273" w:hanging="180"/>
      </w:pPr>
    </w:lvl>
  </w:abstractNum>
  <w:abstractNum w:abstractNumId="33">
    <w:nsid w:val="5AD30B81"/>
    <w:multiLevelType w:val="hybridMultilevel"/>
    <w:tmpl w:val="915A96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D64E87"/>
    <w:multiLevelType w:val="multilevel"/>
    <w:tmpl w:val="8D2417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E262AEB"/>
    <w:multiLevelType w:val="hybridMultilevel"/>
    <w:tmpl w:val="7FBCC2A4"/>
    <w:lvl w:ilvl="0" w:tplc="465A701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nsid w:val="610A1A66"/>
    <w:multiLevelType w:val="hybridMultilevel"/>
    <w:tmpl w:val="F6CA3290"/>
    <w:lvl w:ilvl="0" w:tplc="04090001">
      <w:start w:val="1"/>
      <w:numFmt w:val="bullet"/>
      <w:lvlText w:val=""/>
      <w:lvlJc w:val="left"/>
      <w:pPr>
        <w:tabs>
          <w:tab w:val="num" w:pos="1513"/>
        </w:tabs>
        <w:ind w:left="1513" w:hanging="360"/>
      </w:pPr>
      <w:rPr>
        <w:rFonts w:ascii="Symbol" w:hAnsi="Symbol" w:hint="default"/>
      </w:rPr>
    </w:lvl>
    <w:lvl w:ilvl="1" w:tplc="04090019">
      <w:start w:val="1"/>
      <w:numFmt w:val="lowerLetter"/>
      <w:lvlText w:val="%2."/>
      <w:lvlJc w:val="left"/>
      <w:pPr>
        <w:tabs>
          <w:tab w:val="num" w:pos="2233"/>
        </w:tabs>
        <w:ind w:left="2233" w:hanging="360"/>
      </w:pPr>
    </w:lvl>
    <w:lvl w:ilvl="2" w:tplc="0409001B" w:tentative="1">
      <w:start w:val="1"/>
      <w:numFmt w:val="lowerRoman"/>
      <w:lvlText w:val="%3."/>
      <w:lvlJc w:val="right"/>
      <w:pPr>
        <w:tabs>
          <w:tab w:val="num" w:pos="2953"/>
        </w:tabs>
        <w:ind w:left="2953" w:hanging="180"/>
      </w:pPr>
    </w:lvl>
    <w:lvl w:ilvl="3" w:tplc="0409000F" w:tentative="1">
      <w:start w:val="1"/>
      <w:numFmt w:val="decimal"/>
      <w:lvlText w:val="%4."/>
      <w:lvlJc w:val="left"/>
      <w:pPr>
        <w:tabs>
          <w:tab w:val="num" w:pos="3673"/>
        </w:tabs>
        <w:ind w:left="3673" w:hanging="360"/>
      </w:pPr>
    </w:lvl>
    <w:lvl w:ilvl="4" w:tplc="04090019" w:tentative="1">
      <w:start w:val="1"/>
      <w:numFmt w:val="lowerLetter"/>
      <w:lvlText w:val="%5."/>
      <w:lvlJc w:val="left"/>
      <w:pPr>
        <w:tabs>
          <w:tab w:val="num" w:pos="4393"/>
        </w:tabs>
        <w:ind w:left="4393" w:hanging="360"/>
      </w:pPr>
    </w:lvl>
    <w:lvl w:ilvl="5" w:tplc="0409001B" w:tentative="1">
      <w:start w:val="1"/>
      <w:numFmt w:val="lowerRoman"/>
      <w:lvlText w:val="%6."/>
      <w:lvlJc w:val="right"/>
      <w:pPr>
        <w:tabs>
          <w:tab w:val="num" w:pos="5113"/>
        </w:tabs>
        <w:ind w:left="5113" w:hanging="180"/>
      </w:pPr>
    </w:lvl>
    <w:lvl w:ilvl="6" w:tplc="0409000F" w:tentative="1">
      <w:start w:val="1"/>
      <w:numFmt w:val="decimal"/>
      <w:lvlText w:val="%7."/>
      <w:lvlJc w:val="left"/>
      <w:pPr>
        <w:tabs>
          <w:tab w:val="num" w:pos="5833"/>
        </w:tabs>
        <w:ind w:left="5833" w:hanging="360"/>
      </w:pPr>
    </w:lvl>
    <w:lvl w:ilvl="7" w:tplc="04090019" w:tentative="1">
      <w:start w:val="1"/>
      <w:numFmt w:val="lowerLetter"/>
      <w:lvlText w:val="%8."/>
      <w:lvlJc w:val="left"/>
      <w:pPr>
        <w:tabs>
          <w:tab w:val="num" w:pos="6553"/>
        </w:tabs>
        <w:ind w:left="6553" w:hanging="360"/>
      </w:pPr>
    </w:lvl>
    <w:lvl w:ilvl="8" w:tplc="0409001B" w:tentative="1">
      <w:start w:val="1"/>
      <w:numFmt w:val="lowerRoman"/>
      <w:lvlText w:val="%9."/>
      <w:lvlJc w:val="right"/>
      <w:pPr>
        <w:tabs>
          <w:tab w:val="num" w:pos="7273"/>
        </w:tabs>
        <w:ind w:left="7273" w:hanging="180"/>
      </w:pPr>
    </w:lvl>
  </w:abstractNum>
  <w:abstractNum w:abstractNumId="37">
    <w:nsid w:val="647C3CDA"/>
    <w:multiLevelType w:val="hybridMultilevel"/>
    <w:tmpl w:val="5DB68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477530"/>
    <w:multiLevelType w:val="hybridMultilevel"/>
    <w:tmpl w:val="162039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E033A47"/>
    <w:multiLevelType w:val="multilevel"/>
    <w:tmpl w:val="6FA8F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F462988"/>
    <w:multiLevelType w:val="hybridMultilevel"/>
    <w:tmpl w:val="06CE5E44"/>
    <w:lvl w:ilvl="0" w:tplc="27728CCC">
      <w:start w:val="13"/>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5E4BCB"/>
    <w:multiLevelType w:val="hybridMultilevel"/>
    <w:tmpl w:val="D162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E92001"/>
    <w:multiLevelType w:val="hybridMultilevel"/>
    <w:tmpl w:val="29DE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7511ED"/>
    <w:multiLevelType w:val="singleLevel"/>
    <w:tmpl w:val="AEA8141C"/>
    <w:lvl w:ilvl="0">
      <w:start w:val="1"/>
      <w:numFmt w:val="bullet"/>
      <w:lvlRestart w:val="0"/>
      <w:lvlText w:val=""/>
      <w:lvlJc w:val="left"/>
      <w:pPr>
        <w:ind w:left="720" w:hanging="360"/>
      </w:pPr>
      <w:rPr>
        <w:rFonts w:ascii="Symbol" w:hAnsi="Symbol" w:hint="default"/>
      </w:rPr>
    </w:lvl>
  </w:abstractNum>
  <w:abstractNum w:abstractNumId="44">
    <w:nsid w:val="76270E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6EB74DE"/>
    <w:multiLevelType w:val="hybridMultilevel"/>
    <w:tmpl w:val="61A8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D40B64"/>
    <w:multiLevelType w:val="hybridMultilevel"/>
    <w:tmpl w:val="6DC8E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433"/>
        </w:tabs>
        <w:ind w:left="-433" w:hanging="360"/>
      </w:pPr>
      <w:rPr>
        <w:rFonts w:ascii="Courier New" w:hAnsi="Courier New" w:cs="Courier New" w:hint="default"/>
      </w:rPr>
    </w:lvl>
    <w:lvl w:ilvl="2" w:tplc="04090005" w:tentative="1">
      <w:start w:val="1"/>
      <w:numFmt w:val="bullet"/>
      <w:lvlText w:val=""/>
      <w:lvlJc w:val="left"/>
      <w:pPr>
        <w:tabs>
          <w:tab w:val="num" w:pos="287"/>
        </w:tabs>
        <w:ind w:left="287" w:hanging="360"/>
      </w:pPr>
      <w:rPr>
        <w:rFonts w:ascii="Wingdings" w:hAnsi="Wingdings" w:hint="default"/>
      </w:rPr>
    </w:lvl>
    <w:lvl w:ilvl="3" w:tplc="04090001" w:tentative="1">
      <w:start w:val="1"/>
      <w:numFmt w:val="bullet"/>
      <w:lvlText w:val=""/>
      <w:lvlJc w:val="left"/>
      <w:pPr>
        <w:tabs>
          <w:tab w:val="num" w:pos="1007"/>
        </w:tabs>
        <w:ind w:left="1007" w:hanging="360"/>
      </w:pPr>
      <w:rPr>
        <w:rFonts w:ascii="Symbol" w:hAnsi="Symbol" w:hint="default"/>
      </w:rPr>
    </w:lvl>
    <w:lvl w:ilvl="4" w:tplc="04090003" w:tentative="1">
      <w:start w:val="1"/>
      <w:numFmt w:val="bullet"/>
      <w:lvlText w:val="o"/>
      <w:lvlJc w:val="left"/>
      <w:pPr>
        <w:tabs>
          <w:tab w:val="num" w:pos="1727"/>
        </w:tabs>
        <w:ind w:left="1727" w:hanging="360"/>
      </w:pPr>
      <w:rPr>
        <w:rFonts w:ascii="Courier New" w:hAnsi="Courier New" w:cs="Courier New" w:hint="default"/>
      </w:rPr>
    </w:lvl>
    <w:lvl w:ilvl="5" w:tplc="04090005" w:tentative="1">
      <w:start w:val="1"/>
      <w:numFmt w:val="bullet"/>
      <w:lvlText w:val=""/>
      <w:lvlJc w:val="left"/>
      <w:pPr>
        <w:tabs>
          <w:tab w:val="num" w:pos="2447"/>
        </w:tabs>
        <w:ind w:left="2447" w:hanging="360"/>
      </w:pPr>
      <w:rPr>
        <w:rFonts w:ascii="Wingdings" w:hAnsi="Wingdings" w:hint="default"/>
      </w:rPr>
    </w:lvl>
    <w:lvl w:ilvl="6" w:tplc="04090001" w:tentative="1">
      <w:start w:val="1"/>
      <w:numFmt w:val="bullet"/>
      <w:lvlText w:val=""/>
      <w:lvlJc w:val="left"/>
      <w:pPr>
        <w:tabs>
          <w:tab w:val="num" w:pos="3167"/>
        </w:tabs>
        <w:ind w:left="3167" w:hanging="360"/>
      </w:pPr>
      <w:rPr>
        <w:rFonts w:ascii="Symbol" w:hAnsi="Symbol" w:hint="default"/>
      </w:rPr>
    </w:lvl>
    <w:lvl w:ilvl="7" w:tplc="04090003" w:tentative="1">
      <w:start w:val="1"/>
      <w:numFmt w:val="bullet"/>
      <w:lvlText w:val="o"/>
      <w:lvlJc w:val="left"/>
      <w:pPr>
        <w:tabs>
          <w:tab w:val="num" w:pos="3887"/>
        </w:tabs>
        <w:ind w:left="3887" w:hanging="360"/>
      </w:pPr>
      <w:rPr>
        <w:rFonts w:ascii="Courier New" w:hAnsi="Courier New" w:cs="Courier New" w:hint="default"/>
      </w:rPr>
    </w:lvl>
    <w:lvl w:ilvl="8" w:tplc="04090005" w:tentative="1">
      <w:start w:val="1"/>
      <w:numFmt w:val="bullet"/>
      <w:lvlText w:val=""/>
      <w:lvlJc w:val="left"/>
      <w:pPr>
        <w:tabs>
          <w:tab w:val="num" w:pos="4607"/>
        </w:tabs>
        <w:ind w:left="4607" w:hanging="360"/>
      </w:pPr>
      <w:rPr>
        <w:rFonts w:ascii="Wingdings" w:hAnsi="Wingdings" w:hint="default"/>
      </w:rPr>
    </w:lvl>
  </w:abstractNum>
  <w:num w:numId="1">
    <w:abstractNumId w:val="0"/>
  </w:num>
  <w:num w:numId="2">
    <w:abstractNumId w:val="20"/>
  </w:num>
  <w:num w:numId="3">
    <w:abstractNumId w:val="38"/>
  </w:num>
  <w:num w:numId="4">
    <w:abstractNumId w:val="12"/>
  </w:num>
  <w:num w:numId="5">
    <w:abstractNumId w:val="26"/>
  </w:num>
  <w:num w:numId="6">
    <w:abstractNumId w:val="13"/>
  </w:num>
  <w:num w:numId="7">
    <w:abstractNumId w:val="2"/>
  </w:num>
  <w:num w:numId="8">
    <w:abstractNumId w:val="36"/>
  </w:num>
  <w:num w:numId="9">
    <w:abstractNumId w:val="28"/>
  </w:num>
  <w:num w:numId="10">
    <w:abstractNumId w:val="10"/>
  </w:num>
  <w:num w:numId="11">
    <w:abstractNumId w:val="18"/>
  </w:num>
  <w:num w:numId="12">
    <w:abstractNumId w:val="32"/>
  </w:num>
  <w:num w:numId="13">
    <w:abstractNumId w:val="16"/>
  </w:num>
  <w:num w:numId="14">
    <w:abstractNumId w:val="17"/>
  </w:num>
  <w:num w:numId="15">
    <w:abstractNumId w:val="35"/>
  </w:num>
  <w:num w:numId="16">
    <w:abstractNumId w:val="27"/>
  </w:num>
  <w:num w:numId="17">
    <w:abstractNumId w:val="46"/>
  </w:num>
  <w:num w:numId="18">
    <w:abstractNumId w:val="37"/>
  </w:num>
  <w:num w:numId="1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9"/>
  </w:num>
  <w:num w:numId="24">
    <w:abstractNumId w:val="15"/>
  </w:num>
  <w:num w:numId="25">
    <w:abstractNumId w:val="8"/>
  </w:num>
  <w:num w:numId="26">
    <w:abstractNumId w:val="40"/>
  </w:num>
  <w:num w:numId="27">
    <w:abstractNumId w:val="11"/>
  </w:num>
  <w:num w:numId="28">
    <w:abstractNumId w:val="43"/>
  </w:num>
  <w:num w:numId="29">
    <w:abstractNumId w:val="41"/>
  </w:num>
  <w:num w:numId="30">
    <w:abstractNumId w:val="9"/>
  </w:num>
  <w:num w:numId="31">
    <w:abstractNumId w:val="6"/>
  </w:num>
  <w:num w:numId="32">
    <w:abstractNumId w:val="21"/>
  </w:num>
  <w:num w:numId="33">
    <w:abstractNumId w:val="7"/>
  </w:num>
  <w:num w:numId="34">
    <w:abstractNumId w:val="5"/>
  </w:num>
  <w:num w:numId="35">
    <w:abstractNumId w:val="19"/>
  </w:num>
  <w:num w:numId="36">
    <w:abstractNumId w:val="1"/>
  </w:num>
  <w:num w:numId="37">
    <w:abstractNumId w:val="31"/>
  </w:num>
  <w:num w:numId="38">
    <w:abstractNumId w:val="39"/>
  </w:num>
  <w:num w:numId="39">
    <w:abstractNumId w:val="24"/>
  </w:num>
  <w:num w:numId="40">
    <w:abstractNumId w:val="23"/>
  </w:num>
  <w:num w:numId="41">
    <w:abstractNumId w:val="22"/>
  </w:num>
  <w:num w:numId="42">
    <w:abstractNumId w:val="33"/>
  </w:num>
  <w:num w:numId="43">
    <w:abstractNumId w:val="30"/>
  </w:num>
  <w:num w:numId="44">
    <w:abstractNumId w:val="3"/>
  </w:num>
  <w:num w:numId="45">
    <w:abstractNumId w:val="42"/>
  </w:num>
  <w:num w:numId="46">
    <w:abstractNumId w:val="14"/>
  </w:num>
  <w:num w:numId="47">
    <w:abstractNumId w:val="44"/>
  </w:num>
  <w:num w:numId="48">
    <w:abstractNumId w:val="34"/>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43"/>
    <w:rsid w:val="000178D0"/>
    <w:rsid w:val="00022E7A"/>
    <w:rsid w:val="00023343"/>
    <w:rsid w:val="00031A3A"/>
    <w:rsid w:val="000E2365"/>
    <w:rsid w:val="00115B41"/>
    <w:rsid w:val="001323E0"/>
    <w:rsid w:val="00186FAA"/>
    <w:rsid w:val="001A10CC"/>
    <w:rsid w:val="001A381F"/>
    <w:rsid w:val="001A7348"/>
    <w:rsid w:val="001D0579"/>
    <w:rsid w:val="001F2ABE"/>
    <w:rsid w:val="001F72F0"/>
    <w:rsid w:val="00212392"/>
    <w:rsid w:val="00296550"/>
    <w:rsid w:val="002E0187"/>
    <w:rsid w:val="002E59EE"/>
    <w:rsid w:val="00425F67"/>
    <w:rsid w:val="00464065"/>
    <w:rsid w:val="00474C81"/>
    <w:rsid w:val="00493F28"/>
    <w:rsid w:val="00496951"/>
    <w:rsid w:val="004B1A51"/>
    <w:rsid w:val="005175C2"/>
    <w:rsid w:val="0054337A"/>
    <w:rsid w:val="005564C7"/>
    <w:rsid w:val="005771AA"/>
    <w:rsid w:val="00607FE7"/>
    <w:rsid w:val="00660112"/>
    <w:rsid w:val="00691DBC"/>
    <w:rsid w:val="00716957"/>
    <w:rsid w:val="007A77C9"/>
    <w:rsid w:val="00817F4F"/>
    <w:rsid w:val="00837224"/>
    <w:rsid w:val="009511F9"/>
    <w:rsid w:val="009C552A"/>
    <w:rsid w:val="00A067A8"/>
    <w:rsid w:val="00A16BC3"/>
    <w:rsid w:val="00A22E12"/>
    <w:rsid w:val="00A949B3"/>
    <w:rsid w:val="00A95529"/>
    <w:rsid w:val="00AC74BD"/>
    <w:rsid w:val="00B003CB"/>
    <w:rsid w:val="00B07793"/>
    <w:rsid w:val="00B37A4B"/>
    <w:rsid w:val="00B84122"/>
    <w:rsid w:val="00B93A9C"/>
    <w:rsid w:val="00C01D62"/>
    <w:rsid w:val="00C57EDC"/>
    <w:rsid w:val="00CD0EAD"/>
    <w:rsid w:val="00D02B72"/>
    <w:rsid w:val="00E015DF"/>
    <w:rsid w:val="00E076BC"/>
    <w:rsid w:val="00E644B0"/>
    <w:rsid w:val="00E6519F"/>
    <w:rsid w:val="00F314E3"/>
    <w:rsid w:val="00FD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0"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A067A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067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067A8"/>
    <w:pPr>
      <w:keepNext/>
      <w:jc w:val="both"/>
      <w:outlineLvl w:val="2"/>
    </w:pPr>
    <w:rPr>
      <w:sz w:val="32"/>
      <w:szCs w:val="18"/>
    </w:rPr>
  </w:style>
  <w:style w:type="paragraph" w:styleId="Heading4">
    <w:name w:val="heading 4"/>
    <w:basedOn w:val="Normal"/>
    <w:next w:val="Normal"/>
    <w:link w:val="Heading4Char"/>
    <w:qFormat/>
    <w:rsid w:val="00A067A8"/>
    <w:pPr>
      <w:keepNext/>
      <w:jc w:val="both"/>
      <w:outlineLvl w:val="3"/>
    </w:pPr>
    <w:rPr>
      <w:b/>
      <w:bCs/>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A8"/>
    <w:rPr>
      <w:rFonts w:ascii="Arial" w:hAnsi="Arial" w:cs="Arial"/>
      <w:b/>
      <w:bCs/>
      <w:kern w:val="32"/>
      <w:sz w:val="32"/>
      <w:szCs w:val="32"/>
    </w:rPr>
  </w:style>
  <w:style w:type="character" w:customStyle="1" w:styleId="Heading2Char">
    <w:name w:val="Heading 2 Char"/>
    <w:basedOn w:val="DefaultParagraphFont"/>
    <w:link w:val="Heading2"/>
    <w:rsid w:val="00A067A8"/>
    <w:rPr>
      <w:rFonts w:ascii="Arial" w:hAnsi="Arial" w:cs="Arial"/>
      <w:b/>
      <w:bCs/>
      <w:i/>
      <w:iCs/>
      <w:sz w:val="28"/>
      <w:szCs w:val="28"/>
    </w:rPr>
  </w:style>
  <w:style w:type="character" w:customStyle="1" w:styleId="Heading3Char">
    <w:name w:val="Heading 3 Char"/>
    <w:basedOn w:val="DefaultParagraphFont"/>
    <w:link w:val="Heading3"/>
    <w:rsid w:val="00A067A8"/>
    <w:rPr>
      <w:sz w:val="32"/>
      <w:szCs w:val="18"/>
    </w:rPr>
  </w:style>
  <w:style w:type="character" w:customStyle="1" w:styleId="Heading4Char">
    <w:name w:val="Heading 4 Char"/>
    <w:basedOn w:val="DefaultParagraphFont"/>
    <w:link w:val="Heading4"/>
    <w:rsid w:val="00A067A8"/>
    <w:rPr>
      <w:b/>
      <w:bCs/>
      <w:sz w:val="32"/>
      <w:szCs w:val="24"/>
    </w:rPr>
  </w:style>
  <w:style w:type="paragraph" w:styleId="Header">
    <w:name w:val="header"/>
    <w:basedOn w:val="Normal"/>
    <w:link w:val="HeaderChar"/>
    <w:uiPriority w:val="99"/>
    <w:unhideWhenUsed/>
    <w:rsid w:val="00B724FC"/>
    <w:pPr>
      <w:tabs>
        <w:tab w:val="center" w:pos="4680"/>
        <w:tab w:val="right" w:pos="9360"/>
      </w:tabs>
    </w:pPr>
  </w:style>
  <w:style w:type="character" w:customStyle="1" w:styleId="HeaderChar">
    <w:name w:val="Header Char"/>
    <w:link w:val="Header"/>
    <w:uiPriority w:val="99"/>
    <w:rsid w:val="00B724FC"/>
    <w:rPr>
      <w:sz w:val="24"/>
    </w:rPr>
  </w:style>
  <w:style w:type="paragraph" w:styleId="Footer">
    <w:name w:val="footer"/>
    <w:basedOn w:val="Normal"/>
    <w:link w:val="FooterChar"/>
    <w:uiPriority w:val="99"/>
    <w:unhideWhenUsed/>
    <w:rsid w:val="00B724FC"/>
    <w:pPr>
      <w:tabs>
        <w:tab w:val="center" w:pos="4680"/>
        <w:tab w:val="right" w:pos="9360"/>
      </w:tabs>
    </w:pPr>
  </w:style>
  <w:style w:type="character" w:customStyle="1" w:styleId="FooterChar">
    <w:name w:val="Footer Char"/>
    <w:link w:val="Footer"/>
    <w:uiPriority w:val="99"/>
    <w:rsid w:val="00B724FC"/>
    <w:rPr>
      <w:sz w:val="24"/>
    </w:rPr>
  </w:style>
  <w:style w:type="table" w:styleId="TableGrid">
    <w:name w:val="Table Grid"/>
    <w:basedOn w:val="TableNormal"/>
    <w:uiPriority w:val="59"/>
    <w:rsid w:val="00AD14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F2ABE"/>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ABE"/>
    <w:rPr>
      <w:rFonts w:ascii="Lucida Grande" w:hAnsi="Lucida Grande"/>
      <w:sz w:val="18"/>
      <w:szCs w:val="18"/>
    </w:rPr>
  </w:style>
  <w:style w:type="character" w:styleId="CommentReference">
    <w:name w:val="annotation reference"/>
    <w:uiPriority w:val="99"/>
    <w:semiHidden/>
    <w:rsid w:val="00D02B72"/>
    <w:rPr>
      <w:sz w:val="16"/>
      <w:szCs w:val="16"/>
    </w:rPr>
  </w:style>
  <w:style w:type="paragraph" w:styleId="CommentText">
    <w:name w:val="annotation text"/>
    <w:basedOn w:val="Normal"/>
    <w:link w:val="CommentTextChar"/>
    <w:uiPriority w:val="99"/>
    <w:semiHidden/>
    <w:rsid w:val="00D02B72"/>
    <w:rPr>
      <w:sz w:val="20"/>
    </w:rPr>
  </w:style>
  <w:style w:type="character" w:customStyle="1" w:styleId="CommentTextChar">
    <w:name w:val="Comment Text Char"/>
    <w:basedOn w:val="DefaultParagraphFont"/>
    <w:link w:val="CommentText"/>
    <w:uiPriority w:val="99"/>
    <w:semiHidden/>
    <w:rsid w:val="00D02B72"/>
  </w:style>
  <w:style w:type="character" w:styleId="Hyperlink">
    <w:name w:val="Hyperlink"/>
    <w:uiPriority w:val="99"/>
    <w:rsid w:val="00D02B72"/>
    <w:rPr>
      <w:color w:val="0000FF"/>
      <w:u w:val="single"/>
    </w:rPr>
  </w:style>
  <w:style w:type="paragraph" w:styleId="FootnoteText">
    <w:name w:val="footnote text"/>
    <w:basedOn w:val="Normal"/>
    <w:link w:val="FootnoteTextChar"/>
    <w:rsid w:val="00D02B72"/>
    <w:rPr>
      <w:rFonts w:ascii="Arial" w:hAnsi="Arial"/>
      <w:sz w:val="20"/>
    </w:rPr>
  </w:style>
  <w:style w:type="character" w:customStyle="1" w:styleId="FootnoteTextChar">
    <w:name w:val="Footnote Text Char"/>
    <w:basedOn w:val="DefaultParagraphFont"/>
    <w:link w:val="FootnoteText"/>
    <w:rsid w:val="00D02B72"/>
    <w:rPr>
      <w:rFonts w:ascii="Arial" w:hAnsi="Arial"/>
    </w:rPr>
  </w:style>
  <w:style w:type="character" w:styleId="FootnoteReference">
    <w:name w:val="footnote reference"/>
    <w:rsid w:val="00D02B72"/>
    <w:rPr>
      <w:vertAlign w:val="superscript"/>
    </w:rPr>
  </w:style>
  <w:style w:type="paragraph" w:styleId="ListParagraph">
    <w:name w:val="List Paragraph"/>
    <w:basedOn w:val="Normal"/>
    <w:uiPriority w:val="34"/>
    <w:qFormat/>
    <w:rsid w:val="00D02B72"/>
    <w:pPr>
      <w:ind w:left="720"/>
      <w:contextualSpacing/>
    </w:pPr>
    <w:rPr>
      <w:rFonts w:ascii="Arial" w:hAnsi="Arial"/>
      <w:sz w:val="22"/>
      <w:szCs w:val="24"/>
    </w:rPr>
  </w:style>
  <w:style w:type="paragraph" w:styleId="CommentSubject">
    <w:name w:val="annotation subject"/>
    <w:basedOn w:val="CommentText"/>
    <w:next w:val="CommentText"/>
    <w:link w:val="CommentSubjectChar"/>
    <w:uiPriority w:val="99"/>
    <w:unhideWhenUsed/>
    <w:rsid w:val="00296550"/>
    <w:rPr>
      <w:b/>
      <w:bCs/>
    </w:rPr>
  </w:style>
  <w:style w:type="character" w:customStyle="1" w:styleId="CommentSubjectChar">
    <w:name w:val="Comment Subject Char"/>
    <w:basedOn w:val="CommentTextChar"/>
    <w:link w:val="CommentSubject"/>
    <w:uiPriority w:val="99"/>
    <w:rsid w:val="00296550"/>
    <w:rPr>
      <w:b/>
      <w:bCs/>
    </w:rPr>
  </w:style>
  <w:style w:type="paragraph" w:styleId="Title">
    <w:name w:val="Title"/>
    <w:basedOn w:val="Normal"/>
    <w:link w:val="TitleChar"/>
    <w:qFormat/>
    <w:rsid w:val="00A067A8"/>
    <w:pPr>
      <w:jc w:val="center"/>
    </w:pPr>
    <w:rPr>
      <w:rFonts w:ascii="Arial" w:hAnsi="Arial"/>
      <w:b/>
      <w:bCs/>
      <w:szCs w:val="24"/>
    </w:rPr>
  </w:style>
  <w:style w:type="character" w:customStyle="1" w:styleId="TitleChar">
    <w:name w:val="Title Char"/>
    <w:basedOn w:val="DefaultParagraphFont"/>
    <w:link w:val="Title"/>
    <w:rsid w:val="00A067A8"/>
    <w:rPr>
      <w:rFonts w:ascii="Arial" w:hAnsi="Arial"/>
      <w:b/>
      <w:bCs/>
      <w:sz w:val="24"/>
      <w:szCs w:val="24"/>
    </w:rPr>
  </w:style>
  <w:style w:type="paragraph" w:customStyle="1" w:styleId="Default">
    <w:name w:val="Default"/>
    <w:rsid w:val="00A067A8"/>
    <w:pPr>
      <w:autoSpaceDE w:val="0"/>
      <w:autoSpaceDN w:val="0"/>
      <w:adjustRightInd w:val="0"/>
    </w:pPr>
    <w:rPr>
      <w:rFonts w:ascii="Times-Roman" w:hAnsi="Times-Roman" w:cs="Times-Roman"/>
    </w:rPr>
  </w:style>
  <w:style w:type="paragraph" w:customStyle="1" w:styleId="CM72">
    <w:name w:val="CM72"/>
    <w:basedOn w:val="Default"/>
    <w:next w:val="Default"/>
    <w:rsid w:val="00A067A8"/>
    <w:pPr>
      <w:spacing w:after="398"/>
    </w:pPr>
    <w:rPr>
      <w:rFonts w:cs="Times New Roman"/>
      <w:sz w:val="24"/>
      <w:szCs w:val="24"/>
    </w:rPr>
  </w:style>
  <w:style w:type="paragraph" w:customStyle="1" w:styleId="CM76">
    <w:name w:val="CM76"/>
    <w:basedOn w:val="Default"/>
    <w:next w:val="Default"/>
    <w:rsid w:val="00A067A8"/>
    <w:pPr>
      <w:spacing w:after="236"/>
    </w:pPr>
    <w:rPr>
      <w:rFonts w:ascii="TimesNewRomanMS" w:hAnsi="TimesNewRomanMS" w:cs="Times New Roman"/>
      <w:sz w:val="24"/>
      <w:szCs w:val="24"/>
    </w:rPr>
  </w:style>
  <w:style w:type="character" w:customStyle="1" w:styleId="text">
    <w:name w:val="text"/>
    <w:basedOn w:val="DefaultParagraphFont"/>
    <w:rsid w:val="00A067A8"/>
  </w:style>
  <w:style w:type="character" w:styleId="Strong">
    <w:name w:val="Strong"/>
    <w:qFormat/>
    <w:rsid w:val="00A067A8"/>
    <w:rPr>
      <w:b/>
      <w:bCs/>
    </w:rPr>
  </w:style>
  <w:style w:type="character" w:styleId="FollowedHyperlink">
    <w:name w:val="FollowedHyperlink"/>
    <w:rsid w:val="00A067A8"/>
    <w:rPr>
      <w:color w:val="800080"/>
      <w:u w:val="single"/>
    </w:rPr>
  </w:style>
  <w:style w:type="paragraph" w:styleId="BodyText">
    <w:name w:val="Body Text"/>
    <w:basedOn w:val="Normal"/>
    <w:link w:val="BodyTextChar"/>
    <w:qFormat/>
    <w:rsid w:val="00A067A8"/>
    <w:pPr>
      <w:jc w:val="both"/>
    </w:pPr>
    <w:rPr>
      <w:sz w:val="22"/>
      <w:szCs w:val="24"/>
    </w:rPr>
  </w:style>
  <w:style w:type="character" w:customStyle="1" w:styleId="BodyTextChar">
    <w:name w:val="Body Text Char"/>
    <w:basedOn w:val="DefaultParagraphFont"/>
    <w:link w:val="BodyText"/>
    <w:rsid w:val="00A067A8"/>
    <w:rPr>
      <w:sz w:val="22"/>
      <w:szCs w:val="24"/>
    </w:rPr>
  </w:style>
  <w:style w:type="paragraph" w:styleId="BodyText2">
    <w:name w:val="Body Text 2"/>
    <w:basedOn w:val="Normal"/>
    <w:link w:val="BodyText2Char"/>
    <w:rsid w:val="00A067A8"/>
    <w:rPr>
      <w:rFonts w:ascii="Arial" w:hAnsi="Arial"/>
      <w:i/>
      <w:iCs/>
      <w:sz w:val="22"/>
      <w:szCs w:val="24"/>
    </w:rPr>
  </w:style>
  <w:style w:type="character" w:customStyle="1" w:styleId="BodyText2Char">
    <w:name w:val="Body Text 2 Char"/>
    <w:basedOn w:val="DefaultParagraphFont"/>
    <w:link w:val="BodyText2"/>
    <w:rsid w:val="00A067A8"/>
    <w:rPr>
      <w:rFonts w:ascii="Arial" w:hAnsi="Arial"/>
      <w:i/>
      <w:iCs/>
      <w:sz w:val="22"/>
      <w:szCs w:val="24"/>
    </w:rPr>
  </w:style>
  <w:style w:type="paragraph" w:styleId="Revision">
    <w:name w:val="Revision"/>
    <w:hidden/>
    <w:uiPriority w:val="99"/>
    <w:rsid w:val="00A067A8"/>
    <w:rPr>
      <w:rFonts w:ascii="Arial" w:hAnsi="Arial"/>
      <w:sz w:val="22"/>
      <w:szCs w:val="24"/>
    </w:rPr>
  </w:style>
  <w:style w:type="paragraph" w:customStyle="1" w:styleId="NRELBodyText">
    <w:name w:val="NREL_Body_Text"/>
    <w:link w:val="NRELBodyTextCharChar"/>
    <w:qFormat/>
    <w:rsid w:val="00A067A8"/>
    <w:pPr>
      <w:spacing w:after="240"/>
    </w:pPr>
    <w:rPr>
      <w:rFonts w:eastAsia="Times"/>
      <w:color w:val="000000"/>
      <w:sz w:val="24"/>
    </w:rPr>
  </w:style>
  <w:style w:type="character" w:customStyle="1" w:styleId="NRELBodyTextCharChar">
    <w:name w:val="NREL_Body_Text Char Char"/>
    <w:link w:val="NRELBodyText"/>
    <w:rsid w:val="00A067A8"/>
    <w:rPr>
      <w:rFonts w:eastAsia="Times"/>
      <w:color w:val="000000"/>
      <w:sz w:val="24"/>
    </w:rPr>
  </w:style>
  <w:style w:type="character" w:customStyle="1" w:styleId="displayctbr">
    <w:name w:val="displayctbr"/>
    <w:rsid w:val="00A067A8"/>
    <w:rPr>
      <w:b/>
      <w:bCs/>
    </w:rPr>
  </w:style>
  <w:style w:type="character" w:customStyle="1" w:styleId="selected">
    <w:name w:val="selected"/>
    <w:rsid w:val="00A067A8"/>
  </w:style>
  <w:style w:type="paragraph" w:styleId="Caption">
    <w:name w:val="caption"/>
    <w:basedOn w:val="Normal"/>
    <w:next w:val="Normal"/>
    <w:uiPriority w:val="35"/>
    <w:unhideWhenUsed/>
    <w:qFormat/>
    <w:rsid w:val="00A067A8"/>
    <w:rPr>
      <w:rFonts w:ascii="Arial" w:hAnsi="Arial"/>
      <w:b/>
      <w:bCs/>
      <w:sz w:val="20"/>
    </w:rPr>
  </w:style>
  <w:style w:type="paragraph" w:customStyle="1" w:styleId="ap-story-p">
    <w:name w:val="ap-story-p"/>
    <w:basedOn w:val="Normal"/>
    <w:rsid w:val="00A067A8"/>
    <w:pPr>
      <w:spacing w:before="100" w:beforeAutospacing="1" w:after="100" w:afterAutospacing="1"/>
    </w:pPr>
    <w:rPr>
      <w:szCs w:val="24"/>
    </w:rPr>
  </w:style>
  <w:style w:type="character" w:customStyle="1" w:styleId="AOP1">
    <w:name w:val="AOP1"/>
    <w:uiPriority w:val="1"/>
    <w:qFormat/>
    <w:rsid w:val="00A067A8"/>
    <w:rPr>
      <w:rFonts w:ascii="Calibri" w:hAnsi="Calibri"/>
      <w:color w:val="auto"/>
      <w:sz w:val="22"/>
    </w:rPr>
  </w:style>
  <w:style w:type="paragraph" w:customStyle="1" w:styleId="address">
    <w:name w:val="address"/>
    <w:basedOn w:val="Normal"/>
    <w:link w:val="addressChar"/>
    <w:qFormat/>
    <w:rsid w:val="00A067A8"/>
    <w:pPr>
      <w:jc w:val="center"/>
    </w:pPr>
    <w:rPr>
      <w:rFonts w:eastAsia="Calibri"/>
      <w:i/>
      <w:sz w:val="18"/>
      <w:szCs w:val="22"/>
    </w:rPr>
  </w:style>
  <w:style w:type="character" w:customStyle="1" w:styleId="addressChar">
    <w:name w:val="address Char"/>
    <w:basedOn w:val="DefaultParagraphFont"/>
    <w:link w:val="address"/>
    <w:rsid w:val="00A067A8"/>
    <w:rPr>
      <w:rFonts w:eastAsia="Calibri"/>
      <w:i/>
      <w:sz w:val="18"/>
      <w:szCs w:val="22"/>
    </w:rPr>
  </w:style>
  <w:style w:type="paragraph" w:customStyle="1" w:styleId="EndNoteBibliographyTitle">
    <w:name w:val="EndNote Bibliography Title"/>
    <w:basedOn w:val="Normal"/>
    <w:link w:val="EndNoteBibliographyTitleChar"/>
    <w:rsid w:val="00A067A8"/>
    <w:pPr>
      <w:jc w:val="center"/>
    </w:pPr>
    <w:rPr>
      <w:noProof/>
      <w:sz w:val="22"/>
      <w:szCs w:val="24"/>
    </w:rPr>
  </w:style>
  <w:style w:type="character" w:customStyle="1" w:styleId="EndNoteBibliographyTitleChar">
    <w:name w:val="EndNote Bibliography Title Char"/>
    <w:basedOn w:val="DefaultParagraphFont"/>
    <w:link w:val="EndNoteBibliographyTitle"/>
    <w:rsid w:val="00A067A8"/>
    <w:rPr>
      <w:noProof/>
      <w:sz w:val="22"/>
      <w:szCs w:val="24"/>
    </w:rPr>
  </w:style>
  <w:style w:type="paragraph" w:customStyle="1" w:styleId="EndNoteBibliography">
    <w:name w:val="EndNote Bibliography"/>
    <w:basedOn w:val="Normal"/>
    <w:link w:val="EndNoteBibliographyChar"/>
    <w:rsid w:val="00A067A8"/>
    <w:rPr>
      <w:noProof/>
      <w:sz w:val="22"/>
      <w:szCs w:val="24"/>
    </w:rPr>
  </w:style>
  <w:style w:type="character" w:customStyle="1" w:styleId="EndNoteBibliographyChar">
    <w:name w:val="EndNote Bibliography Char"/>
    <w:basedOn w:val="DefaultParagraphFont"/>
    <w:link w:val="EndNoteBibliography"/>
    <w:rsid w:val="00A067A8"/>
    <w:rPr>
      <w:noProof/>
      <w:sz w:val="22"/>
      <w:szCs w:val="24"/>
    </w:rPr>
  </w:style>
  <w:style w:type="paragraph" w:customStyle="1" w:styleId="Caption-Tab">
    <w:name w:val="Caption-Tab"/>
    <w:basedOn w:val="Caption"/>
    <w:next w:val="Normal"/>
    <w:qFormat/>
    <w:rsid w:val="00A067A8"/>
    <w:pPr>
      <w:keepNext/>
      <w:spacing w:before="240" w:after="120" w:line="264" w:lineRule="auto"/>
      <w:ind w:left="1037" w:hanging="1037"/>
    </w:pPr>
    <w:rPr>
      <w:rFonts w:ascii="Times New Roman" w:hAnsi="Times New Roman"/>
      <w:bCs w:val="0"/>
      <w:sz w:val="22"/>
      <w:szCs w:val="22"/>
    </w:rPr>
  </w:style>
  <w:style w:type="paragraph" w:customStyle="1" w:styleId="proptext11">
    <w:name w:val="prop text 11"/>
    <w:basedOn w:val="Normal"/>
    <w:link w:val="proptext11Char"/>
    <w:qFormat/>
    <w:rsid w:val="00A067A8"/>
    <w:pPr>
      <w:tabs>
        <w:tab w:val="left" w:pos="-1080"/>
        <w:tab w:val="left" w:pos="-720"/>
        <w:tab w:val="left" w:pos="400"/>
      </w:tabs>
      <w:spacing w:after="120"/>
    </w:pPr>
    <w:rPr>
      <w:sz w:val="22"/>
      <w:lang w:val="x-none" w:eastAsia="x-none"/>
    </w:rPr>
  </w:style>
  <w:style w:type="character" w:customStyle="1" w:styleId="proptext11Char">
    <w:name w:val="prop text 11 Char"/>
    <w:link w:val="proptext11"/>
    <w:rsid w:val="00A067A8"/>
    <w:rPr>
      <w:sz w:val="22"/>
      <w:lang w:val="x-none" w:eastAsia="x-none"/>
    </w:rPr>
  </w:style>
  <w:style w:type="paragraph" w:styleId="NormalWeb">
    <w:name w:val="Normal (Web)"/>
    <w:basedOn w:val="Normal"/>
    <w:uiPriority w:val="99"/>
    <w:unhideWhenUsed/>
    <w:rsid w:val="00A067A8"/>
    <w:pPr>
      <w:spacing w:before="100" w:beforeAutospacing="1" w:after="100" w:afterAutospacing="1"/>
    </w:pPr>
    <w:rPr>
      <w:rFonts w:eastAsiaTheme="minorEastAsia"/>
      <w:szCs w:val="24"/>
    </w:rPr>
  </w:style>
  <w:style w:type="paragraph" w:customStyle="1" w:styleId="Caption-Fig">
    <w:name w:val="Caption-Fig"/>
    <w:basedOn w:val="Caption"/>
    <w:next w:val="Normal"/>
    <w:qFormat/>
    <w:rsid w:val="00A067A8"/>
    <w:pPr>
      <w:spacing w:before="120" w:after="240"/>
      <w:ind w:left="1138" w:hanging="1138"/>
    </w:pPr>
    <w:rPr>
      <w:rFonts w:ascii="Times New Roman" w:hAnsi="Times New Roman"/>
      <w:bCs w:val="0"/>
      <w:sz w:val="22"/>
      <w:szCs w:val="22"/>
    </w:rPr>
  </w:style>
  <w:style w:type="character" w:styleId="PlaceholderText">
    <w:name w:val="Placeholder Text"/>
    <w:basedOn w:val="DefaultParagraphFont"/>
    <w:uiPriority w:val="99"/>
    <w:rsid w:val="00A067A8"/>
    <w:rPr>
      <w:color w:val="808080"/>
    </w:rPr>
  </w:style>
  <w:style w:type="paragraph" w:customStyle="1" w:styleId="Style1">
    <w:name w:val="Style1"/>
    <w:basedOn w:val="Caption-Fig"/>
    <w:link w:val="Style1Char"/>
    <w:qFormat/>
    <w:rsid w:val="00A067A8"/>
    <w:pPr>
      <w:jc w:val="center"/>
    </w:pPr>
    <w:rPr>
      <w:lang w:val="en" w:eastAsia="x-none"/>
    </w:rPr>
  </w:style>
  <w:style w:type="character" w:customStyle="1" w:styleId="Style1Char">
    <w:name w:val="Style1 Char"/>
    <w:basedOn w:val="DefaultParagraphFont"/>
    <w:link w:val="Style1"/>
    <w:rsid w:val="00A067A8"/>
    <w:rPr>
      <w:b/>
      <w:sz w:val="22"/>
      <w:szCs w:val="22"/>
      <w:lang w:val="en" w:eastAsia="x-none"/>
    </w:rPr>
  </w:style>
  <w:style w:type="character" w:styleId="Emphasis">
    <w:name w:val="Emphasis"/>
    <w:basedOn w:val="DefaultParagraphFont"/>
    <w:qFormat/>
    <w:rsid w:val="00A067A8"/>
    <w:rPr>
      <w:i/>
      <w:iCs/>
    </w:rPr>
  </w:style>
  <w:style w:type="table" w:customStyle="1" w:styleId="TableGrid9">
    <w:name w:val="Table Grid9"/>
    <w:basedOn w:val="TableNormal"/>
    <w:next w:val="TableGrid"/>
    <w:uiPriority w:val="59"/>
    <w:rsid w:val="00A067A8"/>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0"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A067A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067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067A8"/>
    <w:pPr>
      <w:keepNext/>
      <w:jc w:val="both"/>
      <w:outlineLvl w:val="2"/>
    </w:pPr>
    <w:rPr>
      <w:sz w:val="32"/>
      <w:szCs w:val="18"/>
    </w:rPr>
  </w:style>
  <w:style w:type="paragraph" w:styleId="Heading4">
    <w:name w:val="heading 4"/>
    <w:basedOn w:val="Normal"/>
    <w:next w:val="Normal"/>
    <w:link w:val="Heading4Char"/>
    <w:qFormat/>
    <w:rsid w:val="00A067A8"/>
    <w:pPr>
      <w:keepNext/>
      <w:jc w:val="both"/>
      <w:outlineLvl w:val="3"/>
    </w:pPr>
    <w:rPr>
      <w:b/>
      <w:bCs/>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A8"/>
    <w:rPr>
      <w:rFonts w:ascii="Arial" w:hAnsi="Arial" w:cs="Arial"/>
      <w:b/>
      <w:bCs/>
      <w:kern w:val="32"/>
      <w:sz w:val="32"/>
      <w:szCs w:val="32"/>
    </w:rPr>
  </w:style>
  <w:style w:type="character" w:customStyle="1" w:styleId="Heading2Char">
    <w:name w:val="Heading 2 Char"/>
    <w:basedOn w:val="DefaultParagraphFont"/>
    <w:link w:val="Heading2"/>
    <w:rsid w:val="00A067A8"/>
    <w:rPr>
      <w:rFonts w:ascii="Arial" w:hAnsi="Arial" w:cs="Arial"/>
      <w:b/>
      <w:bCs/>
      <w:i/>
      <w:iCs/>
      <w:sz w:val="28"/>
      <w:szCs w:val="28"/>
    </w:rPr>
  </w:style>
  <w:style w:type="character" w:customStyle="1" w:styleId="Heading3Char">
    <w:name w:val="Heading 3 Char"/>
    <w:basedOn w:val="DefaultParagraphFont"/>
    <w:link w:val="Heading3"/>
    <w:rsid w:val="00A067A8"/>
    <w:rPr>
      <w:sz w:val="32"/>
      <w:szCs w:val="18"/>
    </w:rPr>
  </w:style>
  <w:style w:type="character" w:customStyle="1" w:styleId="Heading4Char">
    <w:name w:val="Heading 4 Char"/>
    <w:basedOn w:val="DefaultParagraphFont"/>
    <w:link w:val="Heading4"/>
    <w:rsid w:val="00A067A8"/>
    <w:rPr>
      <w:b/>
      <w:bCs/>
      <w:sz w:val="32"/>
      <w:szCs w:val="24"/>
    </w:rPr>
  </w:style>
  <w:style w:type="paragraph" w:styleId="Header">
    <w:name w:val="header"/>
    <w:basedOn w:val="Normal"/>
    <w:link w:val="HeaderChar"/>
    <w:uiPriority w:val="99"/>
    <w:unhideWhenUsed/>
    <w:rsid w:val="00B724FC"/>
    <w:pPr>
      <w:tabs>
        <w:tab w:val="center" w:pos="4680"/>
        <w:tab w:val="right" w:pos="9360"/>
      </w:tabs>
    </w:pPr>
  </w:style>
  <w:style w:type="character" w:customStyle="1" w:styleId="HeaderChar">
    <w:name w:val="Header Char"/>
    <w:link w:val="Header"/>
    <w:uiPriority w:val="99"/>
    <w:rsid w:val="00B724FC"/>
    <w:rPr>
      <w:sz w:val="24"/>
    </w:rPr>
  </w:style>
  <w:style w:type="paragraph" w:styleId="Footer">
    <w:name w:val="footer"/>
    <w:basedOn w:val="Normal"/>
    <w:link w:val="FooterChar"/>
    <w:uiPriority w:val="99"/>
    <w:unhideWhenUsed/>
    <w:rsid w:val="00B724FC"/>
    <w:pPr>
      <w:tabs>
        <w:tab w:val="center" w:pos="4680"/>
        <w:tab w:val="right" w:pos="9360"/>
      </w:tabs>
    </w:pPr>
  </w:style>
  <w:style w:type="character" w:customStyle="1" w:styleId="FooterChar">
    <w:name w:val="Footer Char"/>
    <w:link w:val="Footer"/>
    <w:uiPriority w:val="99"/>
    <w:rsid w:val="00B724FC"/>
    <w:rPr>
      <w:sz w:val="24"/>
    </w:rPr>
  </w:style>
  <w:style w:type="table" w:styleId="TableGrid">
    <w:name w:val="Table Grid"/>
    <w:basedOn w:val="TableNormal"/>
    <w:uiPriority w:val="59"/>
    <w:rsid w:val="00AD14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F2ABE"/>
    <w:rPr>
      <w:rFonts w:ascii="Lucida Grande" w:hAnsi="Lucida Grande"/>
      <w:sz w:val="18"/>
      <w:szCs w:val="18"/>
    </w:rPr>
  </w:style>
  <w:style w:type="character" w:customStyle="1" w:styleId="BalloonTextChar">
    <w:name w:val="Balloon Text Char"/>
    <w:basedOn w:val="DefaultParagraphFont"/>
    <w:link w:val="BalloonText"/>
    <w:uiPriority w:val="99"/>
    <w:semiHidden/>
    <w:rsid w:val="001F2ABE"/>
    <w:rPr>
      <w:rFonts w:ascii="Lucida Grande" w:hAnsi="Lucida Grande"/>
      <w:sz w:val="18"/>
      <w:szCs w:val="18"/>
    </w:rPr>
  </w:style>
  <w:style w:type="character" w:styleId="CommentReference">
    <w:name w:val="annotation reference"/>
    <w:uiPriority w:val="99"/>
    <w:semiHidden/>
    <w:rsid w:val="00D02B72"/>
    <w:rPr>
      <w:sz w:val="16"/>
      <w:szCs w:val="16"/>
    </w:rPr>
  </w:style>
  <w:style w:type="paragraph" w:styleId="CommentText">
    <w:name w:val="annotation text"/>
    <w:basedOn w:val="Normal"/>
    <w:link w:val="CommentTextChar"/>
    <w:uiPriority w:val="99"/>
    <w:semiHidden/>
    <w:rsid w:val="00D02B72"/>
    <w:rPr>
      <w:sz w:val="20"/>
    </w:rPr>
  </w:style>
  <w:style w:type="character" w:customStyle="1" w:styleId="CommentTextChar">
    <w:name w:val="Comment Text Char"/>
    <w:basedOn w:val="DefaultParagraphFont"/>
    <w:link w:val="CommentText"/>
    <w:uiPriority w:val="99"/>
    <w:semiHidden/>
    <w:rsid w:val="00D02B72"/>
  </w:style>
  <w:style w:type="character" w:styleId="Hyperlink">
    <w:name w:val="Hyperlink"/>
    <w:uiPriority w:val="99"/>
    <w:rsid w:val="00D02B72"/>
    <w:rPr>
      <w:color w:val="0000FF"/>
      <w:u w:val="single"/>
    </w:rPr>
  </w:style>
  <w:style w:type="paragraph" w:styleId="FootnoteText">
    <w:name w:val="footnote text"/>
    <w:basedOn w:val="Normal"/>
    <w:link w:val="FootnoteTextChar"/>
    <w:rsid w:val="00D02B72"/>
    <w:rPr>
      <w:rFonts w:ascii="Arial" w:hAnsi="Arial"/>
      <w:sz w:val="20"/>
    </w:rPr>
  </w:style>
  <w:style w:type="character" w:customStyle="1" w:styleId="FootnoteTextChar">
    <w:name w:val="Footnote Text Char"/>
    <w:basedOn w:val="DefaultParagraphFont"/>
    <w:link w:val="FootnoteText"/>
    <w:rsid w:val="00D02B72"/>
    <w:rPr>
      <w:rFonts w:ascii="Arial" w:hAnsi="Arial"/>
    </w:rPr>
  </w:style>
  <w:style w:type="character" w:styleId="FootnoteReference">
    <w:name w:val="footnote reference"/>
    <w:rsid w:val="00D02B72"/>
    <w:rPr>
      <w:vertAlign w:val="superscript"/>
    </w:rPr>
  </w:style>
  <w:style w:type="paragraph" w:styleId="ListParagraph">
    <w:name w:val="List Paragraph"/>
    <w:basedOn w:val="Normal"/>
    <w:uiPriority w:val="34"/>
    <w:qFormat/>
    <w:rsid w:val="00D02B72"/>
    <w:pPr>
      <w:ind w:left="720"/>
      <w:contextualSpacing/>
    </w:pPr>
    <w:rPr>
      <w:rFonts w:ascii="Arial" w:hAnsi="Arial"/>
      <w:sz w:val="22"/>
      <w:szCs w:val="24"/>
    </w:rPr>
  </w:style>
  <w:style w:type="paragraph" w:styleId="CommentSubject">
    <w:name w:val="annotation subject"/>
    <w:basedOn w:val="CommentText"/>
    <w:next w:val="CommentText"/>
    <w:link w:val="CommentSubjectChar"/>
    <w:uiPriority w:val="99"/>
    <w:unhideWhenUsed/>
    <w:rsid w:val="00296550"/>
    <w:rPr>
      <w:b/>
      <w:bCs/>
    </w:rPr>
  </w:style>
  <w:style w:type="character" w:customStyle="1" w:styleId="CommentSubjectChar">
    <w:name w:val="Comment Subject Char"/>
    <w:basedOn w:val="CommentTextChar"/>
    <w:link w:val="CommentSubject"/>
    <w:uiPriority w:val="99"/>
    <w:rsid w:val="00296550"/>
    <w:rPr>
      <w:b/>
      <w:bCs/>
    </w:rPr>
  </w:style>
  <w:style w:type="paragraph" w:styleId="Title">
    <w:name w:val="Title"/>
    <w:basedOn w:val="Normal"/>
    <w:link w:val="TitleChar"/>
    <w:qFormat/>
    <w:rsid w:val="00A067A8"/>
    <w:pPr>
      <w:jc w:val="center"/>
    </w:pPr>
    <w:rPr>
      <w:rFonts w:ascii="Arial" w:hAnsi="Arial"/>
      <w:b/>
      <w:bCs/>
      <w:szCs w:val="24"/>
    </w:rPr>
  </w:style>
  <w:style w:type="character" w:customStyle="1" w:styleId="TitleChar">
    <w:name w:val="Title Char"/>
    <w:basedOn w:val="DefaultParagraphFont"/>
    <w:link w:val="Title"/>
    <w:rsid w:val="00A067A8"/>
    <w:rPr>
      <w:rFonts w:ascii="Arial" w:hAnsi="Arial"/>
      <w:b/>
      <w:bCs/>
      <w:sz w:val="24"/>
      <w:szCs w:val="24"/>
    </w:rPr>
  </w:style>
  <w:style w:type="paragraph" w:customStyle="1" w:styleId="Default">
    <w:name w:val="Default"/>
    <w:rsid w:val="00A067A8"/>
    <w:pPr>
      <w:autoSpaceDE w:val="0"/>
      <w:autoSpaceDN w:val="0"/>
      <w:adjustRightInd w:val="0"/>
    </w:pPr>
    <w:rPr>
      <w:rFonts w:ascii="Times-Roman" w:hAnsi="Times-Roman" w:cs="Times-Roman"/>
    </w:rPr>
  </w:style>
  <w:style w:type="paragraph" w:customStyle="1" w:styleId="CM72">
    <w:name w:val="CM72"/>
    <w:basedOn w:val="Default"/>
    <w:next w:val="Default"/>
    <w:rsid w:val="00A067A8"/>
    <w:pPr>
      <w:spacing w:after="398"/>
    </w:pPr>
    <w:rPr>
      <w:rFonts w:cs="Times New Roman"/>
      <w:sz w:val="24"/>
      <w:szCs w:val="24"/>
    </w:rPr>
  </w:style>
  <w:style w:type="paragraph" w:customStyle="1" w:styleId="CM76">
    <w:name w:val="CM76"/>
    <w:basedOn w:val="Default"/>
    <w:next w:val="Default"/>
    <w:rsid w:val="00A067A8"/>
    <w:pPr>
      <w:spacing w:after="236"/>
    </w:pPr>
    <w:rPr>
      <w:rFonts w:ascii="TimesNewRomanMS" w:hAnsi="TimesNewRomanMS" w:cs="Times New Roman"/>
      <w:sz w:val="24"/>
      <w:szCs w:val="24"/>
    </w:rPr>
  </w:style>
  <w:style w:type="character" w:customStyle="1" w:styleId="text">
    <w:name w:val="text"/>
    <w:basedOn w:val="DefaultParagraphFont"/>
    <w:rsid w:val="00A067A8"/>
  </w:style>
  <w:style w:type="character" w:styleId="Strong">
    <w:name w:val="Strong"/>
    <w:qFormat/>
    <w:rsid w:val="00A067A8"/>
    <w:rPr>
      <w:b/>
      <w:bCs/>
    </w:rPr>
  </w:style>
  <w:style w:type="character" w:styleId="FollowedHyperlink">
    <w:name w:val="FollowedHyperlink"/>
    <w:rsid w:val="00A067A8"/>
    <w:rPr>
      <w:color w:val="800080"/>
      <w:u w:val="single"/>
    </w:rPr>
  </w:style>
  <w:style w:type="paragraph" w:styleId="BodyText">
    <w:name w:val="Body Text"/>
    <w:basedOn w:val="Normal"/>
    <w:link w:val="BodyTextChar"/>
    <w:qFormat/>
    <w:rsid w:val="00A067A8"/>
    <w:pPr>
      <w:jc w:val="both"/>
    </w:pPr>
    <w:rPr>
      <w:sz w:val="22"/>
      <w:szCs w:val="24"/>
    </w:rPr>
  </w:style>
  <w:style w:type="character" w:customStyle="1" w:styleId="BodyTextChar">
    <w:name w:val="Body Text Char"/>
    <w:basedOn w:val="DefaultParagraphFont"/>
    <w:link w:val="BodyText"/>
    <w:rsid w:val="00A067A8"/>
    <w:rPr>
      <w:sz w:val="22"/>
      <w:szCs w:val="24"/>
    </w:rPr>
  </w:style>
  <w:style w:type="paragraph" w:styleId="BodyText2">
    <w:name w:val="Body Text 2"/>
    <w:basedOn w:val="Normal"/>
    <w:link w:val="BodyText2Char"/>
    <w:rsid w:val="00A067A8"/>
    <w:rPr>
      <w:rFonts w:ascii="Arial" w:hAnsi="Arial"/>
      <w:i/>
      <w:iCs/>
      <w:sz w:val="22"/>
      <w:szCs w:val="24"/>
    </w:rPr>
  </w:style>
  <w:style w:type="character" w:customStyle="1" w:styleId="BodyText2Char">
    <w:name w:val="Body Text 2 Char"/>
    <w:basedOn w:val="DefaultParagraphFont"/>
    <w:link w:val="BodyText2"/>
    <w:rsid w:val="00A067A8"/>
    <w:rPr>
      <w:rFonts w:ascii="Arial" w:hAnsi="Arial"/>
      <w:i/>
      <w:iCs/>
      <w:sz w:val="22"/>
      <w:szCs w:val="24"/>
    </w:rPr>
  </w:style>
  <w:style w:type="paragraph" w:styleId="Revision">
    <w:name w:val="Revision"/>
    <w:hidden/>
    <w:uiPriority w:val="99"/>
    <w:rsid w:val="00A067A8"/>
    <w:rPr>
      <w:rFonts w:ascii="Arial" w:hAnsi="Arial"/>
      <w:sz w:val="22"/>
      <w:szCs w:val="24"/>
    </w:rPr>
  </w:style>
  <w:style w:type="paragraph" w:customStyle="1" w:styleId="NRELBodyText">
    <w:name w:val="NREL_Body_Text"/>
    <w:link w:val="NRELBodyTextCharChar"/>
    <w:qFormat/>
    <w:rsid w:val="00A067A8"/>
    <w:pPr>
      <w:spacing w:after="240"/>
    </w:pPr>
    <w:rPr>
      <w:rFonts w:eastAsia="Times"/>
      <w:color w:val="000000"/>
      <w:sz w:val="24"/>
    </w:rPr>
  </w:style>
  <w:style w:type="character" w:customStyle="1" w:styleId="NRELBodyTextCharChar">
    <w:name w:val="NREL_Body_Text Char Char"/>
    <w:link w:val="NRELBodyText"/>
    <w:rsid w:val="00A067A8"/>
    <w:rPr>
      <w:rFonts w:eastAsia="Times"/>
      <w:color w:val="000000"/>
      <w:sz w:val="24"/>
    </w:rPr>
  </w:style>
  <w:style w:type="character" w:customStyle="1" w:styleId="displayctbr">
    <w:name w:val="displayctbr"/>
    <w:rsid w:val="00A067A8"/>
    <w:rPr>
      <w:b/>
      <w:bCs/>
    </w:rPr>
  </w:style>
  <w:style w:type="character" w:customStyle="1" w:styleId="selected">
    <w:name w:val="selected"/>
    <w:rsid w:val="00A067A8"/>
  </w:style>
  <w:style w:type="paragraph" w:styleId="Caption">
    <w:name w:val="caption"/>
    <w:basedOn w:val="Normal"/>
    <w:next w:val="Normal"/>
    <w:uiPriority w:val="35"/>
    <w:unhideWhenUsed/>
    <w:qFormat/>
    <w:rsid w:val="00A067A8"/>
    <w:rPr>
      <w:rFonts w:ascii="Arial" w:hAnsi="Arial"/>
      <w:b/>
      <w:bCs/>
      <w:sz w:val="20"/>
    </w:rPr>
  </w:style>
  <w:style w:type="paragraph" w:customStyle="1" w:styleId="ap-story-p">
    <w:name w:val="ap-story-p"/>
    <w:basedOn w:val="Normal"/>
    <w:rsid w:val="00A067A8"/>
    <w:pPr>
      <w:spacing w:before="100" w:beforeAutospacing="1" w:after="100" w:afterAutospacing="1"/>
    </w:pPr>
    <w:rPr>
      <w:szCs w:val="24"/>
    </w:rPr>
  </w:style>
  <w:style w:type="character" w:customStyle="1" w:styleId="AOP1">
    <w:name w:val="AOP1"/>
    <w:uiPriority w:val="1"/>
    <w:qFormat/>
    <w:rsid w:val="00A067A8"/>
    <w:rPr>
      <w:rFonts w:ascii="Calibri" w:hAnsi="Calibri"/>
      <w:color w:val="auto"/>
      <w:sz w:val="22"/>
    </w:rPr>
  </w:style>
  <w:style w:type="paragraph" w:customStyle="1" w:styleId="address">
    <w:name w:val="address"/>
    <w:basedOn w:val="Normal"/>
    <w:link w:val="addressChar"/>
    <w:qFormat/>
    <w:rsid w:val="00A067A8"/>
    <w:pPr>
      <w:jc w:val="center"/>
    </w:pPr>
    <w:rPr>
      <w:rFonts w:eastAsia="Calibri"/>
      <w:i/>
      <w:sz w:val="18"/>
      <w:szCs w:val="22"/>
    </w:rPr>
  </w:style>
  <w:style w:type="character" w:customStyle="1" w:styleId="addressChar">
    <w:name w:val="address Char"/>
    <w:basedOn w:val="DefaultParagraphFont"/>
    <w:link w:val="address"/>
    <w:rsid w:val="00A067A8"/>
    <w:rPr>
      <w:rFonts w:eastAsia="Calibri"/>
      <w:i/>
      <w:sz w:val="18"/>
      <w:szCs w:val="22"/>
    </w:rPr>
  </w:style>
  <w:style w:type="paragraph" w:customStyle="1" w:styleId="EndNoteBibliographyTitle">
    <w:name w:val="EndNote Bibliography Title"/>
    <w:basedOn w:val="Normal"/>
    <w:link w:val="EndNoteBibliographyTitleChar"/>
    <w:rsid w:val="00A067A8"/>
    <w:pPr>
      <w:jc w:val="center"/>
    </w:pPr>
    <w:rPr>
      <w:noProof/>
      <w:sz w:val="22"/>
      <w:szCs w:val="24"/>
    </w:rPr>
  </w:style>
  <w:style w:type="character" w:customStyle="1" w:styleId="EndNoteBibliographyTitleChar">
    <w:name w:val="EndNote Bibliography Title Char"/>
    <w:basedOn w:val="DefaultParagraphFont"/>
    <w:link w:val="EndNoteBibliographyTitle"/>
    <w:rsid w:val="00A067A8"/>
    <w:rPr>
      <w:noProof/>
      <w:sz w:val="22"/>
      <w:szCs w:val="24"/>
    </w:rPr>
  </w:style>
  <w:style w:type="paragraph" w:customStyle="1" w:styleId="EndNoteBibliography">
    <w:name w:val="EndNote Bibliography"/>
    <w:basedOn w:val="Normal"/>
    <w:link w:val="EndNoteBibliographyChar"/>
    <w:rsid w:val="00A067A8"/>
    <w:rPr>
      <w:noProof/>
      <w:sz w:val="22"/>
      <w:szCs w:val="24"/>
    </w:rPr>
  </w:style>
  <w:style w:type="character" w:customStyle="1" w:styleId="EndNoteBibliographyChar">
    <w:name w:val="EndNote Bibliography Char"/>
    <w:basedOn w:val="DefaultParagraphFont"/>
    <w:link w:val="EndNoteBibliography"/>
    <w:rsid w:val="00A067A8"/>
    <w:rPr>
      <w:noProof/>
      <w:sz w:val="22"/>
      <w:szCs w:val="24"/>
    </w:rPr>
  </w:style>
  <w:style w:type="paragraph" w:customStyle="1" w:styleId="Caption-Tab">
    <w:name w:val="Caption-Tab"/>
    <w:basedOn w:val="Caption"/>
    <w:next w:val="Normal"/>
    <w:qFormat/>
    <w:rsid w:val="00A067A8"/>
    <w:pPr>
      <w:keepNext/>
      <w:spacing w:before="240" w:after="120" w:line="264" w:lineRule="auto"/>
      <w:ind w:left="1037" w:hanging="1037"/>
    </w:pPr>
    <w:rPr>
      <w:rFonts w:ascii="Times New Roman" w:hAnsi="Times New Roman"/>
      <w:bCs w:val="0"/>
      <w:sz w:val="22"/>
      <w:szCs w:val="22"/>
    </w:rPr>
  </w:style>
  <w:style w:type="paragraph" w:customStyle="1" w:styleId="proptext11">
    <w:name w:val="prop text 11"/>
    <w:basedOn w:val="Normal"/>
    <w:link w:val="proptext11Char"/>
    <w:qFormat/>
    <w:rsid w:val="00A067A8"/>
    <w:pPr>
      <w:tabs>
        <w:tab w:val="left" w:pos="-1080"/>
        <w:tab w:val="left" w:pos="-720"/>
        <w:tab w:val="left" w:pos="400"/>
      </w:tabs>
      <w:spacing w:after="120"/>
    </w:pPr>
    <w:rPr>
      <w:sz w:val="22"/>
      <w:lang w:val="x-none" w:eastAsia="x-none"/>
    </w:rPr>
  </w:style>
  <w:style w:type="character" w:customStyle="1" w:styleId="proptext11Char">
    <w:name w:val="prop text 11 Char"/>
    <w:link w:val="proptext11"/>
    <w:rsid w:val="00A067A8"/>
    <w:rPr>
      <w:sz w:val="22"/>
      <w:lang w:val="x-none" w:eastAsia="x-none"/>
    </w:rPr>
  </w:style>
  <w:style w:type="paragraph" w:styleId="NormalWeb">
    <w:name w:val="Normal (Web)"/>
    <w:basedOn w:val="Normal"/>
    <w:uiPriority w:val="99"/>
    <w:unhideWhenUsed/>
    <w:rsid w:val="00A067A8"/>
    <w:pPr>
      <w:spacing w:before="100" w:beforeAutospacing="1" w:after="100" w:afterAutospacing="1"/>
    </w:pPr>
    <w:rPr>
      <w:rFonts w:eastAsiaTheme="minorEastAsia"/>
      <w:szCs w:val="24"/>
    </w:rPr>
  </w:style>
  <w:style w:type="paragraph" w:customStyle="1" w:styleId="Caption-Fig">
    <w:name w:val="Caption-Fig"/>
    <w:basedOn w:val="Caption"/>
    <w:next w:val="Normal"/>
    <w:qFormat/>
    <w:rsid w:val="00A067A8"/>
    <w:pPr>
      <w:spacing w:before="120" w:after="240"/>
      <w:ind w:left="1138" w:hanging="1138"/>
    </w:pPr>
    <w:rPr>
      <w:rFonts w:ascii="Times New Roman" w:hAnsi="Times New Roman"/>
      <w:bCs w:val="0"/>
      <w:sz w:val="22"/>
      <w:szCs w:val="22"/>
    </w:rPr>
  </w:style>
  <w:style w:type="character" w:styleId="PlaceholderText">
    <w:name w:val="Placeholder Text"/>
    <w:basedOn w:val="DefaultParagraphFont"/>
    <w:uiPriority w:val="99"/>
    <w:rsid w:val="00A067A8"/>
    <w:rPr>
      <w:color w:val="808080"/>
    </w:rPr>
  </w:style>
  <w:style w:type="paragraph" w:customStyle="1" w:styleId="Style1">
    <w:name w:val="Style1"/>
    <w:basedOn w:val="Caption-Fig"/>
    <w:link w:val="Style1Char"/>
    <w:qFormat/>
    <w:rsid w:val="00A067A8"/>
    <w:pPr>
      <w:jc w:val="center"/>
    </w:pPr>
    <w:rPr>
      <w:lang w:val="en" w:eastAsia="x-none"/>
    </w:rPr>
  </w:style>
  <w:style w:type="character" w:customStyle="1" w:styleId="Style1Char">
    <w:name w:val="Style1 Char"/>
    <w:basedOn w:val="DefaultParagraphFont"/>
    <w:link w:val="Style1"/>
    <w:rsid w:val="00A067A8"/>
    <w:rPr>
      <w:b/>
      <w:sz w:val="22"/>
      <w:szCs w:val="22"/>
      <w:lang w:val="en" w:eastAsia="x-none"/>
    </w:rPr>
  </w:style>
  <w:style w:type="character" w:styleId="Emphasis">
    <w:name w:val="Emphasis"/>
    <w:basedOn w:val="DefaultParagraphFont"/>
    <w:qFormat/>
    <w:rsid w:val="00A067A8"/>
    <w:rPr>
      <w:i/>
      <w:iCs/>
    </w:rPr>
  </w:style>
  <w:style w:type="table" w:customStyle="1" w:styleId="TableGrid9">
    <w:name w:val="Table Grid9"/>
    <w:basedOn w:val="TableNormal"/>
    <w:next w:val="TableGrid"/>
    <w:uiPriority w:val="59"/>
    <w:rsid w:val="00A067A8"/>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6.emf"/><Relationship Id="rId26" Type="http://schemas.openxmlformats.org/officeDocument/2006/relationships/hyperlink" Target="http://water.epa.gov/polwaste/wastewater/treatment/biosolids/genqa.cfm" TargetMode="Externa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nrel.gov/docs/fy11osti/51400.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chart" Target="charts/chart7.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7.emf"/><Relationship Id="rId27" Type="http://schemas.openxmlformats.org/officeDocument/2006/relationships/hyperlink" Target="http://www.nrel.gov/docs/fy11osti/47764.pdf"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HTL%20WERF%2002%20Sludge%20-HTL%20and%20CHG%20only%20cost%20v1.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Centralized%20Sludge%20HTL%20Bio-oil%20upgrading%20Cost%203.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HTL%20WERF%2002%20Sludge%20-HTL%20and%20CHG%20only%20cost%20v1.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HTL%20WERF%2002%20Sludge%20-HTL%20and%20CHG%20only%20cost%20v1.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HTL%20WERF%2002%20Sludge%20-HTL%20and%20CHG%20only%20cost%20v1.xlsm"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3g126\Documents\HTL%20Wet%20Waste%20TEA\WERF%20Modeling\Cost%20Sheets\Centralized%20Sludge%20HTL%20Bio-oil%20upgrading%20Cost%203.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3g126\Documents\HTL%20Wet%20Waste%20TEA\WERF%20Modeling\Cost%20Sheets\Centralized%20Sludge%20HTL%20Bio-oil%20upgrading%20Cost%20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Sensitivities!$A$86:$A$90</c:f>
              <c:strCache>
                <c:ptCount val="5"/>
                <c:pt idx="0">
                  <c:v>Base case</c:v>
                </c:pt>
                <c:pt idx="1">
                  <c:v>With Sludge Credit $50/dry ton</c:v>
                </c:pt>
                <c:pt idx="2">
                  <c:v>Increased biocrude yield (45%)</c:v>
                </c:pt>
                <c:pt idx="3">
                  <c:v>Increased HTL Feed Solids (15%)</c:v>
                </c:pt>
                <c:pt idx="4">
                  <c:v>Combined large and small WWTPs</c:v>
                </c:pt>
              </c:strCache>
            </c:strRef>
          </c:cat>
          <c:val>
            <c:numRef>
              <c:f>Sensitivities!$B$86:$B$90</c:f>
              <c:numCache>
                <c:formatCode>General_)</c:formatCode>
                <c:ptCount val="5"/>
                <c:pt idx="0">
                  <c:v>4.09</c:v>
                </c:pt>
                <c:pt idx="1">
                  <c:v>3.57</c:v>
                </c:pt>
                <c:pt idx="2">
                  <c:v>3.22</c:v>
                </c:pt>
                <c:pt idx="3">
                  <c:v>2.73</c:v>
                </c:pt>
                <c:pt idx="4">
                  <c:v>2.37</c:v>
                </c:pt>
              </c:numCache>
            </c:numRef>
          </c:val>
        </c:ser>
        <c:dLbls>
          <c:showLegendKey val="0"/>
          <c:showVal val="0"/>
          <c:showCatName val="0"/>
          <c:showSerName val="0"/>
          <c:showPercent val="0"/>
          <c:showBubbleSize val="0"/>
        </c:dLbls>
        <c:gapWidth val="219"/>
        <c:overlap val="-27"/>
        <c:axId val="293123968"/>
        <c:axId val="294211584"/>
      </c:barChart>
      <c:catAx>
        <c:axId val="29312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4211584"/>
        <c:crosses val="autoZero"/>
        <c:auto val="1"/>
        <c:lblAlgn val="ctr"/>
        <c:lblOffset val="100"/>
        <c:noMultiLvlLbl val="0"/>
      </c:catAx>
      <c:valAx>
        <c:axId val="29421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MFSP, $/gge biocrude</a:t>
                </a:r>
              </a:p>
            </c:rich>
          </c:tx>
          <c:layout>
            <c:manualLayout>
              <c:xMode val="edge"/>
              <c:yMode val="edge"/>
              <c:x val="2.2222222222222223E-2"/>
              <c:y val="0.18121096931849037"/>
            </c:manualLayout>
          </c:layout>
          <c:overlay val="0"/>
          <c:spPr>
            <a:noFill/>
            <a:ln>
              <a:noFill/>
            </a:ln>
            <a:effectLst/>
          </c:spPr>
        </c:title>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312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Sensitivities!$A$46:$A$51</c:f>
              <c:strCache>
                <c:ptCount val="6"/>
                <c:pt idx="0">
                  <c:v>Base case</c:v>
                </c:pt>
                <c:pt idx="1">
                  <c:v>With Sludge Credit $50/dry ton</c:v>
                </c:pt>
                <c:pt idx="2">
                  <c:v>Increased Biocrude Yield (45%)</c:v>
                </c:pt>
                <c:pt idx="3">
                  <c:v>Increased HTL Feed Solids (15%)</c:v>
                </c:pt>
                <c:pt idx="4">
                  <c:v>Combined Large and Small WWTPs</c:v>
                </c:pt>
                <c:pt idx="5">
                  <c:v>Increased Hydrotreated Biocrude Yield (90 g/g dry biocrude)</c:v>
                </c:pt>
              </c:strCache>
            </c:strRef>
          </c:cat>
          <c:val>
            <c:numRef>
              <c:f>Sensitivities!$B$46:$B$51</c:f>
              <c:numCache>
                <c:formatCode>General_)</c:formatCode>
                <c:ptCount val="6"/>
                <c:pt idx="0">
                  <c:v>5.15</c:v>
                </c:pt>
                <c:pt idx="1">
                  <c:v>4.58</c:v>
                </c:pt>
                <c:pt idx="2">
                  <c:v>4.21</c:v>
                </c:pt>
                <c:pt idx="3">
                  <c:v>3.68</c:v>
                </c:pt>
                <c:pt idx="4">
                  <c:v>3.29</c:v>
                </c:pt>
                <c:pt idx="5">
                  <c:v>2.92</c:v>
                </c:pt>
              </c:numCache>
            </c:numRef>
          </c:val>
        </c:ser>
        <c:dLbls>
          <c:showLegendKey val="0"/>
          <c:showVal val="0"/>
          <c:showCatName val="0"/>
          <c:showSerName val="0"/>
          <c:showPercent val="0"/>
          <c:showBubbleSize val="0"/>
        </c:dLbls>
        <c:gapWidth val="219"/>
        <c:overlap val="-27"/>
        <c:axId val="294565376"/>
        <c:axId val="294567296"/>
      </c:barChart>
      <c:catAx>
        <c:axId val="29456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4567296"/>
        <c:crosses val="autoZero"/>
        <c:auto val="1"/>
        <c:lblAlgn val="ctr"/>
        <c:lblOffset val="100"/>
        <c:noMultiLvlLbl val="0"/>
      </c:catAx>
      <c:valAx>
        <c:axId val="29456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MFSP, $/gge upgraded fuel</a:t>
                </a:r>
              </a:p>
            </c:rich>
          </c:tx>
          <c:layout>
            <c:manualLayout>
              <c:xMode val="edge"/>
              <c:yMode val="edge"/>
              <c:x val="1.875952632196037E-2"/>
              <c:y val="0.1726720991614934"/>
            </c:manualLayout>
          </c:layout>
          <c:overlay val="0"/>
          <c:spPr>
            <a:noFill/>
            <a:ln>
              <a:noFill/>
            </a:ln>
            <a:effectLst/>
          </c:spPr>
        </c:title>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4565376"/>
        <c:crosses val="autoZero"/>
        <c:crossBetween val="between"/>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5045340578083981"/>
          <c:y val="3.6385524030984738E-2"/>
          <c:w val="0.50916824288205487"/>
          <c:h val="0.78696835657501008"/>
        </c:manualLayout>
      </c:layout>
      <c:barChart>
        <c:barDir val="bar"/>
        <c:grouping val="stacked"/>
        <c:varyColors val="0"/>
        <c:ser>
          <c:idx val="0"/>
          <c:order val="0"/>
          <c:spPr>
            <a:pattFill prst="dkDnDiag">
              <a:fgClr>
                <a:schemeClr val="accent1"/>
              </a:fgClr>
              <a:bgClr>
                <a:schemeClr val="bg1"/>
              </a:bgClr>
            </a:pattFill>
            <a:ln>
              <a:noFill/>
            </a:ln>
            <a:effectLst/>
          </c:spPr>
          <c:invertIfNegative val="0"/>
          <c:cat>
            <c:strRef>
              <c:f>Sensitivities!$A$38:$A$48</c:f>
              <c:strCache>
                <c:ptCount val="11"/>
                <c:pt idx="0">
                  <c:v>CHG Water Disposal Fee: ($0/ton : $0.07/kg COD)</c:v>
                </c:pt>
                <c:pt idx="1">
                  <c:v>HTL Reactor LHSV, hr-1: (4 : 2)</c:v>
                </c:pt>
                <c:pt idx="2">
                  <c:v>Project Contingency: (0% : 10% : 20%)</c:v>
                </c:pt>
                <c:pt idx="3">
                  <c:v>CHG Section Capital (-40% : base : +40%)</c:v>
                </c:pt>
                <c:pt idx="4">
                  <c:v>HTL Section Capital (-40% : base : + 40%)</c:v>
                </c:pt>
                <c:pt idx="5">
                  <c:v>Total Project Investment (-10% : base : +40%)</c:v>
                </c:pt>
                <c:pt idx="6">
                  <c:v>Internal Rate of Return, IRR (5%: 10% : 15%)</c:v>
                </c:pt>
                <c:pt idx="7">
                  <c:v>Slurry Solids Content: (15% : 12%)</c:v>
                </c:pt>
                <c:pt idx="8">
                  <c:v>Sludge Credit, $/dry ton (125 : 0 : -25 (cost))</c:v>
                </c:pt>
                <c:pt idx="9">
                  <c:v>Biocrude Yield (AFDW) (45% : 40.6% : 25%)</c:v>
                </c:pt>
                <c:pt idx="10">
                  <c:v>Plant Scale Dry Feedstock, ton/d (950 tpd : 100 tpd : 20 tpd)</c:v>
                </c:pt>
              </c:strCache>
            </c:strRef>
          </c:cat>
          <c:val>
            <c:numRef>
              <c:f>Sensitivities!$H$38:$H$48</c:f>
              <c:numCache>
                <c:formatCode>General_)</c:formatCode>
                <c:ptCount val="11"/>
                <c:pt idx="0">
                  <c:v>8.0000000000000071E-2</c:v>
                </c:pt>
                <c:pt idx="1">
                  <c:v>-0.12999999999999989</c:v>
                </c:pt>
                <c:pt idx="2">
                  <c:v>-0.17999999999999972</c:v>
                </c:pt>
                <c:pt idx="3">
                  <c:v>-0.36999999999999966</c:v>
                </c:pt>
                <c:pt idx="4">
                  <c:v>-0.71</c:v>
                </c:pt>
                <c:pt idx="5">
                  <c:v>-0.29000000000000004</c:v>
                </c:pt>
                <c:pt idx="6">
                  <c:v>-0.79</c:v>
                </c:pt>
                <c:pt idx="7">
                  <c:v>-0.56000000000000005</c:v>
                </c:pt>
                <c:pt idx="8">
                  <c:v>-1.2799999999999998</c:v>
                </c:pt>
                <c:pt idx="9">
                  <c:v>-0.39999999999999991</c:v>
                </c:pt>
                <c:pt idx="10">
                  <c:v>-1.81</c:v>
                </c:pt>
              </c:numCache>
            </c:numRef>
          </c:val>
        </c:ser>
        <c:ser>
          <c:idx val="1"/>
          <c:order val="1"/>
          <c:spPr>
            <a:pattFill prst="dkDnDiag">
              <a:fgClr>
                <a:schemeClr val="accent1"/>
              </a:fgClr>
              <a:bgClr>
                <a:schemeClr val="bg1"/>
              </a:bgClr>
            </a:pattFill>
            <a:ln>
              <a:noFill/>
            </a:ln>
            <a:effectLst/>
          </c:spPr>
          <c:invertIfNegative val="0"/>
          <c:cat>
            <c:strRef>
              <c:f>Sensitivities!$A$38:$A$48</c:f>
              <c:strCache>
                <c:ptCount val="11"/>
                <c:pt idx="0">
                  <c:v>CHG Water Disposal Fee: ($0/ton : $0.07/kg COD)</c:v>
                </c:pt>
                <c:pt idx="1">
                  <c:v>HTL Reactor LHSV, hr-1: (4 : 2)</c:v>
                </c:pt>
                <c:pt idx="2">
                  <c:v>Project Contingency: (0% : 10% : 20%)</c:v>
                </c:pt>
                <c:pt idx="3">
                  <c:v>CHG Section Capital (-40% : base : +40%)</c:v>
                </c:pt>
                <c:pt idx="4">
                  <c:v>HTL Section Capital (-40% : base : + 40%)</c:v>
                </c:pt>
                <c:pt idx="5">
                  <c:v>Total Project Investment (-10% : base : +40%)</c:v>
                </c:pt>
                <c:pt idx="6">
                  <c:v>Internal Rate of Return, IRR (5%: 10% : 15%)</c:v>
                </c:pt>
                <c:pt idx="7">
                  <c:v>Slurry Solids Content: (15% : 12%)</c:v>
                </c:pt>
                <c:pt idx="8">
                  <c:v>Sludge Credit, $/dry ton (125 : 0 : -25 (cost))</c:v>
                </c:pt>
                <c:pt idx="9">
                  <c:v>Biocrude Yield (AFDW) (45% : 40.6% : 25%)</c:v>
                </c:pt>
                <c:pt idx="10">
                  <c:v>Plant Scale Dry Feedstock, ton/d (950 tpd : 100 tpd : 20 tpd)</c:v>
                </c:pt>
              </c:strCache>
            </c:strRef>
          </c:cat>
          <c:val>
            <c:numRef>
              <c:f>Sensitivities!$I$38:$I$48</c:f>
              <c:numCache>
                <c:formatCode>General_)</c:formatCode>
                <c:ptCount val="11"/>
                <c:pt idx="0">
                  <c:v>0</c:v>
                </c:pt>
                <c:pt idx="1">
                  <c:v>0</c:v>
                </c:pt>
                <c:pt idx="2">
                  <c:v>0.16999999999999993</c:v>
                </c:pt>
                <c:pt idx="3">
                  <c:v>0.36000000000000032</c:v>
                </c:pt>
                <c:pt idx="4">
                  <c:v>0.70000000000000018</c:v>
                </c:pt>
                <c:pt idx="5">
                  <c:v>1.1400000000000006</c:v>
                </c:pt>
                <c:pt idx="6">
                  <c:v>0.79999999999999982</c:v>
                </c:pt>
                <c:pt idx="7">
                  <c:v>0</c:v>
                </c:pt>
                <c:pt idx="8">
                  <c:v>0.75</c:v>
                </c:pt>
                <c:pt idx="9">
                  <c:v>2.5499999999999998</c:v>
                </c:pt>
                <c:pt idx="10">
                  <c:v>3.83</c:v>
                </c:pt>
              </c:numCache>
            </c:numRef>
          </c:val>
        </c:ser>
        <c:dLbls>
          <c:showLegendKey val="0"/>
          <c:showVal val="0"/>
          <c:showCatName val="0"/>
          <c:showSerName val="0"/>
          <c:showPercent val="0"/>
          <c:showBubbleSize val="0"/>
        </c:dLbls>
        <c:gapWidth val="150"/>
        <c:overlap val="100"/>
        <c:axId val="272956416"/>
        <c:axId val="283058944"/>
      </c:barChart>
      <c:catAx>
        <c:axId val="272956416"/>
        <c:scaling>
          <c:orientation val="minMax"/>
        </c:scaling>
        <c:delete val="0"/>
        <c:axPos val="l"/>
        <c:numFmt formatCode="General" sourceLinked="1"/>
        <c:majorTickMark val="none"/>
        <c:minorTickMark val="none"/>
        <c:tickLblPos val="low"/>
        <c:spPr>
          <a:noFill/>
          <a:ln w="12700" cap="flat" cmpd="sng" algn="ctr">
            <a:solidFill>
              <a:schemeClr val="accent1"/>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83058944"/>
        <c:crosses val="autoZero"/>
        <c:auto val="1"/>
        <c:lblAlgn val="ctr"/>
        <c:lblOffset val="100"/>
        <c:noMultiLvlLbl val="0"/>
      </c:catAx>
      <c:valAx>
        <c:axId val="283058944"/>
        <c:scaling>
          <c:orientation val="minMax"/>
          <c:max val="4"/>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Change from Base Case of</a:t>
                </a:r>
                <a:r>
                  <a:rPr lang="en-US" baseline="0"/>
                  <a:t> $4.09</a:t>
                </a:r>
                <a:r>
                  <a:rPr lang="en-US"/>
                  <a:t>/gge</a:t>
                </a:r>
              </a:p>
            </c:rich>
          </c:tx>
          <c:overlay val="0"/>
          <c:spPr>
            <a:noFill/>
            <a:ln>
              <a:noFill/>
            </a:ln>
            <a:effectLst/>
          </c:spPr>
        </c:title>
        <c:numFmt formatCode="&quot;$&quot;#,##0.00" sourceLinked="0"/>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72956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2467462762831"/>
          <c:y val="3.9263410548563527E-2"/>
          <c:w val="0.64080746642185804"/>
          <c:h val="0.77011877392482353"/>
        </c:manualLayout>
      </c:layout>
      <c:scatterChart>
        <c:scatterStyle val="smoothMarker"/>
        <c:varyColors val="0"/>
        <c:ser>
          <c:idx val="4"/>
          <c:order val="0"/>
          <c:tx>
            <c:strRef>
              <c:f>Sensitivities!$C$52</c:f>
              <c:strCache>
                <c:ptCount val="1"/>
                <c:pt idx="0">
                  <c:v>20 dry ton/day</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Sensitivities!$B$53:$B$57</c:f>
              <c:numCache>
                <c:formatCode>General_)</c:formatCode>
                <c:ptCount val="5"/>
                <c:pt idx="0">
                  <c:v>-25</c:v>
                </c:pt>
                <c:pt idx="1">
                  <c:v>25</c:v>
                </c:pt>
                <c:pt idx="2">
                  <c:v>50</c:v>
                </c:pt>
                <c:pt idx="3">
                  <c:v>100</c:v>
                </c:pt>
                <c:pt idx="4">
                  <c:v>125</c:v>
                </c:pt>
              </c:numCache>
            </c:numRef>
          </c:xVal>
          <c:yVal>
            <c:numRef>
              <c:f>Sensitivities!$C$53:$C$57</c:f>
              <c:numCache>
                <c:formatCode>General_)</c:formatCode>
                <c:ptCount val="5"/>
                <c:pt idx="0">
                  <c:v>8.18</c:v>
                </c:pt>
                <c:pt idx="1">
                  <c:v>7.67</c:v>
                </c:pt>
                <c:pt idx="2">
                  <c:v>7.41</c:v>
                </c:pt>
                <c:pt idx="3">
                  <c:v>6.9</c:v>
                </c:pt>
                <c:pt idx="4">
                  <c:v>6.64</c:v>
                </c:pt>
              </c:numCache>
            </c:numRef>
          </c:yVal>
          <c:smooth val="1"/>
        </c:ser>
        <c:ser>
          <c:idx val="1"/>
          <c:order val="1"/>
          <c:tx>
            <c:strRef>
              <c:f>Sensitivities!$D$52</c:f>
              <c:strCache>
                <c:ptCount val="1"/>
                <c:pt idx="0">
                  <c:v>50 dry ton/day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Sensitivities!$B$53:$B$57</c:f>
              <c:numCache>
                <c:formatCode>General_)</c:formatCode>
                <c:ptCount val="5"/>
                <c:pt idx="0">
                  <c:v>-25</c:v>
                </c:pt>
                <c:pt idx="1">
                  <c:v>25</c:v>
                </c:pt>
                <c:pt idx="2">
                  <c:v>50</c:v>
                </c:pt>
                <c:pt idx="3">
                  <c:v>100</c:v>
                </c:pt>
                <c:pt idx="4">
                  <c:v>125</c:v>
                </c:pt>
              </c:numCache>
            </c:numRef>
          </c:xVal>
          <c:yVal>
            <c:numRef>
              <c:f>Sensitivities!$D$53:$D$57</c:f>
              <c:numCache>
                <c:formatCode>General_)</c:formatCode>
                <c:ptCount val="5"/>
                <c:pt idx="0">
                  <c:v>5.5</c:v>
                </c:pt>
                <c:pt idx="1">
                  <c:v>4.99</c:v>
                </c:pt>
                <c:pt idx="2">
                  <c:v>4.74</c:v>
                </c:pt>
                <c:pt idx="3">
                  <c:v>4.22</c:v>
                </c:pt>
                <c:pt idx="4">
                  <c:v>3.97</c:v>
                </c:pt>
              </c:numCache>
            </c:numRef>
          </c:yVal>
          <c:smooth val="1"/>
        </c:ser>
        <c:ser>
          <c:idx val="2"/>
          <c:order val="2"/>
          <c:tx>
            <c:strRef>
              <c:f>Sensitivities!$E$52</c:f>
              <c:strCache>
                <c:ptCount val="1"/>
                <c:pt idx="0">
                  <c:v>100 dry ton/day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Sensitivities!$B$53:$B$57</c:f>
              <c:numCache>
                <c:formatCode>General_)</c:formatCode>
                <c:ptCount val="5"/>
                <c:pt idx="0">
                  <c:v>-25</c:v>
                </c:pt>
                <c:pt idx="1">
                  <c:v>25</c:v>
                </c:pt>
                <c:pt idx="2">
                  <c:v>50</c:v>
                </c:pt>
                <c:pt idx="3">
                  <c:v>100</c:v>
                </c:pt>
                <c:pt idx="4">
                  <c:v>125</c:v>
                </c:pt>
              </c:numCache>
            </c:numRef>
          </c:xVal>
          <c:yVal>
            <c:numRef>
              <c:f>Sensitivities!$E$53:$E$57</c:f>
              <c:numCache>
                <c:formatCode>General_)</c:formatCode>
                <c:ptCount val="5"/>
                <c:pt idx="0">
                  <c:v>4.34</c:v>
                </c:pt>
                <c:pt idx="1">
                  <c:v>3.83</c:v>
                </c:pt>
                <c:pt idx="2">
                  <c:v>3.57</c:v>
                </c:pt>
                <c:pt idx="3">
                  <c:v>3.06</c:v>
                </c:pt>
                <c:pt idx="4">
                  <c:v>2.81</c:v>
                </c:pt>
              </c:numCache>
            </c:numRef>
          </c:yVal>
          <c:smooth val="1"/>
        </c:ser>
        <c:ser>
          <c:idx val="3"/>
          <c:order val="3"/>
          <c:tx>
            <c:strRef>
              <c:f>Sensitivities!$F$52</c:f>
              <c:strCache>
                <c:ptCount val="1"/>
                <c:pt idx="0">
                  <c:v>250 dry ton/day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Sensitivities!$B$53:$B$57</c:f>
              <c:numCache>
                <c:formatCode>General_)</c:formatCode>
                <c:ptCount val="5"/>
                <c:pt idx="0">
                  <c:v>-25</c:v>
                </c:pt>
                <c:pt idx="1">
                  <c:v>25</c:v>
                </c:pt>
                <c:pt idx="2">
                  <c:v>50</c:v>
                </c:pt>
                <c:pt idx="3">
                  <c:v>100</c:v>
                </c:pt>
                <c:pt idx="4">
                  <c:v>125</c:v>
                </c:pt>
              </c:numCache>
            </c:numRef>
          </c:xVal>
          <c:yVal>
            <c:numRef>
              <c:f>Sensitivities!$F$53:$F$57</c:f>
              <c:numCache>
                <c:formatCode>General_)</c:formatCode>
                <c:ptCount val="5"/>
                <c:pt idx="0">
                  <c:v>3.37</c:v>
                </c:pt>
                <c:pt idx="1">
                  <c:v>2.86</c:v>
                </c:pt>
                <c:pt idx="2">
                  <c:v>2.6</c:v>
                </c:pt>
                <c:pt idx="3">
                  <c:v>2.09</c:v>
                </c:pt>
                <c:pt idx="4">
                  <c:v>1.83</c:v>
                </c:pt>
              </c:numCache>
            </c:numRef>
          </c:yVal>
          <c:smooth val="1"/>
        </c:ser>
        <c:ser>
          <c:idx val="0"/>
          <c:order val="4"/>
          <c:tx>
            <c:strRef>
              <c:f>Sensitivities!$G$52</c:f>
              <c:strCache>
                <c:ptCount val="1"/>
                <c:pt idx="0">
                  <c:v>500 dry ton/day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Sensitivities!$B$53:$B$57</c:f>
              <c:numCache>
                <c:formatCode>General_)</c:formatCode>
                <c:ptCount val="5"/>
                <c:pt idx="0">
                  <c:v>-25</c:v>
                </c:pt>
                <c:pt idx="1">
                  <c:v>25</c:v>
                </c:pt>
                <c:pt idx="2">
                  <c:v>50</c:v>
                </c:pt>
                <c:pt idx="3">
                  <c:v>100</c:v>
                </c:pt>
                <c:pt idx="4">
                  <c:v>125</c:v>
                </c:pt>
              </c:numCache>
            </c:numRef>
          </c:xVal>
          <c:yVal>
            <c:numRef>
              <c:f>Sensitivities!$G$53:$G$57</c:f>
              <c:numCache>
                <c:formatCode>General_)</c:formatCode>
                <c:ptCount val="5"/>
                <c:pt idx="0">
                  <c:v>2.88</c:v>
                </c:pt>
                <c:pt idx="1">
                  <c:v>2.36</c:v>
                </c:pt>
                <c:pt idx="2">
                  <c:v>2.11</c:v>
                </c:pt>
                <c:pt idx="3">
                  <c:v>1.6</c:v>
                </c:pt>
                <c:pt idx="4">
                  <c:v>1.34</c:v>
                </c:pt>
              </c:numCache>
            </c:numRef>
          </c:yVal>
          <c:smooth val="1"/>
        </c:ser>
        <c:dLbls>
          <c:showLegendKey val="0"/>
          <c:showVal val="0"/>
          <c:showCatName val="0"/>
          <c:showSerName val="0"/>
          <c:showPercent val="0"/>
          <c:showBubbleSize val="0"/>
        </c:dLbls>
        <c:axId val="283085824"/>
        <c:axId val="283088384"/>
      </c:scatterChart>
      <c:valAx>
        <c:axId val="283085824"/>
        <c:scaling>
          <c:orientation val="minMax"/>
          <c:max val="150"/>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Sludge Credit (Cost), $/dry ton</a:t>
                </a:r>
              </a:p>
            </c:rich>
          </c:tx>
          <c:layout>
            <c:manualLayout>
              <c:xMode val="edge"/>
              <c:yMode val="edge"/>
              <c:x val="0.31041667486665042"/>
              <c:y val="0.87433909871220505"/>
            </c:manualLayout>
          </c:layout>
          <c:overlay val="0"/>
          <c:spPr>
            <a:noFill/>
            <a:ln>
              <a:noFill/>
            </a:ln>
            <a:effectLst/>
          </c:spPr>
        </c:title>
        <c:numFmt formatCode="General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83088384"/>
        <c:crosses val="autoZero"/>
        <c:crossBetween val="midCat"/>
        <c:majorUnit val="25"/>
      </c:valAx>
      <c:valAx>
        <c:axId val="28308838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Biocrude MFSP, $/gge</a:t>
                </a:r>
              </a:p>
            </c:rich>
          </c:tx>
          <c:layout>
            <c:manualLayout>
              <c:xMode val="edge"/>
              <c:yMode val="edge"/>
              <c:x val="2.0902616301663339E-2"/>
              <c:y val="0.2439252730451206"/>
            </c:manualLayout>
          </c:layout>
          <c:overlay val="0"/>
          <c:spPr>
            <a:noFill/>
            <a:ln>
              <a:noFill/>
            </a:ln>
            <a:effectLst/>
          </c:spPr>
        </c:title>
        <c:numFmt formatCode="#,##0.00"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83085824"/>
        <c:crosses val="autoZero"/>
        <c:crossBetween val="midCat"/>
      </c:valAx>
      <c:spPr>
        <a:noFill/>
        <a:ln>
          <a:noFill/>
        </a:ln>
        <a:effectLst/>
      </c:spPr>
    </c:plotArea>
    <c:legend>
      <c:legendPos val="r"/>
      <c:layout>
        <c:manualLayout>
          <c:xMode val="edge"/>
          <c:yMode val="edge"/>
          <c:x val="0.7775144174104347"/>
          <c:y val="0.34941484308688542"/>
          <c:w val="0.21757615365782387"/>
          <c:h val="0.40099766757414107"/>
        </c:manualLayout>
      </c:layout>
      <c:overlay val="0"/>
      <c:spPr>
        <a:noFill/>
        <a:ln>
          <a:noFill/>
        </a:ln>
        <a:effectLst/>
      </c:spPr>
      <c:txPr>
        <a:bodyPr rot="0" spcFirstLastPara="1" vertOverflow="ellipsis" vert="horz" wrap="square" anchor="ctr" anchorCtr="1"/>
        <a:lstStyle/>
        <a:p>
          <a:pPr>
            <a:defRPr sz="8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Sensitivities!$A$86:$A$90</c:f>
              <c:strCache>
                <c:ptCount val="5"/>
                <c:pt idx="0">
                  <c:v>Base case</c:v>
                </c:pt>
                <c:pt idx="1">
                  <c:v>With Sludge Credit $50/dry ton</c:v>
                </c:pt>
                <c:pt idx="2">
                  <c:v>Increased biocrude yield (45%)</c:v>
                </c:pt>
                <c:pt idx="3">
                  <c:v>Increased HTL Feed Solids (15%)</c:v>
                </c:pt>
                <c:pt idx="4">
                  <c:v>Combined large and small WWTPs</c:v>
                </c:pt>
              </c:strCache>
            </c:strRef>
          </c:cat>
          <c:val>
            <c:numRef>
              <c:f>Sensitivities!$B$86:$B$90</c:f>
              <c:numCache>
                <c:formatCode>General_)</c:formatCode>
                <c:ptCount val="5"/>
                <c:pt idx="0">
                  <c:v>4.09</c:v>
                </c:pt>
                <c:pt idx="1">
                  <c:v>3.57</c:v>
                </c:pt>
                <c:pt idx="2">
                  <c:v>3.22</c:v>
                </c:pt>
                <c:pt idx="3">
                  <c:v>2.73</c:v>
                </c:pt>
                <c:pt idx="4">
                  <c:v>2.37</c:v>
                </c:pt>
              </c:numCache>
            </c:numRef>
          </c:val>
        </c:ser>
        <c:dLbls>
          <c:showLegendKey val="0"/>
          <c:showVal val="0"/>
          <c:showCatName val="0"/>
          <c:showSerName val="0"/>
          <c:showPercent val="0"/>
          <c:showBubbleSize val="0"/>
        </c:dLbls>
        <c:gapWidth val="219"/>
        <c:overlap val="-27"/>
        <c:axId val="283108864"/>
        <c:axId val="283110400"/>
      </c:barChart>
      <c:catAx>
        <c:axId val="28310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83110400"/>
        <c:crosses val="autoZero"/>
        <c:auto val="1"/>
        <c:lblAlgn val="ctr"/>
        <c:lblOffset val="100"/>
        <c:noMultiLvlLbl val="0"/>
      </c:catAx>
      <c:valAx>
        <c:axId val="28311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MFSP, $/gge biocrude</a:t>
                </a:r>
              </a:p>
            </c:rich>
          </c:tx>
          <c:overlay val="0"/>
          <c:spPr>
            <a:noFill/>
            <a:ln>
              <a:noFill/>
            </a:ln>
            <a:effectLst/>
          </c:spPr>
        </c:title>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8310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9326005641204587"/>
          <c:y val="3.8605706680638785E-2"/>
          <c:w val="0.56180742880837309"/>
          <c:h val="0.76695030945361731"/>
        </c:manualLayout>
      </c:layout>
      <c:barChart>
        <c:barDir val="bar"/>
        <c:grouping val="stacked"/>
        <c:varyColors val="0"/>
        <c:ser>
          <c:idx val="0"/>
          <c:order val="0"/>
          <c:spPr>
            <a:pattFill prst="dkDnDiag">
              <a:fgClr>
                <a:schemeClr val="accent1"/>
              </a:fgClr>
              <a:bgClr>
                <a:schemeClr val="bg1"/>
              </a:bgClr>
            </a:pattFill>
            <a:ln>
              <a:noFill/>
            </a:ln>
            <a:effectLst/>
          </c:spPr>
          <c:invertIfNegative val="0"/>
          <c:cat>
            <c:strRef>
              <c:f>Sensitivities!$A$35:$A$43</c:f>
              <c:strCache>
                <c:ptCount val="9"/>
                <c:pt idx="0">
                  <c:v>Project Contingency: (0% : 10% : 20%)</c:v>
                </c:pt>
                <c:pt idx="1">
                  <c:v>Hydrotreater Capital (-40% : base : + 40%)</c:v>
                </c:pt>
                <c:pt idx="2">
                  <c:v>Biocrude Transport Distance, miles (100 : 250)</c:v>
                </c:pt>
                <c:pt idx="3">
                  <c:v>Total Project Investment (+20%)</c:v>
                </c:pt>
                <c:pt idx="4">
                  <c:v>Upgrade at an existing refinery (TCI=0)</c:v>
                </c:pt>
                <c:pt idx="5">
                  <c:v>Internal Rate of Return, IRR (5%: 10% : 15%)</c:v>
                </c:pt>
                <c:pt idx="6">
                  <c:v>Plant Scale, Fuel BPSD (25,000 : 5,047 : 2,500)</c:v>
                </c:pt>
                <c:pt idx="7">
                  <c:v>HT Oil Yield, g/g dry biocrude (90 : 77 : 70)</c:v>
                </c:pt>
                <c:pt idx="8">
                  <c:v>Biocrude Cost, $/gge (2.38 : 4.19 : 8.02)*</c:v>
                </c:pt>
              </c:strCache>
            </c:strRef>
          </c:cat>
          <c:val>
            <c:numRef>
              <c:f>Sensitivities!$B$35:$B$43</c:f>
              <c:numCache>
                <c:formatCode>"$"#,##0.00</c:formatCode>
                <c:ptCount val="9"/>
                <c:pt idx="0">
                  <c:v>-3.0000000000000249E-2</c:v>
                </c:pt>
                <c:pt idx="1">
                  <c:v>-6.0000000000000497E-2</c:v>
                </c:pt>
                <c:pt idx="2">
                  <c:v>0</c:v>
                </c:pt>
                <c:pt idx="3">
                  <c:v>0</c:v>
                </c:pt>
                <c:pt idx="4" formatCode="General_)">
                  <c:v>-0.33000000000000007</c:v>
                </c:pt>
                <c:pt idx="5">
                  <c:v>-0.12000000000000011</c:v>
                </c:pt>
                <c:pt idx="6">
                  <c:v>-0.19000000000000039</c:v>
                </c:pt>
                <c:pt idx="7">
                  <c:v>-0.61000000000000032</c:v>
                </c:pt>
                <c:pt idx="8">
                  <c:v>-1.9600000000000004</c:v>
                </c:pt>
              </c:numCache>
            </c:numRef>
          </c:val>
        </c:ser>
        <c:ser>
          <c:idx val="1"/>
          <c:order val="1"/>
          <c:spPr>
            <a:pattFill prst="dkDnDiag">
              <a:fgClr>
                <a:schemeClr val="accent1"/>
              </a:fgClr>
              <a:bgClr>
                <a:schemeClr val="bg1"/>
              </a:bgClr>
            </a:pattFill>
            <a:ln>
              <a:noFill/>
            </a:ln>
            <a:effectLst/>
          </c:spPr>
          <c:invertIfNegative val="0"/>
          <c:cat>
            <c:strRef>
              <c:f>Sensitivities!$A$35:$A$43</c:f>
              <c:strCache>
                <c:ptCount val="9"/>
                <c:pt idx="0">
                  <c:v>Project Contingency: (0% : 10% : 20%)</c:v>
                </c:pt>
                <c:pt idx="1">
                  <c:v>Hydrotreater Capital (-40% : base : + 40%)</c:v>
                </c:pt>
                <c:pt idx="2">
                  <c:v>Biocrude Transport Distance, miles (100 : 250)</c:v>
                </c:pt>
                <c:pt idx="3">
                  <c:v>Total Project Investment (+20%)</c:v>
                </c:pt>
                <c:pt idx="4">
                  <c:v>Upgrade at an existing refinery (TCI=0)</c:v>
                </c:pt>
                <c:pt idx="5">
                  <c:v>Internal Rate of Return, IRR (5%: 10% : 15%)</c:v>
                </c:pt>
                <c:pt idx="6">
                  <c:v>Plant Scale, Fuel BPSD (25,000 : 5,047 : 2,500)</c:v>
                </c:pt>
                <c:pt idx="7">
                  <c:v>HT Oil Yield, g/g dry biocrude (90 : 77 : 70)</c:v>
                </c:pt>
                <c:pt idx="8">
                  <c:v>Biocrude Cost, $/gge (2.38 : 4.19 : 8.02)*</c:v>
                </c:pt>
              </c:strCache>
            </c:strRef>
          </c:cat>
          <c:val>
            <c:numRef>
              <c:f>Sensitivities!$C$35:$C$43</c:f>
              <c:numCache>
                <c:formatCode>"$"#,##0.00</c:formatCode>
                <c:ptCount val="9"/>
                <c:pt idx="0">
                  <c:v>1.9999999999999574E-2</c:v>
                </c:pt>
                <c:pt idx="1">
                  <c:v>4.9999999999999822E-2</c:v>
                </c:pt>
                <c:pt idx="2">
                  <c:v>5.9999999999999609E-2</c:v>
                </c:pt>
                <c:pt idx="3">
                  <c:v>8.0000000000000071E-2</c:v>
                </c:pt>
                <c:pt idx="4" formatCode="General_)">
                  <c:v>0</c:v>
                </c:pt>
                <c:pt idx="5">
                  <c:v>0.11999999999999922</c:v>
                </c:pt>
                <c:pt idx="6">
                  <c:v>0.15999999999999925</c:v>
                </c:pt>
                <c:pt idx="7">
                  <c:v>0.58999999999999986</c:v>
                </c:pt>
                <c:pt idx="8">
                  <c:v>4.129999999999999</c:v>
                </c:pt>
              </c:numCache>
            </c:numRef>
          </c:val>
        </c:ser>
        <c:dLbls>
          <c:showLegendKey val="0"/>
          <c:showVal val="0"/>
          <c:showCatName val="0"/>
          <c:showSerName val="0"/>
          <c:showPercent val="0"/>
          <c:showBubbleSize val="0"/>
        </c:dLbls>
        <c:gapWidth val="150"/>
        <c:overlap val="100"/>
        <c:axId val="283970944"/>
        <c:axId val="283976832"/>
      </c:barChart>
      <c:catAx>
        <c:axId val="283970944"/>
        <c:scaling>
          <c:orientation val="minMax"/>
        </c:scaling>
        <c:delete val="0"/>
        <c:axPos val="l"/>
        <c:numFmt formatCode="General" sourceLinked="1"/>
        <c:majorTickMark val="none"/>
        <c:minorTickMark val="none"/>
        <c:tickLblPos val="low"/>
        <c:spPr>
          <a:noFill/>
          <a:ln w="12700" cap="flat" cmpd="sng" algn="ctr">
            <a:solidFill>
              <a:schemeClr val="tx2"/>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83976832"/>
        <c:crosses val="autoZero"/>
        <c:auto val="1"/>
        <c:lblAlgn val="ctr"/>
        <c:lblOffset val="100"/>
        <c:noMultiLvlLbl val="0"/>
      </c:catAx>
      <c:valAx>
        <c:axId val="283976832"/>
        <c:scaling>
          <c:orientation val="minMax"/>
          <c:max val="4.4000000000000004"/>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a:t>Change from Base Case of $5.15/gge</a:t>
                </a:r>
              </a:p>
            </c:rich>
          </c:tx>
          <c:overlay val="0"/>
          <c:spPr>
            <a:noFill/>
            <a:ln>
              <a:noFill/>
            </a:ln>
            <a:effectLst/>
          </c:spPr>
        </c:title>
        <c:numFmt formatCode="&quot;$&quot;#,##0.00" sourceLinked="1"/>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83970944"/>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bg1">
          <a:lumMod val="75000"/>
        </a:schemeClr>
      </a:solidFill>
      <a:round/>
    </a:ln>
    <a:effectLst/>
  </c:spPr>
  <c:txPr>
    <a:bodyPr/>
    <a:lstStyle/>
    <a:p>
      <a:pPr>
        <a:defRPr b="1">
          <a:solidFill>
            <a:sysClr val="windowText" lastClr="000000"/>
          </a:solidFill>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Sensitivities!$A$46:$A$51</c:f>
              <c:strCache>
                <c:ptCount val="6"/>
                <c:pt idx="0">
                  <c:v>Base case</c:v>
                </c:pt>
                <c:pt idx="1">
                  <c:v>With Sludge Credit $50/dry ton</c:v>
                </c:pt>
                <c:pt idx="2">
                  <c:v>Increased Biocrude Yield (45%)</c:v>
                </c:pt>
                <c:pt idx="3">
                  <c:v>Increased HTL Feed Solids (15%)</c:v>
                </c:pt>
                <c:pt idx="4">
                  <c:v>Combined Large and Small WWTPs</c:v>
                </c:pt>
                <c:pt idx="5">
                  <c:v>Increased Hydrotreated Biocrude Yield (90 g/g dry biocrude)</c:v>
                </c:pt>
              </c:strCache>
            </c:strRef>
          </c:cat>
          <c:val>
            <c:numRef>
              <c:f>Sensitivities!$B$46:$B$51</c:f>
              <c:numCache>
                <c:formatCode>General_)</c:formatCode>
                <c:ptCount val="6"/>
                <c:pt idx="0">
                  <c:v>5.15</c:v>
                </c:pt>
                <c:pt idx="1">
                  <c:v>4.58</c:v>
                </c:pt>
                <c:pt idx="2">
                  <c:v>4.21</c:v>
                </c:pt>
                <c:pt idx="3">
                  <c:v>3.68</c:v>
                </c:pt>
                <c:pt idx="4">
                  <c:v>3.29</c:v>
                </c:pt>
                <c:pt idx="5">
                  <c:v>2.92</c:v>
                </c:pt>
              </c:numCache>
            </c:numRef>
          </c:val>
        </c:ser>
        <c:dLbls>
          <c:showLegendKey val="0"/>
          <c:showVal val="0"/>
          <c:showCatName val="0"/>
          <c:showSerName val="0"/>
          <c:showPercent val="0"/>
          <c:showBubbleSize val="0"/>
        </c:dLbls>
        <c:gapWidth val="219"/>
        <c:overlap val="-27"/>
        <c:axId val="284005504"/>
        <c:axId val="284007040"/>
      </c:barChart>
      <c:catAx>
        <c:axId val="28400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84007040"/>
        <c:crosses val="autoZero"/>
        <c:auto val="1"/>
        <c:lblAlgn val="ctr"/>
        <c:lblOffset val="100"/>
        <c:noMultiLvlLbl val="0"/>
      </c:catAx>
      <c:valAx>
        <c:axId val="28400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MFSP, $/gge upgraded fuel</a:t>
                </a:r>
              </a:p>
            </c:rich>
          </c:tx>
          <c:layout>
            <c:manualLayout>
              <c:xMode val="edge"/>
              <c:yMode val="edge"/>
              <c:x val="2.127093858016485E-2"/>
              <c:y val="0.1120246404530664"/>
            </c:manualLayout>
          </c:layout>
          <c:overlay val="0"/>
          <c:spPr>
            <a:noFill/>
            <a:ln>
              <a:noFill/>
            </a:ln>
            <a:effectLst/>
          </c:spPr>
        </c:title>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8400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0.02586</cdr:x>
      <cdr:y>0.89758</cdr:y>
    </cdr:from>
    <cdr:to>
      <cdr:x>0.53305</cdr:x>
      <cdr:y>0.95343</cdr:y>
    </cdr:to>
    <cdr:sp macro="" textlink="">
      <cdr:nvSpPr>
        <cdr:cNvPr id="2" name="TextBox 1"/>
        <cdr:cNvSpPr txBox="1"/>
      </cdr:nvSpPr>
      <cdr:spPr>
        <a:xfrm xmlns:a="http://schemas.openxmlformats.org/drawingml/2006/main">
          <a:off x="155863" y="3248006"/>
          <a:ext cx="3056659" cy="20210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a:t>
          </a:r>
          <a:r>
            <a:rPr lang="en-US" sz="800" baseline="0"/>
            <a:t> Includes transport cost of $0.10/gge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1D8F2-1930-464B-B1BF-5FCEE633D2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97459C-B449-491A-BC61-91D7CBA9957E}">
  <ds:schemaRefs>
    <ds:schemaRef ds:uri="http://schemas.microsoft.com/sharepoint/v3/contenttype/forms"/>
  </ds:schemaRefs>
</ds:datastoreItem>
</file>

<file path=customXml/itemProps3.xml><?xml version="1.0" encoding="utf-8"?>
<ds:datastoreItem xmlns:ds="http://schemas.openxmlformats.org/officeDocument/2006/customXml" ds:itemID="{63C1925C-377F-4C66-83E7-DF318087E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7433</Words>
  <Characters>42371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Branding Workshop</vt:lpstr>
    </vt:vector>
  </TitlesOfParts>
  <Company>PNNL</Company>
  <LinksUpToDate>false</LinksUpToDate>
  <CharactersWithSpaces>49705</CharactersWithSpaces>
  <SharedDoc>false</SharedDoc>
  <HLinks>
    <vt:vector size="24" baseType="variant">
      <vt:variant>
        <vt:i4>3670092</vt:i4>
      </vt:variant>
      <vt:variant>
        <vt:i4>2048</vt:i4>
      </vt:variant>
      <vt:variant>
        <vt:i4>1025</vt:i4>
      </vt:variant>
      <vt:variant>
        <vt:i4>1</vt:i4>
      </vt:variant>
      <vt:variant>
        <vt:lpwstr>PNNL_Agenda_Title</vt:lpwstr>
      </vt:variant>
      <vt:variant>
        <vt:lpwstr/>
      </vt:variant>
      <vt:variant>
        <vt:i4>6029369</vt:i4>
      </vt:variant>
      <vt:variant>
        <vt:i4>2575</vt:i4>
      </vt:variant>
      <vt:variant>
        <vt:i4>1026</vt:i4>
      </vt:variant>
      <vt:variant>
        <vt:i4>1</vt:i4>
      </vt:variant>
      <vt:variant>
        <vt:lpwstr>PNNL_Agenda_Bar</vt:lpwstr>
      </vt:variant>
      <vt:variant>
        <vt:lpwstr/>
      </vt:variant>
      <vt:variant>
        <vt:i4>6226021</vt:i4>
      </vt:variant>
      <vt:variant>
        <vt:i4>-1</vt:i4>
      </vt:variant>
      <vt:variant>
        <vt:i4>2051</vt:i4>
      </vt:variant>
      <vt:variant>
        <vt:i4>1</vt:i4>
      </vt:variant>
      <vt:variant>
        <vt:lpwstr>PNNL_Agenda_Logo_with_Endorsement_05-13-09</vt:lpwstr>
      </vt:variant>
      <vt:variant>
        <vt:lpwstr/>
      </vt:variant>
      <vt:variant>
        <vt:i4>4391003</vt:i4>
      </vt:variant>
      <vt:variant>
        <vt:i4>-1</vt:i4>
      </vt:variant>
      <vt:variant>
        <vt:i4>2052</vt:i4>
      </vt:variant>
      <vt:variant>
        <vt:i4>1</vt:i4>
      </vt:variant>
      <vt:variant>
        <vt:lpwstr>PNNL_50th_Agenda_Template_Footer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Branding Workshop</dc:title>
  <dc:creator>Christopher DeGraaf</dc:creator>
  <cp:lastModifiedBy>test</cp:lastModifiedBy>
  <cp:revision>2</cp:revision>
  <dcterms:created xsi:type="dcterms:W3CDTF">2016-01-21T22:24:00Z</dcterms:created>
  <dcterms:modified xsi:type="dcterms:W3CDTF">2016-01-21T22:24:00Z</dcterms:modified>
</cp:coreProperties>
</file>