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39C07" w14:textId="77777777" w:rsidR="00356511" w:rsidRDefault="00356511" w:rsidP="007C47E1">
      <w:pPr>
        <w:jc w:val="center"/>
        <w:rPr>
          <w:b/>
          <w:color w:val="000000"/>
        </w:rPr>
      </w:pPr>
      <w:bookmarkStart w:id="0" w:name="_Hlk533605436"/>
      <w:bookmarkEnd w:id="0"/>
    </w:p>
    <w:p w14:paraId="399793E7" w14:textId="17306807" w:rsidR="007C47E1" w:rsidRDefault="007C47E1" w:rsidP="007C47E1">
      <w:pPr>
        <w:jc w:val="center"/>
        <w:rPr>
          <w:b/>
          <w:color w:val="000000"/>
        </w:rPr>
      </w:pPr>
      <w:r>
        <w:rPr>
          <w:b/>
          <w:color w:val="000000"/>
        </w:rPr>
        <w:t xml:space="preserve">Fiscal Year </w:t>
      </w:r>
      <w:r w:rsidRPr="00304A0A">
        <w:rPr>
          <w:b/>
          <w:color w:val="000000"/>
        </w:rPr>
        <w:t>201</w:t>
      </w:r>
      <w:r>
        <w:rPr>
          <w:b/>
          <w:color w:val="000000"/>
        </w:rPr>
        <w:t>9</w:t>
      </w:r>
      <w:r w:rsidRPr="00304A0A">
        <w:rPr>
          <w:b/>
          <w:color w:val="000000"/>
        </w:rPr>
        <w:t xml:space="preserve"> </w:t>
      </w:r>
      <w:r>
        <w:rPr>
          <w:b/>
          <w:color w:val="000000"/>
        </w:rPr>
        <w:t>First Quarter Milestone Report</w:t>
      </w:r>
    </w:p>
    <w:p w14:paraId="6DC74C19" w14:textId="64902822" w:rsidR="007C47E1" w:rsidRPr="007C47E1" w:rsidRDefault="007C47E1" w:rsidP="007C47E1">
      <w:pPr>
        <w:jc w:val="center"/>
        <w:rPr>
          <w:color w:val="000000"/>
        </w:rPr>
      </w:pPr>
      <w:r w:rsidRPr="007C47E1">
        <w:rPr>
          <w:color w:val="000000"/>
        </w:rPr>
        <w:t xml:space="preserve">December </w:t>
      </w:r>
      <w:r w:rsidR="00927631">
        <w:rPr>
          <w:color w:val="000000"/>
        </w:rPr>
        <w:t xml:space="preserve">31, </w:t>
      </w:r>
      <w:bookmarkStart w:id="1" w:name="_GoBack"/>
      <w:bookmarkEnd w:id="1"/>
      <w:r w:rsidRPr="007C47E1">
        <w:rPr>
          <w:color w:val="000000"/>
        </w:rPr>
        <w:t>2018</w:t>
      </w:r>
    </w:p>
    <w:p w14:paraId="677858F0" w14:textId="6FF34ECD" w:rsidR="007C47E1" w:rsidRPr="007C47E1" w:rsidRDefault="007C47E1" w:rsidP="007C47E1">
      <w:pPr>
        <w:jc w:val="center"/>
        <w:rPr>
          <w:color w:val="000000"/>
        </w:rPr>
      </w:pPr>
      <w:r w:rsidRPr="007C47E1">
        <w:rPr>
          <w:color w:val="000000"/>
        </w:rPr>
        <w:t>Laura Vimmerstedt, Annika Eberle, Dylan Hettinger, Danny Inman</w:t>
      </w:r>
    </w:p>
    <w:p w14:paraId="2F5FD1E0" w14:textId="77777777" w:rsidR="007C47E1" w:rsidRPr="00304A0A" w:rsidRDefault="007C47E1" w:rsidP="007C47E1">
      <w:pPr>
        <w:rPr>
          <w:b/>
          <w:color w:val="000000"/>
        </w:rPr>
      </w:pPr>
    </w:p>
    <w:p w14:paraId="4C0991C8" w14:textId="3626A2DA" w:rsidR="007C47E1" w:rsidRDefault="007C47E1" w:rsidP="007C47E1">
      <w:pPr>
        <w:rPr>
          <w:color w:val="000000"/>
        </w:rPr>
      </w:pPr>
      <w:r>
        <w:rPr>
          <w:color w:val="000000"/>
        </w:rPr>
        <w:t xml:space="preserve">This report serves as a first quarter milestone report for fiscal year 2019. As stated in the Annual Operating Plan, the purpose of this milestone report is to, “Identify conditions under which low TRL </w:t>
      </w:r>
      <w:r w:rsidR="00C85233">
        <w:rPr>
          <w:color w:val="000000"/>
        </w:rPr>
        <w:t>[</w:t>
      </w:r>
      <w:r w:rsidR="00C85233">
        <w:t xml:space="preserve">technology readiness level] </w:t>
      </w:r>
      <w:r>
        <w:rPr>
          <w:color w:val="000000"/>
        </w:rPr>
        <w:t xml:space="preserve">technologies are competitive in the current and future WTE </w:t>
      </w:r>
      <w:r w:rsidR="00DC123A">
        <w:rPr>
          <w:color w:val="000000"/>
        </w:rPr>
        <w:t xml:space="preserve">[waste-to-energy] </w:t>
      </w:r>
      <w:r>
        <w:rPr>
          <w:color w:val="000000"/>
        </w:rPr>
        <w:t>industry. Specific areas of investigation will focus on four areas of interest, as identified from the sensitivity analysis performed in FY18: 1)Maturity tipping point, 2)Disposal costs, 3)Financial parameters around learning, and 4)Inter-regional policy impacts.”</w:t>
      </w:r>
    </w:p>
    <w:p w14:paraId="587A07F0" w14:textId="4B60F5AC" w:rsidR="00720B6E" w:rsidRDefault="00720B6E" w:rsidP="00720B6E">
      <w:pPr>
        <w:spacing w:after="160" w:line="259" w:lineRule="auto"/>
        <w:rPr>
          <w:szCs w:val="22"/>
        </w:rPr>
      </w:pPr>
      <w:r>
        <w:rPr>
          <w:szCs w:val="22"/>
        </w:rPr>
        <w:t xml:space="preserve">We report on a study that explored the impact of twelve model factors on the adoption of </w:t>
      </w:r>
      <w:r w:rsidR="00DC123A">
        <w:rPr>
          <w:szCs w:val="22"/>
        </w:rPr>
        <w:t>hydrothermal liquefaction (</w:t>
      </w:r>
      <w:r>
        <w:rPr>
          <w:szCs w:val="22"/>
        </w:rPr>
        <w:t>HTL</w:t>
      </w:r>
      <w:r w:rsidR="00DC123A">
        <w:rPr>
          <w:szCs w:val="22"/>
        </w:rPr>
        <w:t>)</w:t>
      </w:r>
      <w:r>
        <w:rPr>
          <w:szCs w:val="22"/>
        </w:rPr>
        <w:t xml:space="preserve"> as a WTE technology choice for </w:t>
      </w:r>
      <w:r w:rsidR="00DC123A">
        <w:rPr>
          <w:szCs w:val="22"/>
        </w:rPr>
        <w:t>concentrated animal feeding operations (</w:t>
      </w:r>
      <w:r>
        <w:rPr>
          <w:szCs w:val="22"/>
        </w:rPr>
        <w:t>CAFOs</w:t>
      </w:r>
      <w:r w:rsidR="00DC123A">
        <w:rPr>
          <w:szCs w:val="22"/>
        </w:rPr>
        <w:t>)</w:t>
      </w:r>
      <w:r>
        <w:rPr>
          <w:szCs w:val="22"/>
        </w:rPr>
        <w:t xml:space="preserve"> and </w:t>
      </w:r>
      <w:r w:rsidR="00DC123A">
        <w:rPr>
          <w:szCs w:val="22"/>
        </w:rPr>
        <w:t>publicly owned treatment works (</w:t>
      </w:r>
      <w:r>
        <w:rPr>
          <w:szCs w:val="22"/>
        </w:rPr>
        <w:t>POTWs</w:t>
      </w:r>
      <w:r w:rsidR="00DC123A">
        <w:rPr>
          <w:szCs w:val="22"/>
        </w:rPr>
        <w:t>)</w:t>
      </w:r>
      <w:r>
        <w:rPr>
          <w:szCs w:val="22"/>
        </w:rPr>
        <w:t xml:space="preserve"> in California and the rest of the United States. HTL is under development—including U.S. Department of Energy research and development. </w:t>
      </w:r>
      <w:r w:rsidR="00DC123A">
        <w:rPr>
          <w:szCs w:val="22"/>
        </w:rPr>
        <w:t>The</w:t>
      </w:r>
      <w:r>
        <w:rPr>
          <w:szCs w:val="22"/>
        </w:rPr>
        <w:t xml:space="preserve"> two pilot-scale projects </w:t>
      </w:r>
      <w:r w:rsidR="00DC123A">
        <w:rPr>
          <w:szCs w:val="22"/>
        </w:rPr>
        <w:t xml:space="preserve">are located in </w:t>
      </w:r>
      <w:r>
        <w:rPr>
          <w:szCs w:val="22"/>
        </w:rPr>
        <w:t>Vancouver, B</w:t>
      </w:r>
      <w:r w:rsidR="00DC123A">
        <w:rPr>
          <w:szCs w:val="22"/>
        </w:rPr>
        <w:t>ritish Columbia</w:t>
      </w:r>
      <w:r>
        <w:rPr>
          <w:szCs w:val="22"/>
        </w:rPr>
        <w:t xml:space="preserve"> and Oakland, </w:t>
      </w:r>
      <w:r w:rsidR="00DC123A">
        <w:rPr>
          <w:szCs w:val="22"/>
        </w:rPr>
        <w:t>California, and t</w:t>
      </w:r>
      <w:r>
        <w:rPr>
          <w:szCs w:val="22"/>
        </w:rPr>
        <w:t xml:space="preserve">here are no commercial-scale facilities in operation. </w:t>
      </w:r>
    </w:p>
    <w:p w14:paraId="5C8F5714" w14:textId="5F084B42" w:rsidR="00720B6E" w:rsidRDefault="00720B6E" w:rsidP="00720B6E">
      <w:pPr>
        <w:spacing w:after="160" w:line="259" w:lineRule="auto"/>
        <w:rPr>
          <w:szCs w:val="22"/>
        </w:rPr>
      </w:pPr>
      <w:r>
        <w:rPr>
          <w:szCs w:val="22"/>
        </w:rPr>
        <w:t xml:space="preserve">The </w:t>
      </w:r>
      <w:r w:rsidR="00DC123A">
        <w:rPr>
          <w:szCs w:val="22"/>
        </w:rPr>
        <w:t xml:space="preserve">technology investment decision process of the </w:t>
      </w:r>
      <w:r>
        <w:rPr>
          <w:szCs w:val="22"/>
        </w:rPr>
        <w:t xml:space="preserve">WTE industry </w:t>
      </w:r>
      <w:r w:rsidR="00DC123A">
        <w:rPr>
          <w:szCs w:val="22"/>
        </w:rPr>
        <w:t xml:space="preserve">differs </w:t>
      </w:r>
      <w:r>
        <w:rPr>
          <w:szCs w:val="22"/>
        </w:rPr>
        <w:t>from th</w:t>
      </w:r>
      <w:r w:rsidR="00DC123A">
        <w:rPr>
          <w:szCs w:val="22"/>
        </w:rPr>
        <w:t>at of the</w:t>
      </w:r>
      <w:r>
        <w:rPr>
          <w:szCs w:val="22"/>
        </w:rPr>
        <w:t xml:space="preserve"> biofuels industry </w:t>
      </w:r>
      <w:r w:rsidR="00DC123A">
        <w:rPr>
          <w:szCs w:val="22"/>
        </w:rPr>
        <w:t xml:space="preserve">because </w:t>
      </w:r>
      <w:r>
        <w:rPr>
          <w:szCs w:val="22"/>
        </w:rPr>
        <w:t xml:space="preserve">the disposal of waste is </w:t>
      </w:r>
      <w:r w:rsidR="005B167C">
        <w:rPr>
          <w:szCs w:val="22"/>
        </w:rPr>
        <w:t xml:space="preserve">a </w:t>
      </w:r>
      <w:r>
        <w:rPr>
          <w:szCs w:val="22"/>
        </w:rPr>
        <w:t>required</w:t>
      </w:r>
      <w:r w:rsidR="005B167C">
        <w:rPr>
          <w:szCs w:val="22"/>
        </w:rPr>
        <w:t xml:space="preserve"> function and</w:t>
      </w:r>
      <w:r>
        <w:rPr>
          <w:szCs w:val="22"/>
        </w:rPr>
        <w:t xml:space="preserve"> energy production is optional</w:t>
      </w:r>
      <w:r w:rsidR="00DC123A">
        <w:rPr>
          <w:szCs w:val="22"/>
        </w:rPr>
        <w:t xml:space="preserve"> for WTE facilities</w:t>
      </w:r>
      <w:r>
        <w:rPr>
          <w:szCs w:val="22"/>
        </w:rPr>
        <w:t xml:space="preserve">. Facilities such as POTWs and CAFOs are required by federal and state laws to treat and/or dispose of the biosolids (manure, sewage sludge) produced as part of their respective operations. </w:t>
      </w:r>
      <w:r w:rsidR="00DC123A">
        <w:rPr>
          <w:szCs w:val="22"/>
        </w:rPr>
        <w:t>Evaluation of investment in t</w:t>
      </w:r>
      <w:r>
        <w:rPr>
          <w:szCs w:val="22"/>
        </w:rPr>
        <w:t>echnologies that physically reduce the amount of biosolids to be treated balance</w:t>
      </w:r>
      <w:r w:rsidR="00DC123A">
        <w:rPr>
          <w:szCs w:val="22"/>
        </w:rPr>
        <w:t>s</w:t>
      </w:r>
      <w:r>
        <w:rPr>
          <w:szCs w:val="22"/>
        </w:rPr>
        <w:t xml:space="preserve"> the capital and operational investments with the avoided costs of waste disposal. Technologies that produce a marketable source of energy </w:t>
      </w:r>
      <w:r w:rsidR="00DC123A">
        <w:rPr>
          <w:szCs w:val="22"/>
        </w:rPr>
        <w:t xml:space="preserve">offer </w:t>
      </w:r>
      <w:r>
        <w:rPr>
          <w:szCs w:val="22"/>
        </w:rPr>
        <w:t>an additional revenue stream that can help to offset the capital and operational costs.</w:t>
      </w:r>
    </w:p>
    <w:p w14:paraId="020C92C1" w14:textId="45372E92" w:rsidR="00720B6E" w:rsidRDefault="00DC123A" w:rsidP="00720B6E">
      <w:pPr>
        <w:spacing w:after="160" w:line="259" w:lineRule="auto"/>
        <w:rPr>
          <w:szCs w:val="22"/>
        </w:rPr>
      </w:pPr>
      <w:r>
        <w:rPr>
          <w:szCs w:val="22"/>
        </w:rPr>
        <w:t>M</w:t>
      </w:r>
      <w:r w:rsidR="00720B6E">
        <w:rPr>
          <w:szCs w:val="22"/>
        </w:rPr>
        <w:t>ature WTE technologies can effectively reduce the amount of biosolids and produce energy. Based on our most recent data update (July 2018), across both CAFOs and POTWs over 350 WTE projects</w:t>
      </w:r>
      <w:r>
        <w:rPr>
          <w:szCs w:val="22"/>
        </w:rPr>
        <w:t xml:space="preserve"> exist</w:t>
      </w:r>
      <w:r w:rsidR="00720B6E">
        <w:rPr>
          <w:szCs w:val="22"/>
        </w:rPr>
        <w:t xml:space="preserve">. Although the majority of CAFOs and POTWs have not invested in any WTE technology, </w:t>
      </w:r>
      <w:r>
        <w:rPr>
          <w:szCs w:val="22"/>
        </w:rPr>
        <w:t xml:space="preserve">investment in </w:t>
      </w:r>
      <w:r w:rsidR="00720B6E">
        <w:rPr>
          <w:szCs w:val="22"/>
        </w:rPr>
        <w:t xml:space="preserve">incumbent technologies (e.g., </w:t>
      </w:r>
      <w:r w:rsidR="00377559">
        <w:rPr>
          <w:szCs w:val="22"/>
        </w:rPr>
        <w:t>combined heat and power [CHP], compressed natural gas [</w:t>
      </w:r>
      <w:r w:rsidR="00720B6E">
        <w:rPr>
          <w:szCs w:val="22"/>
        </w:rPr>
        <w:t>CNG</w:t>
      </w:r>
      <w:r w:rsidR="00377559">
        <w:rPr>
          <w:szCs w:val="22"/>
        </w:rPr>
        <w:t>]</w:t>
      </w:r>
      <w:r w:rsidR="00720B6E">
        <w:rPr>
          <w:szCs w:val="22"/>
        </w:rPr>
        <w:t xml:space="preserve">, electricity, </w:t>
      </w:r>
      <w:r w:rsidR="00377559">
        <w:rPr>
          <w:szCs w:val="22"/>
        </w:rPr>
        <w:t>pipeline natural gas [</w:t>
      </w:r>
      <w:r w:rsidR="00720B6E">
        <w:rPr>
          <w:szCs w:val="22"/>
        </w:rPr>
        <w:t>PNG</w:t>
      </w:r>
      <w:r w:rsidR="00377559">
        <w:rPr>
          <w:szCs w:val="22"/>
        </w:rPr>
        <w:t>]</w:t>
      </w:r>
      <w:r w:rsidR="00720B6E">
        <w:rPr>
          <w:szCs w:val="22"/>
        </w:rPr>
        <w:t xml:space="preserve">) </w:t>
      </w:r>
      <w:r>
        <w:rPr>
          <w:szCs w:val="22"/>
        </w:rPr>
        <w:t xml:space="preserve">is more likely than in </w:t>
      </w:r>
      <w:r w:rsidR="00720B6E">
        <w:rPr>
          <w:szCs w:val="22"/>
        </w:rPr>
        <w:t xml:space="preserve">less mature technologies. </w:t>
      </w:r>
      <w:r>
        <w:rPr>
          <w:szCs w:val="22"/>
        </w:rPr>
        <w:t>Even so,</w:t>
      </w:r>
      <w:r w:rsidR="00720B6E">
        <w:rPr>
          <w:szCs w:val="22"/>
        </w:rPr>
        <w:t xml:space="preserve"> our model results </w:t>
      </w:r>
      <w:r>
        <w:rPr>
          <w:szCs w:val="22"/>
        </w:rPr>
        <w:t xml:space="preserve">identify </w:t>
      </w:r>
      <w:r w:rsidR="00720B6E">
        <w:rPr>
          <w:szCs w:val="22"/>
        </w:rPr>
        <w:t xml:space="preserve">scenarios under which HTL achieves modest levels of adoption. </w:t>
      </w:r>
      <w:r>
        <w:rPr>
          <w:szCs w:val="22"/>
        </w:rPr>
        <w:t>This occurs despite t</w:t>
      </w:r>
      <w:r w:rsidR="00720B6E">
        <w:rPr>
          <w:szCs w:val="22"/>
        </w:rPr>
        <w:t xml:space="preserve">he main </w:t>
      </w:r>
      <w:r>
        <w:rPr>
          <w:szCs w:val="22"/>
        </w:rPr>
        <w:t>impediment</w:t>
      </w:r>
      <w:r w:rsidR="00720B6E">
        <w:rPr>
          <w:szCs w:val="22"/>
        </w:rPr>
        <w:t xml:space="preserve"> to widespread adoption of HTL</w:t>
      </w:r>
      <w:r>
        <w:rPr>
          <w:szCs w:val="22"/>
        </w:rPr>
        <w:t xml:space="preserve">: </w:t>
      </w:r>
      <w:r w:rsidR="00720B6E">
        <w:rPr>
          <w:szCs w:val="22"/>
        </w:rPr>
        <w:t xml:space="preserve">its low commercial maturity level. Although important, </w:t>
      </w:r>
      <w:r>
        <w:rPr>
          <w:szCs w:val="22"/>
        </w:rPr>
        <w:t xml:space="preserve">higher </w:t>
      </w:r>
      <w:r w:rsidR="00720B6E">
        <w:rPr>
          <w:szCs w:val="22"/>
        </w:rPr>
        <w:t xml:space="preserve">commercial maturity level alone does not prompt HTL adoption. </w:t>
      </w:r>
    </w:p>
    <w:p w14:paraId="5C0874F1" w14:textId="26ED9F49" w:rsidR="00E52846" w:rsidRDefault="00377559" w:rsidP="007C47E1">
      <w:r>
        <w:t xml:space="preserve">NREL </w:t>
      </w:r>
      <w:r w:rsidR="007C47E1">
        <w:t xml:space="preserve">conducted an </w:t>
      </w:r>
      <w:r w:rsidR="00866D4B">
        <w:t>analysis</w:t>
      </w:r>
      <w:r w:rsidR="007C47E1">
        <w:t xml:space="preserve"> to </w:t>
      </w:r>
      <w:r w:rsidR="00866D4B">
        <w:t xml:space="preserve">explore the development potential of </w:t>
      </w:r>
      <w:r w:rsidR="008D255A">
        <w:t>HTL</w:t>
      </w:r>
      <w:r w:rsidR="00866D4B">
        <w:t xml:space="preserve"> conversion of wastewater</w:t>
      </w:r>
      <w:r w:rsidR="00AF3A24">
        <w:t xml:space="preserve"> sludge </w:t>
      </w:r>
      <w:r w:rsidR="00866D4B">
        <w:t xml:space="preserve">and </w:t>
      </w:r>
      <w:r w:rsidR="00AF3A24">
        <w:t>dairy manure</w:t>
      </w:r>
      <w:r w:rsidR="00866D4B">
        <w:t xml:space="preserve"> to </w:t>
      </w:r>
      <w:r w:rsidR="00AF3A24">
        <w:t>fungible bio-crude</w:t>
      </w:r>
      <w:r w:rsidR="008D255A">
        <w:t xml:space="preserve"> that can be converted</w:t>
      </w:r>
      <w:r w:rsidR="00AF3A24">
        <w:t>,</w:t>
      </w:r>
      <w:r w:rsidR="008D255A">
        <w:t xml:space="preserve"> via upgrading</w:t>
      </w:r>
      <w:r w:rsidR="00AF3A24">
        <w:t>, to a hydrocarbon liquid transportation fuel</w:t>
      </w:r>
      <w:r w:rsidR="00866D4B">
        <w:t xml:space="preserve">. </w:t>
      </w:r>
      <w:r w:rsidR="00B14A35">
        <w:t>The technology cost and performance assumptions for H</w:t>
      </w:r>
      <w:r w:rsidR="00B14A35" w:rsidRPr="001012FA">
        <w:t xml:space="preserve">TL </w:t>
      </w:r>
      <w:r w:rsidR="00B14A35">
        <w:t xml:space="preserve">are based on the </w:t>
      </w:r>
      <w:r w:rsidR="00B14A35" w:rsidRPr="001012FA">
        <w:t>n</w:t>
      </w:r>
      <w:r w:rsidR="00B14A35" w:rsidRPr="00F942B4">
        <w:rPr>
          <w:vertAlign w:val="superscript"/>
        </w:rPr>
        <w:t>th</w:t>
      </w:r>
      <w:r w:rsidR="00B14A35" w:rsidRPr="001012FA">
        <w:t xml:space="preserve"> plant design case</w:t>
      </w:r>
      <w:r w:rsidR="00B14A35">
        <w:t xml:space="preserve"> by </w:t>
      </w:r>
      <w:r w:rsidR="00B14A35" w:rsidRPr="001012FA">
        <w:t>PNNL (201</w:t>
      </w:r>
      <w:r w:rsidR="00B14A35">
        <w:t>7</w:t>
      </w:r>
      <w:r w:rsidR="00B14A35" w:rsidRPr="001012FA">
        <w:t>/</w:t>
      </w:r>
      <w:r w:rsidR="00B14A35" w:rsidRPr="00883BD6">
        <w:t>PNNL-27186</w:t>
      </w:r>
      <w:r w:rsidR="00B14A35" w:rsidRPr="001012FA">
        <w:t>)</w:t>
      </w:r>
      <w:r w:rsidR="00B14A35">
        <w:t xml:space="preserve"> for </w:t>
      </w:r>
      <w:r w:rsidR="00B14A35" w:rsidRPr="001012FA">
        <w:t>biocrude from sludge (</w:t>
      </w:r>
      <w:r w:rsidR="00F942B4">
        <w:t xml:space="preserve">see </w:t>
      </w:r>
      <w:r w:rsidR="00B14A35" w:rsidRPr="001012FA">
        <w:t>Table 6</w:t>
      </w:r>
      <w:r w:rsidR="00F942B4">
        <w:t xml:space="preserve"> of that report</w:t>
      </w:r>
      <w:r w:rsidR="00B14A35" w:rsidRPr="001012FA">
        <w:t>)</w:t>
      </w:r>
      <w:r w:rsidR="00B14A35">
        <w:t xml:space="preserve">. </w:t>
      </w:r>
    </w:p>
    <w:p w14:paraId="1179FC61" w14:textId="2B1925FB" w:rsidR="00E52846" w:rsidRDefault="00E52846" w:rsidP="007C47E1">
      <w:r>
        <w:t>To perform this analysis, w</w:t>
      </w:r>
      <w:r w:rsidR="00866D4B">
        <w:t>e use</w:t>
      </w:r>
      <w:r w:rsidR="007C47E1">
        <w:t>d</w:t>
      </w:r>
      <w:r w:rsidR="00866D4B">
        <w:t xml:space="preserve"> t</w:t>
      </w:r>
      <w:r w:rsidR="00476F13">
        <w:t>he waste-to-energy system simulation model (</w:t>
      </w:r>
      <w:proofErr w:type="spellStart"/>
      <w:r w:rsidR="00476F13">
        <w:t>WESyS</w:t>
      </w:r>
      <w:proofErr w:type="spellEnd"/>
      <w:r w:rsidR="00476F13">
        <w:t>)</w:t>
      </w:r>
      <w:r w:rsidR="00866D4B">
        <w:t xml:space="preserve">, </w:t>
      </w:r>
      <w:r w:rsidR="00476F13">
        <w:t xml:space="preserve">a system dynamics model that </w:t>
      </w:r>
      <w:r w:rsidR="00476F13" w:rsidRPr="00476F13">
        <w:t xml:space="preserve">tracks </w:t>
      </w:r>
      <w:r w:rsidR="005A0873">
        <w:t>WTE</w:t>
      </w:r>
      <w:r w:rsidR="00AF3A24">
        <w:t xml:space="preserve"> </w:t>
      </w:r>
      <w:r w:rsidR="00476F13" w:rsidRPr="00476F13">
        <w:t xml:space="preserve">technological investments and energy production from landfills, </w:t>
      </w:r>
      <w:r w:rsidR="00AF3A24">
        <w:t>POTWs</w:t>
      </w:r>
      <w:r w:rsidR="00476F13" w:rsidRPr="00476F13">
        <w:t xml:space="preserve">, and CAFOs in two U.S. regions – </w:t>
      </w:r>
      <w:r w:rsidR="00523492">
        <w:t>California</w:t>
      </w:r>
      <w:r w:rsidR="00476F13" w:rsidRPr="00476F13">
        <w:t xml:space="preserve"> and </w:t>
      </w:r>
      <w:r w:rsidR="00523492">
        <w:t>the rest of the United States</w:t>
      </w:r>
      <w:r w:rsidR="00476F13" w:rsidRPr="00476F13">
        <w:t>.</w:t>
      </w:r>
      <w:r w:rsidR="00476F13">
        <w:t xml:space="preserve"> The model represents </w:t>
      </w:r>
      <w:r w:rsidR="008D255A">
        <w:t xml:space="preserve">seven </w:t>
      </w:r>
      <w:r w:rsidR="00476F13">
        <w:t>technolog</w:t>
      </w:r>
      <w:r w:rsidR="0072100A">
        <w:t xml:space="preserve">y </w:t>
      </w:r>
      <w:r w:rsidR="00AF3A24">
        <w:t xml:space="preserve">investment </w:t>
      </w:r>
      <w:r w:rsidR="0072100A">
        <w:t>options</w:t>
      </w:r>
      <w:r w:rsidR="00476F13">
        <w:t>:</w:t>
      </w:r>
      <w:r w:rsidR="0072100A">
        <w:t xml:space="preserve"> no waste-to-energy (</w:t>
      </w:r>
      <w:proofErr w:type="spellStart"/>
      <w:r w:rsidR="0072100A">
        <w:t>NoWTE</w:t>
      </w:r>
      <w:proofErr w:type="spellEnd"/>
      <w:r w:rsidR="0072100A">
        <w:t xml:space="preserve">), </w:t>
      </w:r>
      <w:r w:rsidR="000518CD">
        <w:t xml:space="preserve">capture and </w:t>
      </w:r>
      <w:r w:rsidR="00866D4B">
        <w:t>flar</w:t>
      </w:r>
      <w:r w:rsidR="000518CD">
        <w:t>e</w:t>
      </w:r>
      <w:r w:rsidR="00866D4B">
        <w:t xml:space="preserve"> (</w:t>
      </w:r>
      <w:r w:rsidR="0072100A">
        <w:t>CF</w:t>
      </w:r>
      <w:r w:rsidR="00866D4B">
        <w:t>)</w:t>
      </w:r>
      <w:r w:rsidR="0072100A">
        <w:t xml:space="preserve">, </w:t>
      </w:r>
      <w:r w:rsidR="00620F6D">
        <w:lastRenderedPageBreak/>
        <w:t xml:space="preserve">CHP, CNG, </w:t>
      </w:r>
      <w:r w:rsidR="00377559">
        <w:t>electricity</w:t>
      </w:r>
      <w:r w:rsidR="0072100A">
        <w:t xml:space="preserve">, PNG, </w:t>
      </w:r>
      <w:r w:rsidR="00377559">
        <w:t xml:space="preserve">and </w:t>
      </w:r>
      <w:r w:rsidR="0072100A">
        <w:t>HTL.</w:t>
      </w:r>
      <w:r w:rsidR="00866D4B">
        <w:t xml:space="preserve"> </w:t>
      </w:r>
      <w:r w:rsidR="009C1E9F">
        <w:t xml:space="preserve">The first two of these do not produce energy. </w:t>
      </w:r>
      <w:r w:rsidR="00866D4B">
        <w:t xml:space="preserve">HTL </w:t>
      </w:r>
      <w:r w:rsidR="00AF3A24">
        <w:t xml:space="preserve">is </w:t>
      </w:r>
      <w:r w:rsidR="009B627E">
        <w:t xml:space="preserve">still under development—including </w:t>
      </w:r>
      <w:r w:rsidR="00AF3A24">
        <w:t xml:space="preserve">U.S. Department of Energy </w:t>
      </w:r>
      <w:r w:rsidR="009B627E">
        <w:t>research and development—</w:t>
      </w:r>
      <w:r w:rsidR="00AF3A24">
        <w:t>and therefore has a lower technical readiness level</w:t>
      </w:r>
      <w:r w:rsidR="00866D4B">
        <w:t xml:space="preserve"> than the other </w:t>
      </w:r>
      <w:r w:rsidR="005B167C">
        <w:t>WTE</w:t>
      </w:r>
      <w:r w:rsidR="00866D4B">
        <w:t xml:space="preserve"> technologies that are represented</w:t>
      </w:r>
      <w:r>
        <w:t xml:space="preserve"> </w:t>
      </w:r>
      <w:r w:rsidR="00E36A68">
        <w:t>in the model</w:t>
      </w:r>
      <w:r w:rsidR="009B627E">
        <w:t xml:space="preserve">. </w:t>
      </w:r>
    </w:p>
    <w:p w14:paraId="377B33BF" w14:textId="0F6CDC43" w:rsidR="00AF560D" w:rsidRDefault="009B627E">
      <w:r>
        <w:t>O</w:t>
      </w:r>
      <w:r w:rsidR="00866D4B">
        <w:t xml:space="preserve">ur objective </w:t>
      </w:r>
      <w:r w:rsidR="00E52846">
        <w:t xml:space="preserve">was </w:t>
      </w:r>
      <w:r w:rsidR="00866D4B">
        <w:t xml:space="preserve">to identify key factors that </w:t>
      </w:r>
      <w:r w:rsidR="00B13B22">
        <w:t xml:space="preserve">might </w:t>
      </w:r>
      <w:r w:rsidR="00866D4B">
        <w:t xml:space="preserve">contribute to </w:t>
      </w:r>
      <w:r w:rsidR="00B13B22">
        <w:t xml:space="preserve">the </w:t>
      </w:r>
      <w:r w:rsidR="00866D4B">
        <w:t xml:space="preserve">successful </w:t>
      </w:r>
      <w:r w:rsidR="000518CD">
        <w:t xml:space="preserve">commercial </w:t>
      </w:r>
      <w:r w:rsidR="00866D4B">
        <w:t>deployment</w:t>
      </w:r>
      <w:r w:rsidR="00B13B22">
        <w:t xml:space="preserve"> of HTL</w:t>
      </w:r>
      <w:r w:rsidR="00866D4B">
        <w:t>.</w:t>
      </w:r>
      <w:r w:rsidR="00E52846">
        <w:t xml:space="preserve"> Based on our analysis, this </w:t>
      </w:r>
      <w:r w:rsidR="00AF560D">
        <w:t>report presents the following insights:</w:t>
      </w:r>
    </w:p>
    <w:p w14:paraId="0C7D0ADE" w14:textId="40A345BF" w:rsidR="00AF560D" w:rsidRPr="00B059B3" w:rsidRDefault="00642CDD" w:rsidP="00AF560D">
      <w:pPr>
        <w:pStyle w:val="ListParagraph"/>
        <w:numPr>
          <w:ilvl w:val="0"/>
          <w:numId w:val="1"/>
        </w:numPr>
        <w:rPr>
          <w:szCs w:val="24"/>
        </w:rPr>
      </w:pPr>
      <w:r>
        <w:rPr>
          <w:szCs w:val="24"/>
        </w:rPr>
        <w:t>Although the</w:t>
      </w:r>
      <w:r w:rsidR="00244D91">
        <w:rPr>
          <w:szCs w:val="24"/>
        </w:rPr>
        <w:t xml:space="preserve"> </w:t>
      </w:r>
      <w:r>
        <w:rPr>
          <w:szCs w:val="24"/>
        </w:rPr>
        <w:t xml:space="preserve">various values of the twelve key input </w:t>
      </w:r>
      <w:r w:rsidR="00244D91">
        <w:rPr>
          <w:szCs w:val="24"/>
        </w:rPr>
        <w:t xml:space="preserve">factors explored </w:t>
      </w:r>
      <w:r>
        <w:rPr>
          <w:szCs w:val="24"/>
        </w:rPr>
        <w:t xml:space="preserve">in this study </w:t>
      </w:r>
      <w:r w:rsidR="00244D91">
        <w:rPr>
          <w:szCs w:val="24"/>
        </w:rPr>
        <w:t>generally favor the adoption of incumbent technologies</w:t>
      </w:r>
      <w:r>
        <w:rPr>
          <w:szCs w:val="24"/>
        </w:rPr>
        <w:t xml:space="preserve">, specific combinations of values lead to </w:t>
      </w:r>
      <w:r w:rsidR="00244D91">
        <w:rPr>
          <w:szCs w:val="24"/>
        </w:rPr>
        <w:t xml:space="preserve">modest levels of </w:t>
      </w:r>
      <w:r w:rsidR="00BC3139">
        <w:rPr>
          <w:szCs w:val="24"/>
        </w:rPr>
        <w:t xml:space="preserve">HTL </w:t>
      </w:r>
      <w:r w:rsidR="00244D91">
        <w:rPr>
          <w:szCs w:val="24"/>
        </w:rPr>
        <w:t>adoption</w:t>
      </w:r>
      <w:r w:rsidR="00BC3139">
        <w:rPr>
          <w:szCs w:val="24"/>
        </w:rPr>
        <w:t>.</w:t>
      </w:r>
    </w:p>
    <w:p w14:paraId="3416B061" w14:textId="74CF194C" w:rsidR="00AF560D" w:rsidRPr="00B059B3" w:rsidRDefault="00AF560D" w:rsidP="00AF560D">
      <w:pPr>
        <w:pStyle w:val="ListParagraph"/>
        <w:numPr>
          <w:ilvl w:val="0"/>
          <w:numId w:val="1"/>
        </w:numPr>
        <w:rPr>
          <w:szCs w:val="24"/>
        </w:rPr>
      </w:pPr>
      <w:r w:rsidRPr="001963FC">
        <w:t xml:space="preserve">Five factors </w:t>
      </w:r>
      <w:r w:rsidR="00536C03">
        <w:t>in the analysis explain variance in</w:t>
      </w:r>
      <w:r w:rsidRPr="001963FC">
        <w:t xml:space="preserve"> </w:t>
      </w:r>
      <w:commentRangeStart w:id="2"/>
      <w:r w:rsidRPr="001963FC">
        <w:t>HTL production</w:t>
      </w:r>
      <w:commentRangeEnd w:id="2"/>
      <w:r w:rsidR="005A0873">
        <w:rPr>
          <w:rStyle w:val="CommentReference"/>
        </w:rPr>
        <w:commentReference w:id="2"/>
      </w:r>
      <w:r w:rsidR="00536C03">
        <w:t>; of these,</w:t>
      </w:r>
      <w:r w:rsidRPr="001963FC">
        <w:t xml:space="preserve"> two </w:t>
      </w:r>
      <w:r w:rsidR="00536C03">
        <w:t>explain variance in</w:t>
      </w:r>
      <w:r w:rsidRPr="001963FC">
        <w:t xml:space="preserve"> total energy production.</w:t>
      </w:r>
    </w:p>
    <w:p w14:paraId="657948E3" w14:textId="613FDAB9" w:rsidR="00AF560D" w:rsidRPr="00B059B3" w:rsidRDefault="00AF560D" w:rsidP="00AF560D">
      <w:pPr>
        <w:pStyle w:val="ListParagraph"/>
        <w:numPr>
          <w:ilvl w:val="0"/>
          <w:numId w:val="1"/>
        </w:numPr>
        <w:rPr>
          <w:szCs w:val="24"/>
        </w:rPr>
      </w:pPr>
      <w:r w:rsidRPr="00B059B3">
        <w:t xml:space="preserve">The factors that are most important to HTL production </w:t>
      </w:r>
      <w:r w:rsidR="004164F9">
        <w:t xml:space="preserve">relate </w:t>
      </w:r>
      <w:r w:rsidR="00536C03">
        <w:t>to different</w:t>
      </w:r>
      <w:r w:rsidRPr="00B059B3">
        <w:t xml:space="preserve"> aspects of the </w:t>
      </w:r>
      <w:r w:rsidR="005B167C">
        <w:t>WTE</w:t>
      </w:r>
      <w:r w:rsidRPr="00B059B3">
        <w:t xml:space="preserve"> supply chain, including </w:t>
      </w:r>
      <w:r w:rsidR="005B167C">
        <w:t>WTE</w:t>
      </w:r>
      <w:r w:rsidR="004C11A8" w:rsidRPr="00B059B3">
        <w:t xml:space="preserve"> technology development, policy incentives, </w:t>
      </w:r>
      <w:r w:rsidRPr="00B059B3">
        <w:t xml:space="preserve">waste management </w:t>
      </w:r>
      <w:r w:rsidR="004164F9">
        <w:t>costs</w:t>
      </w:r>
      <w:r w:rsidR="004C11A8">
        <w:t xml:space="preserve">, </w:t>
      </w:r>
      <w:r w:rsidRPr="00B059B3">
        <w:t>and expenses during construction.</w:t>
      </w:r>
    </w:p>
    <w:p w14:paraId="78EE0986" w14:textId="6D1613F9" w:rsidR="00AF560D" w:rsidRPr="00B059B3" w:rsidRDefault="00AF560D" w:rsidP="00AF560D">
      <w:pPr>
        <w:pStyle w:val="ListParagraph"/>
        <w:numPr>
          <w:ilvl w:val="0"/>
          <w:numId w:val="1"/>
        </w:numPr>
        <w:rPr>
          <w:szCs w:val="24"/>
        </w:rPr>
      </w:pPr>
      <w:r w:rsidRPr="00B059B3">
        <w:t xml:space="preserve">The relative importance of these factors varies </w:t>
      </w:r>
      <w:r w:rsidR="005A0873">
        <w:t>between CAFOs and POTWs</w:t>
      </w:r>
      <w:r w:rsidRPr="00B059B3">
        <w:t>.</w:t>
      </w:r>
    </w:p>
    <w:p w14:paraId="30408D58" w14:textId="268E7E35" w:rsidR="00AF560D" w:rsidRDefault="0036334B">
      <w:pPr>
        <w:pStyle w:val="ListParagraph"/>
        <w:numPr>
          <w:ilvl w:val="0"/>
          <w:numId w:val="1"/>
        </w:numPr>
      </w:pPr>
      <w:r>
        <w:t>Simulations with higher HTL production</w:t>
      </w:r>
      <w:r w:rsidR="004164F9">
        <w:t xml:space="preserve"> have higher </w:t>
      </w:r>
      <w:r w:rsidR="00C85233">
        <w:t>initial commercial maturity of HTL</w:t>
      </w:r>
      <w:r w:rsidR="004164F9">
        <w:t xml:space="preserve"> </w:t>
      </w:r>
      <w:r w:rsidR="004164F9" w:rsidRPr="00F942B4">
        <w:rPr>
          <w:i/>
        </w:rPr>
        <w:t>and</w:t>
      </w:r>
      <w:r w:rsidR="004164F9">
        <w:t xml:space="preserve"> external conditions that favor HTL </w:t>
      </w:r>
      <w:r>
        <w:t>relative to other investment options</w:t>
      </w:r>
      <w:r w:rsidR="00AF560D" w:rsidRPr="00B059B3">
        <w:t>.</w:t>
      </w:r>
    </w:p>
    <w:p w14:paraId="207AD725" w14:textId="438C8840" w:rsidR="00DE0B84" w:rsidRDefault="00BC3139">
      <w:pPr>
        <w:pStyle w:val="ListParagraph"/>
        <w:numPr>
          <w:ilvl w:val="0"/>
          <w:numId w:val="1"/>
        </w:numPr>
      </w:pPr>
      <w:r>
        <w:t>Based on the limited factors and ranges explored, this</w:t>
      </w:r>
      <w:r w:rsidR="00DE0B84">
        <w:t xml:space="preserve"> study did not find evidence of </w:t>
      </w:r>
      <w:r>
        <w:t>inter-</w:t>
      </w:r>
      <w:r w:rsidR="00DE0B84">
        <w:t xml:space="preserve">regional policy impacts on growth in HTL production. </w:t>
      </w:r>
    </w:p>
    <w:p w14:paraId="16E9D6A4" w14:textId="0153E6A8" w:rsidR="00AF560D" w:rsidRPr="002B1CE6" w:rsidRDefault="00AF560D" w:rsidP="00AF560D">
      <w:r>
        <w:t>Together, these insights show a narrow path to growth in HTL production, with certain key factors</w:t>
      </w:r>
      <w:r w:rsidR="00E52846">
        <w:t xml:space="preserve"> </w:t>
      </w:r>
      <w:r>
        <w:t>offering the most favorable conditions for HTL growth by advancing HTL technology and limiting competition from other technologies.</w:t>
      </w:r>
    </w:p>
    <w:p w14:paraId="16C48FDE" w14:textId="25C0375E" w:rsidR="009A6E48" w:rsidRDefault="001012FA" w:rsidP="00900999">
      <w:pPr>
        <w:tabs>
          <w:tab w:val="num" w:pos="1440"/>
        </w:tabs>
      </w:pPr>
      <w:r>
        <w:t>Key model assumptions</w:t>
      </w:r>
      <w:r w:rsidR="005A2A1D">
        <w:t xml:space="preserve"> that</w:t>
      </w:r>
      <w:r>
        <w:t xml:space="preserve"> affect </w:t>
      </w:r>
      <w:proofErr w:type="spellStart"/>
      <w:r>
        <w:t>WESyS</w:t>
      </w:r>
      <w:proofErr w:type="spellEnd"/>
      <w:r>
        <w:t xml:space="preserve"> outcomes </w:t>
      </w:r>
      <w:r w:rsidR="00CC2FE9">
        <w:t>relate to</w:t>
      </w:r>
      <w:r>
        <w:t xml:space="preserve"> capital investments, waste transportation, policies, and technology cost and performance. </w:t>
      </w:r>
      <w:r w:rsidR="00E52846">
        <w:t>The f</w:t>
      </w:r>
      <w:r>
        <w:t>ixed capital</w:t>
      </w:r>
      <w:r w:rsidR="00CC2FE9">
        <w:t xml:space="preserve"> associated with </w:t>
      </w:r>
      <w:r w:rsidR="00C85233">
        <w:t>each</w:t>
      </w:r>
      <w:r w:rsidR="00CC2FE9">
        <w:t xml:space="preserve"> conversion option</w:t>
      </w:r>
      <w:r w:rsidR="009E2852">
        <w:t xml:space="preserve"> </w:t>
      </w:r>
      <w:r>
        <w:t>is assumed to be installed on site</w:t>
      </w:r>
      <w:r w:rsidR="00CC2FE9">
        <w:t xml:space="preserve">. </w:t>
      </w:r>
      <w:r w:rsidR="005B167C">
        <w:t>WTE</w:t>
      </w:r>
      <w:r>
        <w:t xml:space="preserve"> technology at </w:t>
      </w:r>
      <w:r w:rsidR="000518CD">
        <w:t>POTW</w:t>
      </w:r>
      <w:r>
        <w:t xml:space="preserve">s </w:t>
      </w:r>
      <w:r w:rsidR="005A2A1D">
        <w:t xml:space="preserve">is </w:t>
      </w:r>
      <w:r>
        <w:t>tracked over its life cycle such that new technology can replace retiring technology</w:t>
      </w:r>
      <w:r w:rsidR="006C5F8D">
        <w:t xml:space="preserve">, while technology installed on CAFOs and landfills is assumed to </w:t>
      </w:r>
      <w:r w:rsidR="0022108B">
        <w:t>last</w:t>
      </w:r>
      <w:r w:rsidR="006C5F8D">
        <w:t xml:space="preserve"> for the duration of the simulation</w:t>
      </w:r>
      <w:r w:rsidR="00C85233">
        <w:t>, precluding replacement opportunities</w:t>
      </w:r>
      <w:r>
        <w:t>.</w:t>
      </w:r>
      <w:r w:rsidR="00900999">
        <w:t xml:space="preserve"> The model does not include waste transportation or consolidation of waste from multiple sites. </w:t>
      </w:r>
      <w:r w:rsidR="00883BD6">
        <w:t xml:space="preserve">However, the </w:t>
      </w:r>
      <w:r w:rsidR="00900999">
        <w:t xml:space="preserve">model </w:t>
      </w:r>
      <w:r w:rsidR="00883BD6">
        <w:t xml:space="preserve">does </w:t>
      </w:r>
      <w:r w:rsidR="00900999">
        <w:t>represen</w:t>
      </w:r>
      <w:r w:rsidR="00883BD6">
        <w:t>t</w:t>
      </w:r>
      <w:r w:rsidR="00900999">
        <w:t xml:space="preserve"> policies that generate credits</w:t>
      </w:r>
      <w:r w:rsidR="0036334B">
        <w:t xml:space="preserve">, including </w:t>
      </w:r>
      <w:r w:rsidR="00900999">
        <w:t>Renewable Identification Numbers</w:t>
      </w:r>
      <w:r w:rsidR="0036334B">
        <w:t xml:space="preserve"> (RINs)</w:t>
      </w:r>
      <w:r w:rsidR="00900999">
        <w:t>,</w:t>
      </w:r>
      <w:r w:rsidR="005A2A1D">
        <w:t xml:space="preserve"> which expire after 2022</w:t>
      </w:r>
      <w:r w:rsidR="0036334B">
        <w:t>;</w:t>
      </w:r>
      <w:r w:rsidR="00900999">
        <w:t xml:space="preserve"> Low Carbon Fuel Standard</w:t>
      </w:r>
      <w:r w:rsidR="0036334B">
        <w:t xml:space="preserve"> (LCFS)</w:t>
      </w:r>
      <w:r w:rsidR="00900999">
        <w:t xml:space="preserve"> credits</w:t>
      </w:r>
      <w:r w:rsidR="005A2A1D">
        <w:t xml:space="preserve">, which expire in 2030; and </w:t>
      </w:r>
      <w:r w:rsidR="00611A44">
        <w:t xml:space="preserve">Production Tax Credit </w:t>
      </w:r>
      <w:r w:rsidR="005A2A1D">
        <w:t>Renewable Electricity Credits</w:t>
      </w:r>
      <w:r w:rsidR="0036334B">
        <w:t xml:space="preserve"> (</w:t>
      </w:r>
      <w:r w:rsidR="00611A44">
        <w:t xml:space="preserve">PTC </w:t>
      </w:r>
      <w:r w:rsidR="0036334B">
        <w:t>RECs)</w:t>
      </w:r>
      <w:r w:rsidR="005A2A1D">
        <w:t>, which are assumed never to expire</w:t>
      </w:r>
      <w:r w:rsidR="00900999">
        <w:t xml:space="preserve">. The model also represents </w:t>
      </w:r>
      <w:r w:rsidR="00883BD6">
        <w:t xml:space="preserve">the effects of </w:t>
      </w:r>
      <w:r w:rsidR="00900999">
        <w:t xml:space="preserve">California Senate Bill 1383, but </w:t>
      </w:r>
      <w:r w:rsidR="00883BD6">
        <w:t xml:space="preserve">no </w:t>
      </w:r>
      <w:r w:rsidR="00900999">
        <w:t>other California state policies</w:t>
      </w:r>
      <w:r w:rsidR="00900999" w:rsidRPr="00900999">
        <w:t xml:space="preserve"> </w:t>
      </w:r>
      <w:r w:rsidRPr="001012FA">
        <w:t>that may impact WTE</w:t>
      </w:r>
      <w:r w:rsidR="00900999">
        <w:t xml:space="preserve">. </w:t>
      </w:r>
    </w:p>
    <w:p w14:paraId="65F496F3" w14:textId="325A94D4" w:rsidR="001012FA" w:rsidRDefault="009A6E48" w:rsidP="00900999">
      <w:pPr>
        <w:tabs>
          <w:tab w:val="num" w:pos="1440"/>
        </w:tabs>
      </w:pPr>
      <w:r>
        <w:t>Because HTL is at a low technology readiness level, parameters relating to industrial learning are important</w:t>
      </w:r>
      <w:r w:rsidR="005B167C">
        <w:t>, and</w:t>
      </w:r>
      <w:r>
        <w:t xml:space="preserve"> w</w:t>
      </w:r>
      <w:r w:rsidR="001012FA" w:rsidRPr="001012FA">
        <w:t>e var</w:t>
      </w:r>
      <w:r w:rsidR="00C85233">
        <w:t>ied</w:t>
      </w:r>
      <w:r w:rsidR="001012FA" w:rsidRPr="001012FA">
        <w:t xml:space="preserve"> the</w:t>
      </w:r>
      <w:r>
        <w:t xml:space="preserve"> level of</w:t>
      </w:r>
      <w:r w:rsidR="001012FA" w:rsidRPr="001012FA">
        <w:t xml:space="preserve"> </w:t>
      </w:r>
      <w:r w:rsidR="00C85233">
        <w:t xml:space="preserve">initial </w:t>
      </w:r>
      <w:r w:rsidR="001012FA" w:rsidRPr="001012FA">
        <w:t xml:space="preserve">commercial maturity for HTL from 0 </w:t>
      </w:r>
      <w:r w:rsidR="00900999">
        <w:t xml:space="preserve">(not commercialized at all) </w:t>
      </w:r>
      <w:r w:rsidR="001012FA" w:rsidRPr="001012FA">
        <w:t xml:space="preserve">to </w:t>
      </w:r>
      <w:r>
        <w:t>0.9</w:t>
      </w:r>
      <w:r w:rsidR="001012FA" w:rsidRPr="001012FA">
        <w:t xml:space="preserve"> </w:t>
      </w:r>
      <w:r w:rsidR="00900999">
        <w:t>(</w:t>
      </w:r>
      <w:r w:rsidR="005A0873">
        <w:t xml:space="preserve">newly </w:t>
      </w:r>
      <w:r w:rsidR="00900999">
        <w:t>commercialized)</w:t>
      </w:r>
      <w:r w:rsidR="00245386">
        <w:t xml:space="preserve">, testing </w:t>
      </w:r>
      <w:r>
        <w:t xml:space="preserve">a range of potential initial conditions for HTL maturity.   </w:t>
      </w:r>
    </w:p>
    <w:p w14:paraId="293458C7" w14:textId="252A9BE8" w:rsidR="00980097" w:rsidRDefault="00E31765" w:rsidP="007C47E1">
      <w:pPr>
        <w:sectPr w:rsidR="00980097" w:rsidSect="00980097">
          <w:pgSz w:w="12240" w:h="15840"/>
          <w:pgMar w:top="1440" w:right="1440" w:bottom="1440" w:left="1440" w:header="720" w:footer="720" w:gutter="0"/>
          <w:cols w:space="720"/>
          <w:docGrid w:linePitch="360"/>
        </w:sectPr>
      </w:pPr>
      <w:r>
        <w:t xml:space="preserve">For this study, we used a </w:t>
      </w:r>
      <w:proofErr w:type="spellStart"/>
      <w:r>
        <w:t>Sobol</w:t>
      </w:r>
      <w:proofErr w:type="spellEnd"/>
      <w:r>
        <w:t xml:space="preserve"> quasi-random sequence study design </w:t>
      </w:r>
      <w:r w:rsidR="00866D4B">
        <w:t xml:space="preserve">in which we varied twelve </w:t>
      </w:r>
      <w:r>
        <w:t xml:space="preserve">model </w:t>
      </w:r>
      <w:r w:rsidR="00866D4B">
        <w:t>factors</w:t>
      </w:r>
      <w:r w:rsidR="009A6E48">
        <w:t xml:space="preserve"> (Table 1)</w:t>
      </w:r>
      <w:r>
        <w:t xml:space="preserve">. </w:t>
      </w:r>
      <w:r w:rsidR="009A6E48">
        <w:t xml:space="preserve">The </w:t>
      </w:r>
      <w:r>
        <w:t xml:space="preserve">choice of factors was based on previous sensitivity analyses (FY18 Q3 and Q4) as well as </w:t>
      </w:r>
      <w:r w:rsidR="009B627E">
        <w:t>our understanding of</w:t>
      </w:r>
      <w:r>
        <w:t xml:space="preserve"> the model and </w:t>
      </w:r>
      <w:r w:rsidR="009A6E48">
        <w:t xml:space="preserve">the </w:t>
      </w:r>
      <w:r>
        <w:t>system</w:t>
      </w:r>
      <w:r w:rsidR="009A6E48">
        <w:t xml:space="preserve"> it represents</w:t>
      </w:r>
      <w:r w:rsidR="00883BD6">
        <w:t>.</w:t>
      </w:r>
      <w:r w:rsidR="00866D4B">
        <w:t xml:space="preserve"> </w:t>
      </w:r>
      <w:r w:rsidR="00497093">
        <w:t>Using this approach, the study design consisted of 195,000 simulations.</w:t>
      </w:r>
      <w:r w:rsidR="00A63E82">
        <w:t xml:space="preserve"> </w:t>
      </w:r>
      <w:r w:rsidR="009A6E48">
        <w:t>After the simulations were run, w</w:t>
      </w:r>
      <w:r w:rsidR="00A63E82">
        <w:t>e performed regression tree analysis on the results</w:t>
      </w:r>
      <w:r w:rsidR="00883BD6">
        <w:t xml:space="preserve"> with a</w:t>
      </w:r>
      <w:r w:rsidR="00A63E82">
        <w:t xml:space="preserve"> pruning criteri</w:t>
      </w:r>
      <w:r w:rsidR="00AF560D">
        <w:t>on</w:t>
      </w:r>
      <w:r w:rsidR="00A63E82">
        <w:t xml:space="preserve"> set to 0.05</w:t>
      </w:r>
      <w:r w:rsidR="00883BD6">
        <w:t xml:space="preserve"> (i.e.</w:t>
      </w:r>
      <w:r w:rsidR="00A63E82">
        <w:t>, only factors that explain &gt; 5% of the variance are included in the regression tree</w:t>
      </w:r>
      <w:r w:rsidR="005029D5">
        <w:t>).</w:t>
      </w:r>
      <w:r w:rsidR="004D1370">
        <w:t xml:space="preserve"> </w:t>
      </w:r>
      <w:r w:rsidR="00A93B98">
        <w:t xml:space="preserve">We performed regression tree analysis and examined the time series of energy production by resource, energy type, and region to generate the following insights. </w:t>
      </w:r>
    </w:p>
    <w:p w14:paraId="7121584F" w14:textId="11B287DC" w:rsidR="00980097" w:rsidRDefault="00980097" w:rsidP="00980097">
      <w:pPr>
        <w:rPr>
          <w:b/>
        </w:rPr>
      </w:pPr>
      <w:r w:rsidRPr="002B2B76">
        <w:rPr>
          <w:b/>
        </w:rPr>
        <w:lastRenderedPageBreak/>
        <w:t xml:space="preserve">Table 1. Default values and range of factors included in </w:t>
      </w:r>
      <w:r w:rsidR="008E1F37">
        <w:rPr>
          <w:b/>
        </w:rPr>
        <w:t xml:space="preserve">this </w:t>
      </w:r>
      <w:r w:rsidRPr="002B2B76">
        <w:rPr>
          <w:b/>
        </w:rPr>
        <w:t>analysis</w:t>
      </w:r>
      <w:r w:rsidR="009A6E48">
        <w:rPr>
          <w:b/>
        </w:rPr>
        <w:t xml:space="preserve">. </w:t>
      </w:r>
    </w:p>
    <w:tbl>
      <w:tblPr>
        <w:tblpPr w:leftFromText="180" w:rightFromText="180" w:vertAnchor="page" w:horzAnchor="margin" w:tblpY="1983"/>
        <w:tblW w:w="12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5"/>
        <w:gridCol w:w="4677"/>
        <w:gridCol w:w="751"/>
        <w:gridCol w:w="1797"/>
        <w:gridCol w:w="1083"/>
        <w:gridCol w:w="663"/>
      </w:tblGrid>
      <w:tr w:rsidR="00AF560D" w:rsidRPr="00980097" w14:paraId="67AC8D93" w14:textId="77777777" w:rsidTr="00245386">
        <w:trPr>
          <w:trHeight w:val="300"/>
        </w:trPr>
        <w:tc>
          <w:tcPr>
            <w:tcW w:w="3595" w:type="dxa"/>
            <w:vAlign w:val="center"/>
          </w:tcPr>
          <w:p w14:paraId="218B499A" w14:textId="0352084A" w:rsidR="00AF560D" w:rsidRPr="00980097" w:rsidRDefault="00AF560D" w:rsidP="001332E0">
            <w:pPr>
              <w:spacing w:after="0"/>
              <w:rPr>
                <w:rFonts w:ascii="Calibri" w:eastAsia="Times New Roman" w:hAnsi="Calibri" w:cs="Calibri"/>
                <w:b/>
                <w:color w:val="000000"/>
                <w:sz w:val="16"/>
                <w:szCs w:val="16"/>
              </w:rPr>
            </w:pPr>
            <w:r>
              <w:rPr>
                <w:rFonts w:ascii="Calibri" w:eastAsia="Times New Roman" w:hAnsi="Calibri" w:cs="Calibri"/>
                <w:b/>
                <w:color w:val="000000"/>
                <w:sz w:val="16"/>
                <w:szCs w:val="16"/>
              </w:rPr>
              <w:t>Factor</w:t>
            </w:r>
          </w:p>
        </w:tc>
        <w:tc>
          <w:tcPr>
            <w:tcW w:w="4677" w:type="dxa"/>
            <w:vAlign w:val="center"/>
          </w:tcPr>
          <w:p w14:paraId="580442F8" w14:textId="6A2EAA4A" w:rsidR="00AF560D" w:rsidDel="00883BD6" w:rsidRDefault="00AF560D" w:rsidP="001332E0">
            <w:pPr>
              <w:spacing w:after="0"/>
              <w:rPr>
                <w:rFonts w:ascii="Calibri" w:eastAsia="Times New Roman" w:hAnsi="Calibri" w:cs="Calibri"/>
                <w:b/>
                <w:color w:val="000000"/>
                <w:sz w:val="16"/>
                <w:szCs w:val="16"/>
              </w:rPr>
            </w:pPr>
            <w:r>
              <w:rPr>
                <w:rFonts w:ascii="Calibri" w:eastAsia="Times New Roman" w:hAnsi="Calibri" w:cs="Calibri"/>
                <w:b/>
                <w:color w:val="000000"/>
                <w:sz w:val="16"/>
                <w:szCs w:val="16"/>
              </w:rPr>
              <w:t>Description</w:t>
            </w:r>
          </w:p>
        </w:tc>
        <w:tc>
          <w:tcPr>
            <w:tcW w:w="751" w:type="dxa"/>
            <w:vAlign w:val="center"/>
          </w:tcPr>
          <w:p w14:paraId="18649304" w14:textId="77777777" w:rsidR="00AF560D" w:rsidRPr="00980097" w:rsidRDefault="00AF560D" w:rsidP="00245386">
            <w:pPr>
              <w:spacing w:after="0"/>
              <w:rPr>
                <w:rFonts w:ascii="Calibri" w:eastAsia="Times New Roman" w:hAnsi="Calibri" w:cs="Calibri"/>
                <w:b/>
                <w:color w:val="000000"/>
                <w:sz w:val="16"/>
                <w:szCs w:val="16"/>
              </w:rPr>
            </w:pPr>
            <w:r w:rsidRPr="00980097">
              <w:rPr>
                <w:rFonts w:ascii="Calibri" w:eastAsia="Times New Roman" w:hAnsi="Calibri" w:cs="Calibri"/>
                <w:b/>
                <w:color w:val="000000"/>
                <w:sz w:val="16"/>
                <w:szCs w:val="16"/>
              </w:rPr>
              <w:t>Units</w:t>
            </w:r>
          </w:p>
        </w:tc>
        <w:tc>
          <w:tcPr>
            <w:tcW w:w="1797" w:type="dxa"/>
            <w:shd w:val="clear" w:color="auto" w:fill="auto"/>
            <w:vAlign w:val="center"/>
            <w:hideMark/>
          </w:tcPr>
          <w:p w14:paraId="6568C41D" w14:textId="77777777" w:rsidR="00AF560D" w:rsidRPr="00980097" w:rsidRDefault="00AF560D" w:rsidP="001332E0">
            <w:pPr>
              <w:spacing w:after="0"/>
              <w:rPr>
                <w:rFonts w:ascii="Calibri" w:eastAsia="Times New Roman" w:hAnsi="Calibri" w:cs="Calibri"/>
                <w:b/>
                <w:color w:val="000000"/>
                <w:sz w:val="16"/>
                <w:szCs w:val="16"/>
              </w:rPr>
            </w:pPr>
            <w:r w:rsidRPr="00980097">
              <w:rPr>
                <w:rFonts w:ascii="Calibri" w:eastAsia="Times New Roman" w:hAnsi="Calibri" w:cs="Calibri"/>
                <w:b/>
                <w:color w:val="000000"/>
                <w:sz w:val="16"/>
                <w:szCs w:val="16"/>
              </w:rPr>
              <w:t>Default</w:t>
            </w:r>
          </w:p>
        </w:tc>
        <w:tc>
          <w:tcPr>
            <w:tcW w:w="1083" w:type="dxa"/>
            <w:shd w:val="clear" w:color="auto" w:fill="auto"/>
            <w:noWrap/>
            <w:vAlign w:val="center"/>
            <w:hideMark/>
          </w:tcPr>
          <w:p w14:paraId="7F386732" w14:textId="77777777" w:rsidR="00AF560D" w:rsidRPr="00980097" w:rsidRDefault="00AF560D" w:rsidP="001332E0">
            <w:pPr>
              <w:spacing w:after="0"/>
              <w:rPr>
                <w:rFonts w:ascii="Calibri" w:eastAsia="Times New Roman" w:hAnsi="Calibri" w:cs="Calibri"/>
                <w:b/>
                <w:color w:val="000000"/>
                <w:sz w:val="16"/>
                <w:szCs w:val="16"/>
              </w:rPr>
            </w:pPr>
            <w:r w:rsidRPr="00980097">
              <w:rPr>
                <w:rFonts w:ascii="Calibri" w:eastAsia="Times New Roman" w:hAnsi="Calibri" w:cs="Calibri"/>
                <w:b/>
                <w:color w:val="000000"/>
                <w:sz w:val="16"/>
                <w:szCs w:val="16"/>
              </w:rPr>
              <w:t>Low</w:t>
            </w:r>
          </w:p>
        </w:tc>
        <w:tc>
          <w:tcPr>
            <w:tcW w:w="663" w:type="dxa"/>
            <w:shd w:val="clear" w:color="auto" w:fill="auto"/>
            <w:noWrap/>
            <w:vAlign w:val="center"/>
            <w:hideMark/>
          </w:tcPr>
          <w:p w14:paraId="31DBE120" w14:textId="77777777" w:rsidR="00AF560D" w:rsidRPr="00980097" w:rsidRDefault="00AF560D" w:rsidP="001332E0">
            <w:pPr>
              <w:spacing w:after="0"/>
              <w:rPr>
                <w:rFonts w:ascii="Calibri" w:eastAsia="Times New Roman" w:hAnsi="Calibri" w:cs="Calibri"/>
                <w:b/>
                <w:color w:val="000000"/>
                <w:sz w:val="16"/>
                <w:szCs w:val="16"/>
              </w:rPr>
            </w:pPr>
            <w:r w:rsidRPr="00980097">
              <w:rPr>
                <w:rFonts w:ascii="Calibri" w:eastAsia="Times New Roman" w:hAnsi="Calibri" w:cs="Calibri"/>
                <w:b/>
                <w:color w:val="000000"/>
                <w:sz w:val="16"/>
                <w:szCs w:val="16"/>
              </w:rPr>
              <w:t>High</w:t>
            </w:r>
          </w:p>
        </w:tc>
      </w:tr>
      <w:tr w:rsidR="00DA5779" w:rsidRPr="00980097" w14:paraId="1891E1E3" w14:textId="77777777" w:rsidTr="00245386">
        <w:trPr>
          <w:trHeight w:val="300"/>
        </w:trPr>
        <w:tc>
          <w:tcPr>
            <w:tcW w:w="3595" w:type="dxa"/>
            <w:vAlign w:val="center"/>
          </w:tcPr>
          <w:p w14:paraId="72CF91A1" w14:textId="6B89BFBA" w:rsidR="00DA5779" w:rsidRDefault="00DA5779" w:rsidP="00DA5779">
            <w:pPr>
              <w:spacing w:after="0"/>
              <w:rPr>
                <w:rFonts w:ascii="Calibri" w:eastAsia="Times New Roman" w:hAnsi="Calibri" w:cs="Calibri"/>
                <w:b/>
                <w:color w:val="000000"/>
                <w:sz w:val="16"/>
                <w:szCs w:val="16"/>
              </w:rPr>
            </w:pPr>
            <w:r w:rsidRPr="00980097">
              <w:rPr>
                <w:rFonts w:ascii="Calibri" w:eastAsia="Times New Roman" w:hAnsi="Calibri" w:cs="Calibri"/>
                <w:color w:val="000000"/>
                <w:sz w:val="16"/>
                <w:szCs w:val="16"/>
              </w:rPr>
              <w:t>Initial commercial maturity of HTL</w:t>
            </w:r>
          </w:p>
        </w:tc>
        <w:tc>
          <w:tcPr>
            <w:tcW w:w="4677" w:type="dxa"/>
            <w:vAlign w:val="center"/>
          </w:tcPr>
          <w:p w14:paraId="2012B3D8" w14:textId="1E8D2687" w:rsidR="00DA5779" w:rsidRDefault="00DA5779" w:rsidP="00DA5779">
            <w:pPr>
              <w:spacing w:after="0"/>
              <w:rPr>
                <w:rFonts w:ascii="Calibri" w:eastAsia="Times New Roman" w:hAnsi="Calibri" w:cs="Calibri"/>
                <w:b/>
                <w:color w:val="000000"/>
                <w:sz w:val="16"/>
                <w:szCs w:val="16"/>
              </w:rPr>
            </w:pPr>
            <w:r w:rsidRPr="00980097">
              <w:rPr>
                <w:rFonts w:ascii="Calibri" w:eastAsia="Times New Roman" w:hAnsi="Calibri" w:cs="Calibri"/>
                <w:color w:val="000000"/>
                <w:sz w:val="16"/>
                <w:szCs w:val="16"/>
              </w:rPr>
              <w:t>Sets initial maturity level for HTL</w:t>
            </w:r>
            <w:r w:rsidRPr="00980097" w:rsidDel="00CD227B">
              <w:rPr>
                <w:rFonts w:ascii="Calibri" w:eastAsia="Times New Roman" w:hAnsi="Calibri" w:cs="Calibri"/>
                <w:color w:val="000000"/>
                <w:sz w:val="16"/>
                <w:szCs w:val="16"/>
              </w:rPr>
              <w:t>.</w:t>
            </w:r>
          </w:p>
        </w:tc>
        <w:tc>
          <w:tcPr>
            <w:tcW w:w="751" w:type="dxa"/>
            <w:vAlign w:val="center"/>
          </w:tcPr>
          <w:p w14:paraId="088A1DBE" w14:textId="280BC882" w:rsidR="00DA5779" w:rsidRPr="00980097" w:rsidRDefault="00DA5779" w:rsidP="00DA5779">
            <w:pPr>
              <w:spacing w:after="0"/>
              <w:rPr>
                <w:rFonts w:ascii="Calibri" w:eastAsia="Times New Roman" w:hAnsi="Calibri" w:cs="Calibri"/>
                <w:b/>
                <w:color w:val="000000"/>
                <w:sz w:val="16"/>
                <w:szCs w:val="16"/>
              </w:rPr>
            </w:pPr>
            <w:r w:rsidRPr="00980097">
              <w:rPr>
                <w:rFonts w:ascii="Calibri" w:eastAsia="Times New Roman" w:hAnsi="Calibri" w:cs="Calibri"/>
                <w:color w:val="000000"/>
                <w:sz w:val="16"/>
                <w:szCs w:val="16"/>
              </w:rPr>
              <w:t>-</w:t>
            </w:r>
          </w:p>
        </w:tc>
        <w:tc>
          <w:tcPr>
            <w:tcW w:w="1797" w:type="dxa"/>
            <w:shd w:val="clear" w:color="auto" w:fill="auto"/>
            <w:vAlign w:val="center"/>
          </w:tcPr>
          <w:p w14:paraId="35A3C54F" w14:textId="6717F74B" w:rsidR="00DA5779" w:rsidRPr="00980097" w:rsidRDefault="00DA5779" w:rsidP="00DA5779">
            <w:pPr>
              <w:spacing w:after="0"/>
              <w:rPr>
                <w:rFonts w:ascii="Calibri" w:eastAsia="Times New Roman" w:hAnsi="Calibri" w:cs="Calibri"/>
                <w:b/>
                <w:color w:val="000000"/>
                <w:sz w:val="16"/>
                <w:szCs w:val="16"/>
              </w:rPr>
            </w:pPr>
            <w:r w:rsidRPr="00980097">
              <w:rPr>
                <w:rFonts w:ascii="Calibri" w:eastAsia="Times New Roman" w:hAnsi="Calibri" w:cs="Calibri"/>
                <w:color w:val="000000"/>
                <w:sz w:val="16"/>
                <w:szCs w:val="16"/>
              </w:rPr>
              <w:t>0</w:t>
            </w:r>
          </w:p>
        </w:tc>
        <w:tc>
          <w:tcPr>
            <w:tcW w:w="1083" w:type="dxa"/>
            <w:shd w:val="clear" w:color="auto" w:fill="auto"/>
            <w:noWrap/>
            <w:vAlign w:val="center"/>
          </w:tcPr>
          <w:p w14:paraId="66D545E2" w14:textId="1D76F0CF" w:rsidR="00DA5779" w:rsidRPr="00980097" w:rsidRDefault="00DA5779" w:rsidP="00DA5779">
            <w:pPr>
              <w:spacing w:after="0"/>
              <w:rPr>
                <w:rFonts w:ascii="Calibri" w:eastAsia="Times New Roman" w:hAnsi="Calibri" w:cs="Calibri"/>
                <w:b/>
                <w:color w:val="000000"/>
                <w:sz w:val="16"/>
                <w:szCs w:val="16"/>
              </w:rPr>
            </w:pPr>
            <w:r w:rsidRPr="00980097">
              <w:rPr>
                <w:rFonts w:ascii="Calibri" w:eastAsia="Times New Roman" w:hAnsi="Calibri" w:cs="Calibri"/>
                <w:color w:val="000000"/>
                <w:sz w:val="16"/>
                <w:szCs w:val="16"/>
              </w:rPr>
              <w:t>0</w:t>
            </w:r>
          </w:p>
        </w:tc>
        <w:tc>
          <w:tcPr>
            <w:tcW w:w="663" w:type="dxa"/>
            <w:shd w:val="clear" w:color="auto" w:fill="auto"/>
            <w:noWrap/>
            <w:vAlign w:val="center"/>
          </w:tcPr>
          <w:p w14:paraId="1EE6D54E" w14:textId="7700F2A3" w:rsidR="00DA5779" w:rsidRPr="00980097" w:rsidRDefault="00DA5779" w:rsidP="00DA5779">
            <w:pPr>
              <w:spacing w:after="0"/>
              <w:rPr>
                <w:rFonts w:ascii="Calibri" w:eastAsia="Times New Roman" w:hAnsi="Calibri" w:cs="Calibri"/>
                <w:b/>
                <w:color w:val="000000"/>
                <w:sz w:val="16"/>
                <w:szCs w:val="16"/>
              </w:rPr>
            </w:pPr>
            <w:r w:rsidRPr="00980097">
              <w:rPr>
                <w:rFonts w:ascii="Calibri" w:eastAsia="Times New Roman" w:hAnsi="Calibri" w:cs="Calibri"/>
                <w:color w:val="000000"/>
                <w:sz w:val="16"/>
                <w:szCs w:val="16"/>
              </w:rPr>
              <w:t>0.9</w:t>
            </w:r>
          </w:p>
        </w:tc>
      </w:tr>
      <w:tr w:rsidR="00DA5779" w:rsidRPr="00980097" w14:paraId="6C9435E3" w14:textId="77777777" w:rsidTr="00245386">
        <w:trPr>
          <w:trHeight w:val="300"/>
        </w:trPr>
        <w:tc>
          <w:tcPr>
            <w:tcW w:w="3595" w:type="dxa"/>
            <w:vAlign w:val="center"/>
          </w:tcPr>
          <w:p w14:paraId="556398B5" w14:textId="03EB565A" w:rsidR="00DA5779" w:rsidRDefault="00DA5779" w:rsidP="00DA5779">
            <w:pPr>
              <w:spacing w:after="0"/>
              <w:rPr>
                <w:rFonts w:ascii="Calibri" w:eastAsia="Times New Roman" w:hAnsi="Calibri" w:cs="Calibri"/>
                <w:b/>
                <w:color w:val="000000"/>
                <w:sz w:val="16"/>
                <w:szCs w:val="16"/>
              </w:rPr>
            </w:pPr>
            <w:r w:rsidRPr="00980097">
              <w:rPr>
                <w:rFonts w:ascii="Calibri" w:eastAsia="Times New Roman" w:hAnsi="Calibri" w:cs="Calibri"/>
                <w:color w:val="000000"/>
                <w:sz w:val="16"/>
                <w:szCs w:val="16"/>
              </w:rPr>
              <w:t>RIN multiplier</w:t>
            </w:r>
          </w:p>
        </w:tc>
        <w:tc>
          <w:tcPr>
            <w:tcW w:w="4677" w:type="dxa"/>
            <w:vAlign w:val="center"/>
          </w:tcPr>
          <w:p w14:paraId="68E634AA" w14:textId="5D3E50C5" w:rsidR="00DA5779" w:rsidRDefault="00DA5779" w:rsidP="00DA5779">
            <w:pPr>
              <w:spacing w:after="0"/>
              <w:rPr>
                <w:rFonts w:ascii="Calibri" w:eastAsia="Times New Roman" w:hAnsi="Calibri" w:cs="Calibri"/>
                <w:b/>
                <w:color w:val="000000"/>
                <w:sz w:val="16"/>
                <w:szCs w:val="16"/>
              </w:rPr>
            </w:pPr>
            <w:r w:rsidRPr="00980097">
              <w:rPr>
                <w:rFonts w:ascii="Calibri" w:eastAsia="Times New Roman" w:hAnsi="Calibri" w:cs="Calibri"/>
                <w:color w:val="000000"/>
                <w:sz w:val="16"/>
                <w:szCs w:val="16"/>
              </w:rPr>
              <w:t xml:space="preserve">Multiplied by the base value of the </w:t>
            </w:r>
            <w:r>
              <w:rPr>
                <w:rFonts w:ascii="Calibri" w:eastAsia="Times New Roman" w:hAnsi="Calibri" w:cs="Calibri"/>
                <w:color w:val="000000"/>
                <w:sz w:val="16"/>
                <w:szCs w:val="16"/>
              </w:rPr>
              <w:t>RIN</w:t>
            </w:r>
            <w:r w:rsidRPr="00980097">
              <w:rPr>
                <w:rFonts w:ascii="Calibri" w:eastAsia="Times New Roman" w:hAnsi="Calibri" w:cs="Calibri"/>
                <w:color w:val="000000"/>
                <w:sz w:val="16"/>
                <w:szCs w:val="16"/>
              </w:rPr>
              <w:t xml:space="preserve"> credit, which reaches $2.50 per gallon.</w:t>
            </w:r>
          </w:p>
        </w:tc>
        <w:tc>
          <w:tcPr>
            <w:tcW w:w="751" w:type="dxa"/>
            <w:vAlign w:val="center"/>
          </w:tcPr>
          <w:p w14:paraId="627F4096" w14:textId="53855973" w:rsidR="00DA5779" w:rsidRPr="00980097" w:rsidRDefault="00DA5779" w:rsidP="00DA5779">
            <w:pPr>
              <w:spacing w:after="0"/>
              <w:rPr>
                <w:rFonts w:ascii="Calibri" w:eastAsia="Times New Roman" w:hAnsi="Calibri" w:cs="Calibri"/>
                <w:b/>
                <w:color w:val="000000"/>
                <w:sz w:val="16"/>
                <w:szCs w:val="16"/>
              </w:rPr>
            </w:pPr>
            <w:r w:rsidRPr="00980097">
              <w:rPr>
                <w:rFonts w:ascii="Calibri" w:eastAsia="Times New Roman" w:hAnsi="Calibri" w:cs="Calibri"/>
                <w:color w:val="000000"/>
                <w:sz w:val="16"/>
                <w:szCs w:val="16"/>
              </w:rPr>
              <w:t>-</w:t>
            </w:r>
          </w:p>
        </w:tc>
        <w:tc>
          <w:tcPr>
            <w:tcW w:w="1797" w:type="dxa"/>
            <w:shd w:val="clear" w:color="auto" w:fill="auto"/>
            <w:vAlign w:val="center"/>
          </w:tcPr>
          <w:p w14:paraId="46DDAABC" w14:textId="3DC56453" w:rsidR="00DA5779" w:rsidRPr="00980097" w:rsidRDefault="00DA5779" w:rsidP="00DA5779">
            <w:pPr>
              <w:spacing w:after="0"/>
              <w:rPr>
                <w:rFonts w:ascii="Calibri" w:eastAsia="Times New Roman" w:hAnsi="Calibri" w:cs="Calibri"/>
                <w:b/>
                <w:color w:val="000000"/>
                <w:sz w:val="16"/>
                <w:szCs w:val="16"/>
              </w:rPr>
            </w:pPr>
            <w:r w:rsidRPr="00980097">
              <w:rPr>
                <w:rFonts w:ascii="Calibri" w:eastAsia="Times New Roman" w:hAnsi="Calibri" w:cs="Calibri"/>
                <w:color w:val="000000"/>
                <w:sz w:val="16"/>
                <w:szCs w:val="16"/>
              </w:rPr>
              <w:t>1</w:t>
            </w:r>
          </w:p>
        </w:tc>
        <w:tc>
          <w:tcPr>
            <w:tcW w:w="1083" w:type="dxa"/>
            <w:shd w:val="clear" w:color="auto" w:fill="auto"/>
            <w:noWrap/>
            <w:vAlign w:val="center"/>
          </w:tcPr>
          <w:p w14:paraId="40EBCBE2" w14:textId="58A68BEF" w:rsidR="00DA5779" w:rsidRPr="00980097" w:rsidRDefault="00DA5779" w:rsidP="00DA5779">
            <w:pPr>
              <w:spacing w:after="0"/>
              <w:rPr>
                <w:rFonts w:ascii="Calibri" w:eastAsia="Times New Roman" w:hAnsi="Calibri" w:cs="Calibri"/>
                <w:b/>
                <w:color w:val="000000"/>
                <w:sz w:val="16"/>
                <w:szCs w:val="16"/>
              </w:rPr>
            </w:pPr>
            <w:r w:rsidRPr="00980097">
              <w:rPr>
                <w:rFonts w:ascii="Calibri" w:eastAsia="Times New Roman" w:hAnsi="Calibri" w:cs="Calibri"/>
                <w:color w:val="000000"/>
                <w:sz w:val="16"/>
                <w:szCs w:val="16"/>
              </w:rPr>
              <w:t>0</w:t>
            </w:r>
          </w:p>
        </w:tc>
        <w:tc>
          <w:tcPr>
            <w:tcW w:w="663" w:type="dxa"/>
            <w:shd w:val="clear" w:color="auto" w:fill="auto"/>
            <w:noWrap/>
            <w:vAlign w:val="center"/>
          </w:tcPr>
          <w:p w14:paraId="30F971EC" w14:textId="08532A1E" w:rsidR="00DA5779" w:rsidRPr="00980097" w:rsidRDefault="00DA5779" w:rsidP="00DA5779">
            <w:pPr>
              <w:spacing w:after="0"/>
              <w:rPr>
                <w:rFonts w:ascii="Calibri" w:eastAsia="Times New Roman" w:hAnsi="Calibri" w:cs="Calibri"/>
                <w:b/>
                <w:color w:val="000000"/>
                <w:sz w:val="16"/>
                <w:szCs w:val="16"/>
              </w:rPr>
            </w:pPr>
            <w:r w:rsidRPr="00980097">
              <w:rPr>
                <w:rFonts w:ascii="Calibri" w:eastAsia="Times New Roman" w:hAnsi="Calibri" w:cs="Calibri"/>
                <w:color w:val="000000"/>
                <w:sz w:val="16"/>
                <w:szCs w:val="16"/>
              </w:rPr>
              <w:t>2</w:t>
            </w:r>
          </w:p>
        </w:tc>
      </w:tr>
      <w:tr w:rsidR="00E954EA" w:rsidRPr="00980097" w14:paraId="054121B8" w14:textId="77777777" w:rsidTr="00245386">
        <w:trPr>
          <w:trHeight w:val="300"/>
        </w:trPr>
        <w:tc>
          <w:tcPr>
            <w:tcW w:w="3595" w:type="dxa"/>
            <w:vAlign w:val="center"/>
          </w:tcPr>
          <w:p w14:paraId="3C8211CA" w14:textId="7CFA6BDD" w:rsidR="00E954EA" w:rsidRDefault="00E954EA" w:rsidP="00E954EA">
            <w:pPr>
              <w:spacing w:after="0"/>
              <w:rPr>
                <w:rFonts w:ascii="Calibri" w:eastAsia="Times New Roman" w:hAnsi="Calibri" w:cs="Calibri"/>
                <w:color w:val="000000"/>
                <w:sz w:val="16"/>
                <w:szCs w:val="16"/>
              </w:rPr>
            </w:pPr>
            <w:r>
              <w:rPr>
                <w:rFonts w:ascii="Calibri" w:eastAsia="Times New Roman" w:hAnsi="Calibri" w:cs="Calibri"/>
                <w:color w:val="000000"/>
                <w:sz w:val="16"/>
                <w:szCs w:val="16"/>
              </w:rPr>
              <w:t>C</w:t>
            </w:r>
            <w:r w:rsidRPr="00980097">
              <w:rPr>
                <w:rFonts w:ascii="Calibri" w:eastAsia="Times New Roman" w:hAnsi="Calibri" w:cs="Calibri"/>
                <w:color w:val="000000"/>
                <w:sz w:val="16"/>
                <w:szCs w:val="16"/>
              </w:rPr>
              <w:t>onstruction duration multiplier</w:t>
            </w:r>
          </w:p>
        </w:tc>
        <w:tc>
          <w:tcPr>
            <w:tcW w:w="4677" w:type="dxa"/>
            <w:vAlign w:val="center"/>
          </w:tcPr>
          <w:p w14:paraId="64F14DDE" w14:textId="2E08F53F" w:rsidR="00E954EA" w:rsidRPr="00980097" w:rsidRDefault="00E954EA" w:rsidP="00E954EA">
            <w:pPr>
              <w:spacing w:after="0"/>
              <w:rPr>
                <w:rFonts w:ascii="Calibri" w:eastAsia="Times New Roman" w:hAnsi="Calibri" w:cs="Calibri"/>
                <w:color w:val="000000"/>
                <w:sz w:val="16"/>
                <w:szCs w:val="16"/>
              </w:rPr>
            </w:pPr>
            <w:r w:rsidRPr="00980097">
              <w:rPr>
                <w:rFonts w:ascii="Calibri" w:eastAsia="Times New Roman" w:hAnsi="Calibri" w:cs="Calibri"/>
                <w:color w:val="000000"/>
                <w:sz w:val="16"/>
                <w:szCs w:val="16"/>
              </w:rPr>
              <w:t>Determines the lag time from project initiation to completion.</w:t>
            </w:r>
          </w:p>
        </w:tc>
        <w:tc>
          <w:tcPr>
            <w:tcW w:w="751" w:type="dxa"/>
            <w:vAlign w:val="center"/>
          </w:tcPr>
          <w:p w14:paraId="18453589" w14:textId="28B54462" w:rsidR="00E954EA" w:rsidRPr="00980097" w:rsidRDefault="00E954EA" w:rsidP="00E954EA">
            <w:pPr>
              <w:spacing w:after="0"/>
              <w:rPr>
                <w:rFonts w:ascii="Calibri" w:eastAsia="Times New Roman" w:hAnsi="Calibri" w:cs="Calibri"/>
                <w:color w:val="000000"/>
                <w:sz w:val="16"/>
                <w:szCs w:val="16"/>
              </w:rPr>
            </w:pPr>
            <w:r w:rsidRPr="00980097">
              <w:rPr>
                <w:rFonts w:ascii="Calibri" w:eastAsia="Times New Roman" w:hAnsi="Calibri" w:cs="Calibri"/>
                <w:color w:val="000000"/>
                <w:sz w:val="16"/>
                <w:szCs w:val="16"/>
              </w:rPr>
              <w:t>-</w:t>
            </w:r>
          </w:p>
        </w:tc>
        <w:tc>
          <w:tcPr>
            <w:tcW w:w="1797" w:type="dxa"/>
            <w:shd w:val="clear" w:color="auto" w:fill="auto"/>
            <w:vAlign w:val="center"/>
          </w:tcPr>
          <w:p w14:paraId="32239439" w14:textId="4D0D3CEA" w:rsidR="00E954EA" w:rsidRDefault="00E954EA" w:rsidP="00E954EA">
            <w:pPr>
              <w:spacing w:after="0"/>
              <w:rPr>
                <w:rFonts w:ascii="Calibri" w:eastAsia="Times New Roman" w:hAnsi="Calibri" w:cs="Calibri"/>
                <w:color w:val="000000"/>
                <w:sz w:val="16"/>
                <w:szCs w:val="16"/>
              </w:rPr>
            </w:pPr>
            <w:r w:rsidRPr="00980097">
              <w:rPr>
                <w:rFonts w:ascii="Calibri" w:eastAsia="Times New Roman" w:hAnsi="Calibri" w:cs="Calibri"/>
                <w:color w:val="000000"/>
                <w:sz w:val="16"/>
                <w:szCs w:val="16"/>
              </w:rPr>
              <w:t>1</w:t>
            </w:r>
          </w:p>
        </w:tc>
        <w:tc>
          <w:tcPr>
            <w:tcW w:w="1083" w:type="dxa"/>
            <w:shd w:val="clear" w:color="auto" w:fill="auto"/>
            <w:noWrap/>
            <w:vAlign w:val="center"/>
          </w:tcPr>
          <w:p w14:paraId="19FA252D" w14:textId="0FE6CAA2" w:rsidR="00E954EA" w:rsidRPr="00980097" w:rsidRDefault="00E954EA" w:rsidP="00E954EA">
            <w:pPr>
              <w:spacing w:after="0"/>
              <w:rPr>
                <w:rFonts w:ascii="Calibri" w:eastAsia="Times New Roman" w:hAnsi="Calibri" w:cs="Calibri"/>
                <w:color w:val="000000"/>
                <w:sz w:val="16"/>
                <w:szCs w:val="16"/>
              </w:rPr>
            </w:pPr>
            <w:r w:rsidRPr="00980097">
              <w:rPr>
                <w:rFonts w:ascii="Calibri" w:eastAsia="Times New Roman" w:hAnsi="Calibri" w:cs="Calibri"/>
                <w:color w:val="000000"/>
                <w:sz w:val="16"/>
                <w:szCs w:val="16"/>
              </w:rPr>
              <w:t>0.33</w:t>
            </w:r>
          </w:p>
        </w:tc>
        <w:tc>
          <w:tcPr>
            <w:tcW w:w="663" w:type="dxa"/>
            <w:shd w:val="clear" w:color="auto" w:fill="auto"/>
            <w:noWrap/>
            <w:vAlign w:val="center"/>
          </w:tcPr>
          <w:p w14:paraId="2C70FA5A" w14:textId="23F8525D" w:rsidR="00E954EA" w:rsidRPr="00980097" w:rsidRDefault="00E954EA" w:rsidP="00E954EA">
            <w:pPr>
              <w:spacing w:after="0"/>
              <w:rPr>
                <w:rFonts w:ascii="Calibri" w:eastAsia="Times New Roman" w:hAnsi="Calibri" w:cs="Calibri"/>
                <w:color w:val="000000"/>
                <w:sz w:val="16"/>
                <w:szCs w:val="16"/>
              </w:rPr>
            </w:pPr>
            <w:r w:rsidRPr="00980097">
              <w:rPr>
                <w:rFonts w:ascii="Calibri" w:eastAsia="Times New Roman" w:hAnsi="Calibri" w:cs="Calibri"/>
                <w:color w:val="000000"/>
                <w:sz w:val="16"/>
                <w:szCs w:val="16"/>
              </w:rPr>
              <w:t>1.67</w:t>
            </w:r>
          </w:p>
        </w:tc>
      </w:tr>
      <w:tr w:rsidR="00E954EA" w:rsidRPr="00980097" w14:paraId="2267F835" w14:textId="77777777" w:rsidTr="00245386">
        <w:trPr>
          <w:trHeight w:val="300"/>
        </w:trPr>
        <w:tc>
          <w:tcPr>
            <w:tcW w:w="3595" w:type="dxa"/>
            <w:vAlign w:val="center"/>
          </w:tcPr>
          <w:p w14:paraId="7BDA7A6A" w14:textId="4B1673D7" w:rsidR="00E954EA" w:rsidRDefault="00E954EA" w:rsidP="00E954EA">
            <w:pPr>
              <w:spacing w:after="0"/>
              <w:rPr>
                <w:rFonts w:ascii="Calibri" w:eastAsia="Times New Roman" w:hAnsi="Calibri" w:cs="Calibri"/>
                <w:b/>
                <w:color w:val="000000"/>
                <w:sz w:val="16"/>
                <w:szCs w:val="16"/>
              </w:rPr>
            </w:pPr>
            <w:r>
              <w:rPr>
                <w:rFonts w:ascii="Calibri" w:eastAsia="Times New Roman" w:hAnsi="Calibri" w:cs="Calibri"/>
                <w:color w:val="000000"/>
                <w:sz w:val="16"/>
                <w:szCs w:val="16"/>
              </w:rPr>
              <w:t>Disposal cost</w:t>
            </w:r>
          </w:p>
        </w:tc>
        <w:tc>
          <w:tcPr>
            <w:tcW w:w="4677" w:type="dxa"/>
            <w:vAlign w:val="center"/>
          </w:tcPr>
          <w:p w14:paraId="0797358A" w14:textId="3766CC5C" w:rsidR="00E954EA" w:rsidRDefault="00E954EA" w:rsidP="00E954EA">
            <w:pPr>
              <w:spacing w:after="0"/>
              <w:rPr>
                <w:rFonts w:ascii="Calibri" w:eastAsia="Times New Roman" w:hAnsi="Calibri" w:cs="Calibri"/>
                <w:b/>
                <w:color w:val="000000"/>
                <w:sz w:val="16"/>
                <w:szCs w:val="16"/>
              </w:rPr>
            </w:pPr>
            <w:r w:rsidRPr="00980097">
              <w:rPr>
                <w:rFonts w:ascii="Calibri" w:eastAsia="Times New Roman" w:hAnsi="Calibri" w:cs="Calibri"/>
                <w:color w:val="000000"/>
                <w:sz w:val="16"/>
                <w:szCs w:val="16"/>
              </w:rPr>
              <w:t>Charge for landfilled waste</w:t>
            </w:r>
            <w:r w:rsidRPr="00980097" w:rsidDel="00CD227B">
              <w:rPr>
                <w:rFonts w:ascii="Calibri" w:eastAsia="Times New Roman" w:hAnsi="Calibri" w:cs="Calibri"/>
                <w:color w:val="000000"/>
                <w:sz w:val="16"/>
                <w:szCs w:val="16"/>
              </w:rPr>
              <w:t>.</w:t>
            </w:r>
          </w:p>
        </w:tc>
        <w:tc>
          <w:tcPr>
            <w:tcW w:w="751" w:type="dxa"/>
            <w:vAlign w:val="center"/>
          </w:tcPr>
          <w:p w14:paraId="4EED9A84" w14:textId="7DBABA50" w:rsidR="00E954EA" w:rsidRPr="00980097" w:rsidRDefault="00E954EA" w:rsidP="00E954EA">
            <w:pPr>
              <w:spacing w:after="0"/>
              <w:rPr>
                <w:rFonts w:ascii="Calibri" w:eastAsia="Times New Roman" w:hAnsi="Calibri" w:cs="Calibri"/>
                <w:b/>
                <w:color w:val="000000"/>
                <w:sz w:val="16"/>
                <w:szCs w:val="16"/>
              </w:rPr>
            </w:pPr>
            <w:r w:rsidRPr="00980097">
              <w:rPr>
                <w:rFonts w:ascii="Calibri" w:eastAsia="Times New Roman" w:hAnsi="Calibri" w:cs="Calibri"/>
                <w:color w:val="000000"/>
                <w:sz w:val="16"/>
                <w:szCs w:val="16"/>
              </w:rPr>
              <w:t>$/</w:t>
            </w:r>
            <w:proofErr w:type="spellStart"/>
            <w:r w:rsidRPr="00980097">
              <w:rPr>
                <w:rFonts w:ascii="Calibri" w:eastAsia="Times New Roman" w:hAnsi="Calibri" w:cs="Calibri"/>
                <w:color w:val="000000"/>
                <w:sz w:val="16"/>
                <w:szCs w:val="16"/>
              </w:rPr>
              <w:t>tonne</w:t>
            </w:r>
            <w:proofErr w:type="spellEnd"/>
          </w:p>
        </w:tc>
        <w:tc>
          <w:tcPr>
            <w:tcW w:w="1797" w:type="dxa"/>
            <w:shd w:val="clear" w:color="auto" w:fill="auto"/>
            <w:vAlign w:val="center"/>
          </w:tcPr>
          <w:p w14:paraId="0C4D9A50" w14:textId="7F8A878B" w:rsidR="00E954EA" w:rsidRPr="00980097" w:rsidRDefault="00E954EA" w:rsidP="00E954EA">
            <w:pPr>
              <w:spacing w:after="0"/>
              <w:rPr>
                <w:rFonts w:ascii="Calibri" w:eastAsia="Times New Roman" w:hAnsi="Calibri" w:cs="Calibri"/>
                <w:b/>
                <w:color w:val="000000"/>
                <w:sz w:val="16"/>
                <w:szCs w:val="16"/>
              </w:rPr>
            </w:pPr>
            <w:r w:rsidRPr="00980097">
              <w:rPr>
                <w:rFonts w:ascii="Calibri" w:eastAsia="Times New Roman" w:hAnsi="Calibri" w:cs="Calibri"/>
                <w:color w:val="000000"/>
                <w:sz w:val="16"/>
                <w:szCs w:val="16"/>
              </w:rPr>
              <w:t>52.2</w:t>
            </w:r>
          </w:p>
        </w:tc>
        <w:tc>
          <w:tcPr>
            <w:tcW w:w="1083" w:type="dxa"/>
            <w:shd w:val="clear" w:color="auto" w:fill="auto"/>
            <w:noWrap/>
            <w:vAlign w:val="center"/>
          </w:tcPr>
          <w:p w14:paraId="1825B92B" w14:textId="007EE2B3" w:rsidR="00E954EA" w:rsidRPr="00980097" w:rsidRDefault="00E954EA" w:rsidP="00E954EA">
            <w:pPr>
              <w:spacing w:after="0"/>
              <w:rPr>
                <w:rFonts w:ascii="Calibri" w:eastAsia="Times New Roman" w:hAnsi="Calibri" w:cs="Calibri"/>
                <w:b/>
                <w:color w:val="000000"/>
                <w:sz w:val="16"/>
                <w:szCs w:val="16"/>
              </w:rPr>
            </w:pPr>
            <w:r w:rsidRPr="00980097">
              <w:rPr>
                <w:rFonts w:ascii="Calibri" w:eastAsia="Times New Roman" w:hAnsi="Calibri" w:cs="Calibri"/>
                <w:color w:val="000000"/>
                <w:sz w:val="16"/>
                <w:szCs w:val="16"/>
              </w:rPr>
              <w:t>0</w:t>
            </w:r>
          </w:p>
        </w:tc>
        <w:tc>
          <w:tcPr>
            <w:tcW w:w="663" w:type="dxa"/>
            <w:shd w:val="clear" w:color="auto" w:fill="auto"/>
            <w:noWrap/>
            <w:vAlign w:val="center"/>
          </w:tcPr>
          <w:p w14:paraId="7A3D72BF" w14:textId="1ECBA29A" w:rsidR="00E954EA" w:rsidRPr="00980097" w:rsidRDefault="00E954EA" w:rsidP="00E954EA">
            <w:pPr>
              <w:spacing w:after="0"/>
              <w:rPr>
                <w:rFonts w:ascii="Calibri" w:eastAsia="Times New Roman" w:hAnsi="Calibri" w:cs="Calibri"/>
                <w:b/>
                <w:color w:val="000000"/>
                <w:sz w:val="16"/>
                <w:szCs w:val="16"/>
              </w:rPr>
            </w:pPr>
            <w:r w:rsidRPr="00980097">
              <w:rPr>
                <w:rFonts w:ascii="Calibri" w:eastAsia="Times New Roman" w:hAnsi="Calibri" w:cs="Calibri"/>
                <w:color w:val="000000"/>
                <w:sz w:val="16"/>
                <w:szCs w:val="16"/>
              </w:rPr>
              <w:t>450</w:t>
            </w:r>
          </w:p>
        </w:tc>
      </w:tr>
      <w:tr w:rsidR="00E954EA" w:rsidRPr="00980097" w14:paraId="1BF5CA32" w14:textId="77777777" w:rsidTr="00E954EA">
        <w:trPr>
          <w:trHeight w:val="300"/>
        </w:trPr>
        <w:tc>
          <w:tcPr>
            <w:tcW w:w="3595" w:type="dxa"/>
            <w:vAlign w:val="center"/>
          </w:tcPr>
          <w:p w14:paraId="6A09EFD8" w14:textId="15A96999" w:rsidR="00E954EA" w:rsidRPr="00980097" w:rsidRDefault="00E954EA" w:rsidP="00E954EA">
            <w:pPr>
              <w:spacing w:after="0"/>
              <w:rPr>
                <w:rFonts w:ascii="Calibri" w:eastAsia="Times New Roman" w:hAnsi="Calibri" w:cs="Calibri"/>
                <w:color w:val="000000"/>
                <w:sz w:val="16"/>
                <w:szCs w:val="16"/>
              </w:rPr>
            </w:pPr>
            <w:r>
              <w:rPr>
                <w:rFonts w:ascii="Calibri" w:eastAsia="Times New Roman" w:hAnsi="Calibri" w:cs="Calibri"/>
                <w:color w:val="000000"/>
                <w:sz w:val="16"/>
                <w:szCs w:val="16"/>
              </w:rPr>
              <w:t xml:space="preserve">PTC </w:t>
            </w:r>
            <w:r w:rsidRPr="00980097">
              <w:rPr>
                <w:rFonts w:ascii="Calibri" w:eastAsia="Times New Roman" w:hAnsi="Calibri" w:cs="Calibri"/>
                <w:color w:val="000000"/>
                <w:sz w:val="16"/>
                <w:szCs w:val="16"/>
              </w:rPr>
              <w:t>REC multiplier</w:t>
            </w:r>
            <w:r>
              <w:rPr>
                <w:rFonts w:ascii="Calibri" w:eastAsia="Times New Roman" w:hAnsi="Calibri" w:cs="Calibri"/>
                <w:color w:val="000000"/>
                <w:sz w:val="16"/>
                <w:szCs w:val="16"/>
              </w:rPr>
              <w:t xml:space="preserve"> (only applicable to CHP, CNG,  Elec, and PNG; other technologies have zero PTC REC)</w:t>
            </w:r>
          </w:p>
        </w:tc>
        <w:tc>
          <w:tcPr>
            <w:tcW w:w="4677" w:type="dxa"/>
            <w:vAlign w:val="center"/>
          </w:tcPr>
          <w:p w14:paraId="6735C79D" w14:textId="707F14E8" w:rsidR="00E954EA" w:rsidRDefault="00E954EA" w:rsidP="00E954EA">
            <w:pPr>
              <w:spacing w:after="0"/>
              <w:rPr>
                <w:rFonts w:ascii="Calibri" w:eastAsia="Times New Roman" w:hAnsi="Calibri" w:cs="Calibri"/>
                <w:color w:val="000000"/>
                <w:sz w:val="16"/>
                <w:szCs w:val="16"/>
              </w:rPr>
            </w:pPr>
            <w:r w:rsidRPr="00980097">
              <w:rPr>
                <w:rFonts w:ascii="Calibri" w:eastAsia="Times New Roman" w:hAnsi="Calibri" w:cs="Calibri"/>
                <w:color w:val="000000"/>
                <w:sz w:val="16"/>
                <w:szCs w:val="16"/>
              </w:rPr>
              <w:t>Multiplied by the base value of the</w:t>
            </w:r>
            <w:r w:rsidR="00377559">
              <w:rPr>
                <w:rFonts w:ascii="Calibri" w:eastAsia="Times New Roman" w:hAnsi="Calibri" w:cs="Calibri"/>
                <w:color w:val="000000"/>
                <w:sz w:val="16"/>
                <w:szCs w:val="16"/>
              </w:rPr>
              <w:t xml:space="preserve"> PTC REC</w:t>
            </w:r>
            <w:r w:rsidRPr="00980097">
              <w:rPr>
                <w:rFonts w:ascii="Calibri" w:eastAsia="Times New Roman" w:hAnsi="Calibri" w:cs="Calibri"/>
                <w:color w:val="000000"/>
                <w:sz w:val="16"/>
                <w:szCs w:val="16"/>
              </w:rPr>
              <w:t>, which reaches a maximum of $3.33 per gasoline gallon equivalent for electricity.</w:t>
            </w:r>
          </w:p>
        </w:tc>
        <w:tc>
          <w:tcPr>
            <w:tcW w:w="751" w:type="dxa"/>
            <w:vAlign w:val="center"/>
          </w:tcPr>
          <w:p w14:paraId="6BE820B0" w14:textId="7FB4592D"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w:t>
            </w:r>
          </w:p>
        </w:tc>
        <w:tc>
          <w:tcPr>
            <w:tcW w:w="1797" w:type="dxa"/>
            <w:shd w:val="clear" w:color="auto" w:fill="auto"/>
            <w:vAlign w:val="center"/>
          </w:tcPr>
          <w:p w14:paraId="433AE457" w14:textId="44CE0EE8" w:rsidR="00E954EA" w:rsidRPr="00980097" w:rsidRDefault="00E954EA" w:rsidP="00E954EA">
            <w:pPr>
              <w:spacing w:after="0"/>
              <w:jc w:val="center"/>
              <w:rPr>
                <w:rFonts w:ascii="Calibri" w:eastAsia="Times New Roman" w:hAnsi="Calibri" w:cs="Calibri"/>
                <w:color w:val="000000"/>
                <w:sz w:val="16"/>
                <w:szCs w:val="16"/>
              </w:rPr>
            </w:pPr>
            <w:r>
              <w:rPr>
                <w:rFonts w:ascii="Calibri" w:eastAsia="Times New Roman" w:hAnsi="Calibri" w:cs="Calibri"/>
                <w:color w:val="000000"/>
                <w:sz w:val="16"/>
                <w:szCs w:val="16"/>
              </w:rPr>
              <w:t>1</w:t>
            </w:r>
          </w:p>
        </w:tc>
        <w:tc>
          <w:tcPr>
            <w:tcW w:w="1083" w:type="dxa"/>
            <w:shd w:val="clear" w:color="auto" w:fill="auto"/>
            <w:noWrap/>
            <w:vAlign w:val="center"/>
          </w:tcPr>
          <w:p w14:paraId="4556C6BB" w14:textId="301EB8EB"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0</w:t>
            </w:r>
          </w:p>
        </w:tc>
        <w:tc>
          <w:tcPr>
            <w:tcW w:w="663" w:type="dxa"/>
            <w:shd w:val="clear" w:color="auto" w:fill="auto"/>
            <w:noWrap/>
            <w:vAlign w:val="center"/>
          </w:tcPr>
          <w:p w14:paraId="2D12C7B4" w14:textId="25A8D2A9"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2</w:t>
            </w:r>
          </w:p>
        </w:tc>
      </w:tr>
      <w:tr w:rsidR="00E954EA" w:rsidRPr="00980097" w14:paraId="02FD79A1" w14:textId="77777777" w:rsidTr="00245386">
        <w:trPr>
          <w:trHeight w:val="300"/>
        </w:trPr>
        <w:tc>
          <w:tcPr>
            <w:tcW w:w="3595" w:type="dxa"/>
            <w:vAlign w:val="center"/>
          </w:tcPr>
          <w:p w14:paraId="19E49E10" w14:textId="2220E960" w:rsidR="00E954EA" w:rsidRPr="00980097" w:rsidRDefault="00E954EA" w:rsidP="00E954EA">
            <w:pPr>
              <w:spacing w:after="0"/>
              <w:rPr>
                <w:rFonts w:ascii="Calibri" w:eastAsia="Times New Roman" w:hAnsi="Calibri" w:cs="Calibri"/>
                <w:color w:val="000000"/>
                <w:sz w:val="16"/>
                <w:szCs w:val="16"/>
              </w:rPr>
            </w:pPr>
            <w:r w:rsidRPr="00980097">
              <w:rPr>
                <w:rFonts w:ascii="Calibri" w:eastAsia="Times New Roman" w:hAnsi="Calibri" w:cs="Calibri"/>
                <w:color w:val="000000"/>
                <w:sz w:val="16"/>
                <w:szCs w:val="16"/>
              </w:rPr>
              <w:t>LCFS multiplier</w:t>
            </w:r>
          </w:p>
        </w:tc>
        <w:tc>
          <w:tcPr>
            <w:tcW w:w="4677" w:type="dxa"/>
            <w:vAlign w:val="center"/>
          </w:tcPr>
          <w:p w14:paraId="18304F5B" w14:textId="42763A0E" w:rsidR="00E954EA" w:rsidRPr="00980097" w:rsidRDefault="00E954EA" w:rsidP="00E954EA">
            <w:pPr>
              <w:spacing w:after="0"/>
              <w:rPr>
                <w:rFonts w:ascii="Calibri" w:eastAsia="Times New Roman" w:hAnsi="Calibri" w:cs="Calibri"/>
                <w:color w:val="000000"/>
                <w:sz w:val="16"/>
                <w:szCs w:val="16"/>
              </w:rPr>
            </w:pPr>
            <w:r w:rsidRPr="00980097">
              <w:rPr>
                <w:rFonts w:ascii="Calibri" w:eastAsia="Times New Roman" w:hAnsi="Calibri" w:cs="Calibri"/>
                <w:color w:val="000000"/>
                <w:sz w:val="16"/>
                <w:szCs w:val="16"/>
              </w:rPr>
              <w:t xml:space="preserve">Multiplied by the base value of the </w:t>
            </w:r>
            <w:r w:rsidR="00377559">
              <w:rPr>
                <w:rFonts w:ascii="Calibri" w:eastAsia="Times New Roman" w:hAnsi="Calibri" w:cs="Calibri"/>
                <w:color w:val="000000"/>
                <w:sz w:val="16"/>
                <w:szCs w:val="16"/>
              </w:rPr>
              <w:t>LCFS</w:t>
            </w:r>
            <w:r w:rsidRPr="00980097">
              <w:rPr>
                <w:rFonts w:ascii="Calibri" w:eastAsia="Times New Roman" w:hAnsi="Calibri" w:cs="Calibri"/>
                <w:color w:val="000000"/>
                <w:sz w:val="16"/>
                <w:szCs w:val="16"/>
              </w:rPr>
              <w:t>, which ranges from 0 to $180/</w:t>
            </w:r>
            <w:proofErr w:type="spellStart"/>
            <w:r w:rsidRPr="00980097">
              <w:rPr>
                <w:rFonts w:ascii="Calibri" w:eastAsia="Times New Roman" w:hAnsi="Calibri" w:cs="Calibri"/>
                <w:color w:val="000000"/>
                <w:sz w:val="16"/>
                <w:szCs w:val="16"/>
              </w:rPr>
              <w:t>tonne</w:t>
            </w:r>
            <w:proofErr w:type="spellEnd"/>
            <w:r w:rsidRPr="00980097">
              <w:rPr>
                <w:rFonts w:ascii="Calibri" w:eastAsia="Times New Roman" w:hAnsi="Calibri" w:cs="Calibri"/>
                <w:color w:val="000000"/>
                <w:sz w:val="16"/>
                <w:szCs w:val="16"/>
              </w:rPr>
              <w:t>.</w:t>
            </w:r>
          </w:p>
        </w:tc>
        <w:tc>
          <w:tcPr>
            <w:tcW w:w="751" w:type="dxa"/>
            <w:vAlign w:val="center"/>
          </w:tcPr>
          <w:p w14:paraId="211AB1E4" w14:textId="77777777"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w:t>
            </w:r>
          </w:p>
        </w:tc>
        <w:tc>
          <w:tcPr>
            <w:tcW w:w="1797" w:type="dxa"/>
            <w:shd w:val="clear" w:color="auto" w:fill="auto"/>
            <w:vAlign w:val="center"/>
            <w:hideMark/>
          </w:tcPr>
          <w:p w14:paraId="18273413" w14:textId="77777777"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1</w:t>
            </w:r>
          </w:p>
        </w:tc>
        <w:tc>
          <w:tcPr>
            <w:tcW w:w="1083" w:type="dxa"/>
            <w:shd w:val="clear" w:color="auto" w:fill="auto"/>
            <w:noWrap/>
            <w:vAlign w:val="center"/>
            <w:hideMark/>
          </w:tcPr>
          <w:p w14:paraId="330571E1" w14:textId="77777777"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0</w:t>
            </w:r>
          </w:p>
        </w:tc>
        <w:tc>
          <w:tcPr>
            <w:tcW w:w="663" w:type="dxa"/>
            <w:shd w:val="clear" w:color="auto" w:fill="auto"/>
            <w:noWrap/>
            <w:vAlign w:val="center"/>
            <w:hideMark/>
          </w:tcPr>
          <w:p w14:paraId="72EE8852" w14:textId="77777777"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2</w:t>
            </w:r>
          </w:p>
        </w:tc>
      </w:tr>
      <w:tr w:rsidR="00E954EA" w:rsidRPr="00980097" w14:paraId="6555B0CA" w14:textId="77777777" w:rsidTr="00245386">
        <w:trPr>
          <w:trHeight w:val="300"/>
        </w:trPr>
        <w:tc>
          <w:tcPr>
            <w:tcW w:w="3595" w:type="dxa"/>
            <w:vAlign w:val="center"/>
          </w:tcPr>
          <w:p w14:paraId="2DE5BABE" w14:textId="63A5C10B" w:rsidR="00E954EA" w:rsidRPr="00980097" w:rsidRDefault="00E954EA" w:rsidP="00E954EA">
            <w:pPr>
              <w:spacing w:after="0"/>
              <w:rPr>
                <w:rFonts w:ascii="Calibri" w:eastAsia="Times New Roman" w:hAnsi="Calibri" w:cs="Calibri"/>
                <w:color w:val="000000"/>
                <w:sz w:val="16"/>
                <w:szCs w:val="16"/>
              </w:rPr>
            </w:pPr>
            <w:r w:rsidRPr="00980097">
              <w:rPr>
                <w:rFonts w:ascii="Calibri" w:eastAsia="Times New Roman" w:hAnsi="Calibri" w:cs="Calibri"/>
                <w:color w:val="000000"/>
                <w:sz w:val="16"/>
                <w:szCs w:val="16"/>
              </w:rPr>
              <w:t>SB1383 waste influx multiplier</w:t>
            </w:r>
          </w:p>
        </w:tc>
        <w:tc>
          <w:tcPr>
            <w:tcW w:w="4677" w:type="dxa"/>
            <w:vAlign w:val="center"/>
          </w:tcPr>
          <w:p w14:paraId="75056675" w14:textId="519D00F7" w:rsidR="00E954EA" w:rsidRPr="00980097" w:rsidRDefault="00E954EA" w:rsidP="00E954EA">
            <w:pPr>
              <w:spacing w:after="0"/>
              <w:rPr>
                <w:rFonts w:ascii="Calibri" w:eastAsia="Times New Roman" w:hAnsi="Calibri" w:cs="Calibri"/>
                <w:color w:val="000000"/>
                <w:sz w:val="16"/>
                <w:szCs w:val="16"/>
              </w:rPr>
            </w:pPr>
            <w:r w:rsidRPr="00980097">
              <w:rPr>
                <w:rFonts w:ascii="Calibri" w:eastAsia="Times New Roman" w:hAnsi="Calibri" w:cs="Calibri"/>
                <w:color w:val="000000"/>
                <w:sz w:val="16"/>
                <w:szCs w:val="16"/>
              </w:rPr>
              <w:t xml:space="preserve">Multiplied by the base fraction of influx diverted from landfills because of </w:t>
            </w:r>
            <w:r w:rsidR="00377559">
              <w:rPr>
                <w:rFonts w:ascii="Calibri" w:eastAsia="Times New Roman" w:hAnsi="Calibri" w:cs="Calibri"/>
                <w:color w:val="000000"/>
                <w:sz w:val="16"/>
                <w:szCs w:val="16"/>
              </w:rPr>
              <w:t>SB1383</w:t>
            </w:r>
            <w:r w:rsidRPr="00980097">
              <w:rPr>
                <w:rFonts w:ascii="Calibri" w:eastAsia="Times New Roman" w:hAnsi="Calibri" w:cs="Calibri"/>
                <w:color w:val="000000"/>
                <w:sz w:val="16"/>
                <w:szCs w:val="16"/>
              </w:rPr>
              <w:t>, which ranges from 0 to</w:t>
            </w:r>
            <w:r>
              <w:rPr>
                <w:rFonts w:ascii="Calibri" w:eastAsia="Times New Roman" w:hAnsi="Calibri" w:cs="Calibri"/>
                <w:color w:val="000000"/>
                <w:sz w:val="16"/>
                <w:szCs w:val="16"/>
              </w:rPr>
              <w:t xml:space="preserve"> </w:t>
            </w:r>
            <w:r w:rsidRPr="00980097">
              <w:rPr>
                <w:rFonts w:ascii="Calibri" w:eastAsia="Times New Roman" w:hAnsi="Calibri" w:cs="Calibri"/>
                <w:color w:val="000000"/>
                <w:sz w:val="16"/>
                <w:szCs w:val="16"/>
              </w:rPr>
              <w:t>0.75.</w:t>
            </w:r>
          </w:p>
        </w:tc>
        <w:tc>
          <w:tcPr>
            <w:tcW w:w="751" w:type="dxa"/>
            <w:vAlign w:val="center"/>
          </w:tcPr>
          <w:p w14:paraId="61FA3C03" w14:textId="77777777"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w:t>
            </w:r>
          </w:p>
        </w:tc>
        <w:tc>
          <w:tcPr>
            <w:tcW w:w="1797" w:type="dxa"/>
            <w:shd w:val="clear" w:color="auto" w:fill="auto"/>
            <w:vAlign w:val="center"/>
            <w:hideMark/>
          </w:tcPr>
          <w:p w14:paraId="57DD267D" w14:textId="77777777"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1</w:t>
            </w:r>
          </w:p>
        </w:tc>
        <w:tc>
          <w:tcPr>
            <w:tcW w:w="1083" w:type="dxa"/>
            <w:shd w:val="clear" w:color="auto" w:fill="auto"/>
            <w:noWrap/>
            <w:vAlign w:val="center"/>
            <w:hideMark/>
          </w:tcPr>
          <w:p w14:paraId="5A1A7CB9" w14:textId="77777777"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0</w:t>
            </w:r>
          </w:p>
        </w:tc>
        <w:tc>
          <w:tcPr>
            <w:tcW w:w="663" w:type="dxa"/>
            <w:shd w:val="clear" w:color="auto" w:fill="auto"/>
            <w:noWrap/>
            <w:vAlign w:val="center"/>
            <w:hideMark/>
          </w:tcPr>
          <w:p w14:paraId="452FB3F3" w14:textId="77777777"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1</w:t>
            </w:r>
          </w:p>
        </w:tc>
      </w:tr>
      <w:tr w:rsidR="00E954EA" w:rsidRPr="00980097" w14:paraId="1B833550" w14:textId="77777777" w:rsidTr="00245386">
        <w:trPr>
          <w:trHeight w:val="300"/>
        </w:trPr>
        <w:tc>
          <w:tcPr>
            <w:tcW w:w="3595" w:type="dxa"/>
            <w:vAlign w:val="center"/>
          </w:tcPr>
          <w:p w14:paraId="05304269" w14:textId="68EBB389" w:rsidR="00E954EA" w:rsidRPr="00980097" w:rsidRDefault="00E954EA" w:rsidP="00E954EA">
            <w:pPr>
              <w:spacing w:after="0"/>
              <w:rPr>
                <w:rFonts w:ascii="Calibri" w:eastAsia="Times New Roman" w:hAnsi="Calibri" w:cs="Calibri"/>
                <w:color w:val="000000"/>
                <w:sz w:val="16"/>
                <w:szCs w:val="16"/>
              </w:rPr>
            </w:pPr>
            <w:r w:rsidRPr="00980097">
              <w:rPr>
                <w:rFonts w:ascii="Calibri" w:eastAsia="Times New Roman" w:hAnsi="Calibri" w:cs="Calibri"/>
                <w:color w:val="000000"/>
                <w:sz w:val="16"/>
                <w:szCs w:val="16"/>
              </w:rPr>
              <w:t>SB1383 organic waste to POTW multiplier</w:t>
            </w:r>
          </w:p>
        </w:tc>
        <w:tc>
          <w:tcPr>
            <w:tcW w:w="4677" w:type="dxa"/>
            <w:vAlign w:val="center"/>
          </w:tcPr>
          <w:p w14:paraId="72F506C7" w14:textId="1975423D" w:rsidR="00E954EA" w:rsidRPr="00980097" w:rsidRDefault="00E954EA" w:rsidP="00E954EA">
            <w:pPr>
              <w:spacing w:after="0"/>
              <w:rPr>
                <w:rFonts w:ascii="Calibri" w:eastAsia="Times New Roman" w:hAnsi="Calibri" w:cs="Calibri"/>
                <w:color w:val="000000"/>
                <w:sz w:val="16"/>
                <w:szCs w:val="16"/>
              </w:rPr>
            </w:pPr>
            <w:r w:rsidRPr="00980097">
              <w:rPr>
                <w:rFonts w:ascii="Calibri" w:eastAsia="Times New Roman" w:hAnsi="Calibri" w:cs="Calibri"/>
                <w:color w:val="000000"/>
                <w:sz w:val="16"/>
                <w:szCs w:val="16"/>
              </w:rPr>
              <w:t xml:space="preserve">Multiplied by the weight of organic waste that is diverted from landfills due to </w:t>
            </w:r>
            <w:r w:rsidR="00377559">
              <w:rPr>
                <w:rFonts w:ascii="Calibri" w:eastAsia="Times New Roman" w:hAnsi="Calibri" w:cs="Calibri"/>
                <w:color w:val="000000"/>
                <w:sz w:val="16"/>
                <w:szCs w:val="16"/>
              </w:rPr>
              <w:t>SB1383</w:t>
            </w:r>
            <w:r>
              <w:rPr>
                <w:rFonts w:ascii="Calibri" w:eastAsia="Times New Roman" w:hAnsi="Calibri" w:cs="Calibri"/>
                <w:color w:val="000000"/>
                <w:sz w:val="16"/>
                <w:szCs w:val="16"/>
              </w:rPr>
              <w:t>.</w:t>
            </w:r>
          </w:p>
        </w:tc>
        <w:tc>
          <w:tcPr>
            <w:tcW w:w="751" w:type="dxa"/>
            <w:vAlign w:val="center"/>
          </w:tcPr>
          <w:p w14:paraId="70D9EE02" w14:textId="77777777"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w:t>
            </w:r>
          </w:p>
        </w:tc>
        <w:tc>
          <w:tcPr>
            <w:tcW w:w="1797" w:type="dxa"/>
            <w:shd w:val="clear" w:color="auto" w:fill="auto"/>
            <w:vAlign w:val="center"/>
            <w:hideMark/>
          </w:tcPr>
          <w:p w14:paraId="738CBB82" w14:textId="77777777"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0.95</w:t>
            </w:r>
          </w:p>
        </w:tc>
        <w:tc>
          <w:tcPr>
            <w:tcW w:w="1083" w:type="dxa"/>
            <w:shd w:val="clear" w:color="auto" w:fill="auto"/>
            <w:noWrap/>
            <w:vAlign w:val="center"/>
            <w:hideMark/>
          </w:tcPr>
          <w:p w14:paraId="790262EF" w14:textId="77777777"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0</w:t>
            </w:r>
          </w:p>
        </w:tc>
        <w:tc>
          <w:tcPr>
            <w:tcW w:w="663" w:type="dxa"/>
            <w:shd w:val="clear" w:color="auto" w:fill="auto"/>
            <w:noWrap/>
            <w:vAlign w:val="center"/>
            <w:hideMark/>
          </w:tcPr>
          <w:p w14:paraId="6B9A5CA3" w14:textId="77777777"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0.95</w:t>
            </w:r>
          </w:p>
        </w:tc>
      </w:tr>
      <w:tr w:rsidR="00E954EA" w:rsidRPr="00980097" w14:paraId="7571A6BF" w14:textId="77777777" w:rsidTr="00245386">
        <w:trPr>
          <w:trHeight w:val="300"/>
        </w:trPr>
        <w:tc>
          <w:tcPr>
            <w:tcW w:w="3595" w:type="dxa"/>
            <w:vAlign w:val="center"/>
          </w:tcPr>
          <w:p w14:paraId="1CD61E5A" w14:textId="79421F05" w:rsidR="00E954EA" w:rsidRPr="00980097" w:rsidRDefault="00E954EA" w:rsidP="00E954EA">
            <w:pPr>
              <w:spacing w:after="0"/>
              <w:rPr>
                <w:rFonts w:ascii="Calibri" w:eastAsia="Times New Roman" w:hAnsi="Calibri" w:cs="Calibri"/>
                <w:color w:val="000000"/>
                <w:sz w:val="16"/>
                <w:szCs w:val="16"/>
              </w:rPr>
            </w:pPr>
            <w:r w:rsidRPr="00980097">
              <w:rPr>
                <w:rFonts w:ascii="Calibri" w:eastAsia="Times New Roman" w:hAnsi="Calibri" w:cs="Calibri"/>
                <w:color w:val="000000"/>
                <w:sz w:val="16"/>
                <w:szCs w:val="16"/>
              </w:rPr>
              <w:t>Seeding demo plants start</w:t>
            </w:r>
            <w:r>
              <w:rPr>
                <w:rFonts w:ascii="Calibri" w:eastAsia="Times New Roman" w:hAnsi="Calibri" w:cs="Calibri"/>
                <w:color w:val="000000"/>
                <w:sz w:val="16"/>
                <w:szCs w:val="16"/>
              </w:rPr>
              <w:t xml:space="preserve"> time</w:t>
            </w:r>
          </w:p>
        </w:tc>
        <w:tc>
          <w:tcPr>
            <w:tcW w:w="4677" w:type="dxa"/>
            <w:vAlign w:val="center"/>
          </w:tcPr>
          <w:p w14:paraId="73D57A79" w14:textId="77EC78C0" w:rsidR="00E954EA" w:rsidRPr="00980097" w:rsidRDefault="00E954EA" w:rsidP="00E954EA">
            <w:pPr>
              <w:spacing w:after="0"/>
              <w:rPr>
                <w:rFonts w:ascii="Calibri" w:eastAsia="Times New Roman" w:hAnsi="Calibri" w:cs="Calibri"/>
                <w:color w:val="000000"/>
                <w:sz w:val="16"/>
                <w:szCs w:val="16"/>
              </w:rPr>
            </w:pPr>
            <w:r w:rsidRPr="00980097">
              <w:rPr>
                <w:rFonts w:ascii="Calibri" w:eastAsia="Times New Roman" w:hAnsi="Calibri" w:cs="Calibri"/>
                <w:color w:val="000000"/>
                <w:sz w:val="16"/>
                <w:szCs w:val="16"/>
              </w:rPr>
              <w:t>Start year of demonstration of technology</w:t>
            </w:r>
            <w:r>
              <w:rPr>
                <w:rFonts w:ascii="Calibri" w:eastAsia="Times New Roman" w:hAnsi="Calibri" w:cs="Calibri"/>
                <w:color w:val="000000"/>
                <w:sz w:val="16"/>
                <w:szCs w:val="16"/>
              </w:rPr>
              <w:t>.</w:t>
            </w:r>
          </w:p>
        </w:tc>
        <w:tc>
          <w:tcPr>
            <w:tcW w:w="751" w:type="dxa"/>
            <w:vAlign w:val="center"/>
          </w:tcPr>
          <w:p w14:paraId="24E72806" w14:textId="77777777"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time</w:t>
            </w:r>
          </w:p>
        </w:tc>
        <w:tc>
          <w:tcPr>
            <w:tcW w:w="1797" w:type="dxa"/>
            <w:shd w:val="clear" w:color="auto" w:fill="auto"/>
            <w:vAlign w:val="center"/>
            <w:hideMark/>
          </w:tcPr>
          <w:p w14:paraId="52F7288C" w14:textId="77777777"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2018</w:t>
            </w:r>
          </w:p>
        </w:tc>
        <w:tc>
          <w:tcPr>
            <w:tcW w:w="1083" w:type="dxa"/>
            <w:shd w:val="clear" w:color="auto" w:fill="auto"/>
            <w:noWrap/>
            <w:vAlign w:val="center"/>
            <w:hideMark/>
          </w:tcPr>
          <w:p w14:paraId="6EDB6FCD" w14:textId="77777777"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2018</w:t>
            </w:r>
          </w:p>
        </w:tc>
        <w:tc>
          <w:tcPr>
            <w:tcW w:w="663" w:type="dxa"/>
            <w:shd w:val="clear" w:color="auto" w:fill="auto"/>
            <w:noWrap/>
            <w:vAlign w:val="center"/>
            <w:hideMark/>
          </w:tcPr>
          <w:p w14:paraId="735D0FB8" w14:textId="77777777"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2022</w:t>
            </w:r>
          </w:p>
        </w:tc>
      </w:tr>
      <w:tr w:rsidR="00E954EA" w:rsidRPr="00980097" w14:paraId="1AA7C467" w14:textId="77777777" w:rsidTr="00245386">
        <w:trPr>
          <w:trHeight w:val="300"/>
        </w:trPr>
        <w:tc>
          <w:tcPr>
            <w:tcW w:w="3595" w:type="dxa"/>
            <w:vAlign w:val="center"/>
          </w:tcPr>
          <w:p w14:paraId="7408447A" w14:textId="609E03C4" w:rsidR="00E954EA" w:rsidRPr="00980097" w:rsidRDefault="00E954EA" w:rsidP="00E954EA">
            <w:pPr>
              <w:spacing w:after="0"/>
              <w:rPr>
                <w:rFonts w:ascii="Calibri" w:eastAsia="Times New Roman" w:hAnsi="Calibri" w:cs="Calibri"/>
                <w:color w:val="000000"/>
                <w:sz w:val="16"/>
                <w:szCs w:val="16"/>
              </w:rPr>
            </w:pPr>
            <w:r w:rsidRPr="00980097">
              <w:rPr>
                <w:rFonts w:ascii="Calibri" w:eastAsia="Times New Roman" w:hAnsi="Calibri" w:cs="Calibri"/>
                <w:color w:val="000000"/>
                <w:sz w:val="16"/>
                <w:szCs w:val="16"/>
              </w:rPr>
              <w:t>Seeding demo plants duration</w:t>
            </w:r>
          </w:p>
        </w:tc>
        <w:tc>
          <w:tcPr>
            <w:tcW w:w="4677" w:type="dxa"/>
            <w:vAlign w:val="center"/>
          </w:tcPr>
          <w:p w14:paraId="23BEED07" w14:textId="45E14D05" w:rsidR="00E954EA" w:rsidRPr="00980097" w:rsidRDefault="00E954EA" w:rsidP="00E954EA">
            <w:pPr>
              <w:spacing w:after="0"/>
              <w:rPr>
                <w:rFonts w:ascii="Calibri" w:eastAsia="Times New Roman" w:hAnsi="Calibri" w:cs="Calibri"/>
                <w:color w:val="000000"/>
                <w:sz w:val="16"/>
                <w:szCs w:val="16"/>
              </w:rPr>
            </w:pPr>
            <w:r w:rsidRPr="00980097">
              <w:rPr>
                <w:rFonts w:ascii="Calibri" w:eastAsia="Times New Roman" w:hAnsi="Calibri" w:cs="Calibri"/>
                <w:color w:val="000000"/>
                <w:sz w:val="16"/>
                <w:szCs w:val="16"/>
              </w:rPr>
              <w:t>Duration of demonstration of technology</w:t>
            </w:r>
            <w:r>
              <w:rPr>
                <w:rFonts w:ascii="Calibri" w:eastAsia="Times New Roman" w:hAnsi="Calibri" w:cs="Calibri"/>
                <w:color w:val="000000"/>
                <w:sz w:val="16"/>
                <w:szCs w:val="16"/>
              </w:rPr>
              <w:t>.</w:t>
            </w:r>
          </w:p>
        </w:tc>
        <w:tc>
          <w:tcPr>
            <w:tcW w:w="751" w:type="dxa"/>
            <w:vAlign w:val="center"/>
          </w:tcPr>
          <w:p w14:paraId="2B2814B0" w14:textId="77777777"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years</w:t>
            </w:r>
          </w:p>
        </w:tc>
        <w:tc>
          <w:tcPr>
            <w:tcW w:w="1797" w:type="dxa"/>
            <w:shd w:val="clear" w:color="auto" w:fill="auto"/>
            <w:vAlign w:val="center"/>
            <w:hideMark/>
          </w:tcPr>
          <w:p w14:paraId="3BAE5EC2" w14:textId="77777777"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4</w:t>
            </w:r>
          </w:p>
        </w:tc>
        <w:tc>
          <w:tcPr>
            <w:tcW w:w="1083" w:type="dxa"/>
            <w:shd w:val="clear" w:color="auto" w:fill="auto"/>
            <w:noWrap/>
            <w:vAlign w:val="center"/>
            <w:hideMark/>
          </w:tcPr>
          <w:p w14:paraId="2B760282" w14:textId="77777777"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1</w:t>
            </w:r>
          </w:p>
        </w:tc>
        <w:tc>
          <w:tcPr>
            <w:tcW w:w="663" w:type="dxa"/>
            <w:shd w:val="clear" w:color="auto" w:fill="auto"/>
            <w:noWrap/>
            <w:vAlign w:val="center"/>
            <w:hideMark/>
          </w:tcPr>
          <w:p w14:paraId="694AFA62" w14:textId="77777777"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10</w:t>
            </w:r>
          </w:p>
        </w:tc>
      </w:tr>
      <w:tr w:rsidR="00E954EA" w:rsidRPr="00980097" w14:paraId="6C856A0A" w14:textId="77777777" w:rsidTr="00245386">
        <w:trPr>
          <w:trHeight w:val="300"/>
        </w:trPr>
        <w:tc>
          <w:tcPr>
            <w:tcW w:w="3595" w:type="dxa"/>
            <w:vAlign w:val="center"/>
          </w:tcPr>
          <w:p w14:paraId="098C41B1" w14:textId="6EC78EF7" w:rsidR="00E954EA" w:rsidRPr="00980097" w:rsidRDefault="00E954EA" w:rsidP="00E954EA">
            <w:pPr>
              <w:spacing w:after="0"/>
              <w:rPr>
                <w:rFonts w:ascii="Calibri" w:eastAsia="Times New Roman" w:hAnsi="Calibri" w:cs="Calibri"/>
                <w:color w:val="000000"/>
                <w:sz w:val="16"/>
                <w:szCs w:val="16"/>
              </w:rPr>
            </w:pPr>
            <w:r w:rsidRPr="00980097">
              <w:rPr>
                <w:rFonts w:ascii="Calibri" w:eastAsia="Times New Roman" w:hAnsi="Calibri" w:cs="Calibri"/>
                <w:color w:val="000000"/>
                <w:sz w:val="16"/>
                <w:szCs w:val="16"/>
              </w:rPr>
              <w:t>Effect of seeding demo plants on maturity</w:t>
            </w:r>
            <w:r>
              <w:rPr>
                <w:rFonts w:ascii="Calibri" w:eastAsia="Times New Roman" w:hAnsi="Calibri" w:cs="Calibri"/>
                <w:color w:val="000000"/>
                <w:sz w:val="16"/>
                <w:szCs w:val="16"/>
              </w:rPr>
              <w:t xml:space="preserve"> for HTL</w:t>
            </w:r>
          </w:p>
        </w:tc>
        <w:tc>
          <w:tcPr>
            <w:tcW w:w="4677" w:type="dxa"/>
            <w:vAlign w:val="center"/>
          </w:tcPr>
          <w:p w14:paraId="53397D4E" w14:textId="63F60072" w:rsidR="00E954EA" w:rsidRPr="00980097" w:rsidRDefault="00E954EA" w:rsidP="00E954EA">
            <w:pPr>
              <w:spacing w:after="0"/>
              <w:rPr>
                <w:rFonts w:ascii="Calibri" w:eastAsia="Times New Roman" w:hAnsi="Calibri" w:cs="Calibri"/>
                <w:color w:val="000000"/>
                <w:sz w:val="16"/>
                <w:szCs w:val="16"/>
              </w:rPr>
            </w:pPr>
            <w:r w:rsidRPr="00980097">
              <w:rPr>
                <w:rFonts w:ascii="Calibri" w:eastAsia="Times New Roman" w:hAnsi="Calibri" w:cs="Calibri"/>
                <w:color w:val="000000"/>
                <w:sz w:val="16"/>
                <w:szCs w:val="16"/>
              </w:rPr>
              <w:t>Determines the influence of demonstration experience on maturity</w:t>
            </w:r>
            <w:r>
              <w:rPr>
                <w:rFonts w:ascii="Calibri" w:eastAsia="Times New Roman" w:hAnsi="Calibri" w:cs="Calibri"/>
                <w:color w:val="000000"/>
                <w:sz w:val="16"/>
                <w:szCs w:val="16"/>
              </w:rPr>
              <w:t xml:space="preserve"> improvement for HTL.</w:t>
            </w:r>
          </w:p>
        </w:tc>
        <w:tc>
          <w:tcPr>
            <w:tcW w:w="751" w:type="dxa"/>
            <w:vAlign w:val="center"/>
          </w:tcPr>
          <w:p w14:paraId="657DAB74" w14:textId="77777777"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w:t>
            </w:r>
          </w:p>
        </w:tc>
        <w:tc>
          <w:tcPr>
            <w:tcW w:w="1797" w:type="dxa"/>
            <w:shd w:val="clear" w:color="auto" w:fill="auto"/>
            <w:vAlign w:val="center"/>
            <w:hideMark/>
          </w:tcPr>
          <w:p w14:paraId="2127767B" w14:textId="3022615D"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1</w:t>
            </w:r>
          </w:p>
        </w:tc>
        <w:tc>
          <w:tcPr>
            <w:tcW w:w="1083" w:type="dxa"/>
            <w:shd w:val="clear" w:color="auto" w:fill="auto"/>
            <w:noWrap/>
            <w:vAlign w:val="center"/>
            <w:hideMark/>
          </w:tcPr>
          <w:p w14:paraId="01F91166" w14:textId="77777777"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0</w:t>
            </w:r>
          </w:p>
        </w:tc>
        <w:tc>
          <w:tcPr>
            <w:tcW w:w="663" w:type="dxa"/>
            <w:shd w:val="clear" w:color="auto" w:fill="auto"/>
            <w:noWrap/>
            <w:vAlign w:val="center"/>
            <w:hideMark/>
          </w:tcPr>
          <w:p w14:paraId="4B1D18D2" w14:textId="77777777" w:rsidR="00E954EA" w:rsidRPr="00980097" w:rsidRDefault="00E954EA" w:rsidP="00E954EA">
            <w:pPr>
              <w:spacing w:after="0"/>
              <w:jc w:val="center"/>
              <w:rPr>
                <w:rFonts w:ascii="Calibri" w:eastAsia="Times New Roman" w:hAnsi="Calibri" w:cs="Calibri"/>
                <w:color w:val="000000"/>
                <w:sz w:val="16"/>
                <w:szCs w:val="16"/>
              </w:rPr>
            </w:pPr>
            <w:r w:rsidRPr="00980097">
              <w:rPr>
                <w:rFonts w:ascii="Calibri" w:eastAsia="Times New Roman" w:hAnsi="Calibri" w:cs="Calibri"/>
                <w:color w:val="000000"/>
                <w:sz w:val="16"/>
                <w:szCs w:val="16"/>
              </w:rPr>
              <w:t>5</w:t>
            </w:r>
          </w:p>
        </w:tc>
      </w:tr>
      <w:tr w:rsidR="00E954EA" w:rsidRPr="00866D4B" w14:paraId="2AC9603C" w14:textId="77777777" w:rsidTr="00245386">
        <w:trPr>
          <w:trHeight w:val="300"/>
        </w:trPr>
        <w:tc>
          <w:tcPr>
            <w:tcW w:w="3595" w:type="dxa"/>
            <w:vAlign w:val="center"/>
          </w:tcPr>
          <w:p w14:paraId="11A20EC4" w14:textId="00596C0E" w:rsidR="00E954EA" w:rsidRPr="00F16772" w:rsidRDefault="00E954EA" w:rsidP="00E954EA">
            <w:pPr>
              <w:spacing w:after="0"/>
              <w:rPr>
                <w:rFonts w:ascii="Calibri" w:eastAsia="Times New Roman" w:hAnsi="Calibri" w:cs="Calibri"/>
                <w:color w:val="000000"/>
                <w:sz w:val="16"/>
                <w:szCs w:val="16"/>
              </w:rPr>
            </w:pPr>
            <w:r w:rsidRPr="00F16772">
              <w:rPr>
                <w:rFonts w:ascii="Calibri" w:eastAsia="Times New Roman" w:hAnsi="Calibri" w:cs="Calibri"/>
                <w:color w:val="000000"/>
                <w:sz w:val="16"/>
                <w:szCs w:val="16"/>
              </w:rPr>
              <w:t>AEO selector</w:t>
            </w:r>
          </w:p>
        </w:tc>
        <w:tc>
          <w:tcPr>
            <w:tcW w:w="4677" w:type="dxa"/>
            <w:vAlign w:val="center"/>
          </w:tcPr>
          <w:p w14:paraId="0BC15A14" w14:textId="515356DC" w:rsidR="00E954EA" w:rsidRPr="00F16772" w:rsidRDefault="00E954EA" w:rsidP="00E954EA">
            <w:pPr>
              <w:spacing w:after="0"/>
              <w:rPr>
                <w:rFonts w:ascii="Calibri" w:eastAsia="Times New Roman" w:hAnsi="Calibri" w:cs="Calibri"/>
                <w:color w:val="000000"/>
                <w:sz w:val="16"/>
                <w:szCs w:val="16"/>
              </w:rPr>
            </w:pPr>
            <w:r w:rsidRPr="00F16772">
              <w:rPr>
                <w:rFonts w:ascii="Calibri" w:eastAsia="Times New Roman" w:hAnsi="Calibri" w:cs="Calibri"/>
                <w:color w:val="000000"/>
                <w:sz w:val="16"/>
                <w:szCs w:val="16"/>
              </w:rPr>
              <w:t xml:space="preserve">3-way choice between reference, high, and low oil prices scenario in </w:t>
            </w:r>
            <w:r>
              <w:rPr>
                <w:rFonts w:ascii="Calibri" w:eastAsia="Times New Roman" w:hAnsi="Calibri" w:cs="Calibri"/>
                <w:color w:val="000000"/>
                <w:sz w:val="16"/>
                <w:szCs w:val="16"/>
              </w:rPr>
              <w:t>the Energy Information Administration’s AEO.</w:t>
            </w:r>
          </w:p>
        </w:tc>
        <w:tc>
          <w:tcPr>
            <w:tcW w:w="751" w:type="dxa"/>
            <w:vAlign w:val="center"/>
          </w:tcPr>
          <w:p w14:paraId="2E98AE75" w14:textId="77777777" w:rsidR="00E954EA" w:rsidRPr="00F16772" w:rsidRDefault="00E954EA" w:rsidP="00E954EA">
            <w:pPr>
              <w:spacing w:after="0"/>
              <w:jc w:val="center"/>
              <w:rPr>
                <w:rFonts w:ascii="Calibri" w:eastAsia="Times New Roman" w:hAnsi="Calibri" w:cs="Calibri"/>
                <w:color w:val="000000"/>
                <w:sz w:val="16"/>
                <w:szCs w:val="16"/>
              </w:rPr>
            </w:pPr>
            <w:r w:rsidRPr="00F16772">
              <w:rPr>
                <w:rFonts w:ascii="Calibri" w:eastAsia="Times New Roman" w:hAnsi="Calibri" w:cs="Calibri"/>
                <w:color w:val="000000"/>
                <w:sz w:val="16"/>
                <w:szCs w:val="16"/>
              </w:rPr>
              <w:t>-</w:t>
            </w:r>
          </w:p>
        </w:tc>
        <w:tc>
          <w:tcPr>
            <w:tcW w:w="1797" w:type="dxa"/>
            <w:shd w:val="clear" w:color="auto" w:fill="auto"/>
            <w:vAlign w:val="center"/>
            <w:hideMark/>
          </w:tcPr>
          <w:p w14:paraId="3269908D" w14:textId="1A043CD0" w:rsidR="00E954EA" w:rsidRPr="00F16772" w:rsidRDefault="00E954EA" w:rsidP="00E954EA">
            <w:pPr>
              <w:spacing w:after="0"/>
              <w:jc w:val="center"/>
              <w:rPr>
                <w:rFonts w:ascii="Calibri" w:eastAsia="Times New Roman" w:hAnsi="Calibri" w:cs="Calibri"/>
                <w:color w:val="000000"/>
                <w:sz w:val="16"/>
                <w:szCs w:val="16"/>
              </w:rPr>
            </w:pPr>
            <w:r w:rsidRPr="00F16772">
              <w:rPr>
                <w:rFonts w:ascii="Calibri" w:eastAsia="Times New Roman" w:hAnsi="Calibri" w:cs="Calibri"/>
                <w:color w:val="000000"/>
                <w:sz w:val="16"/>
                <w:szCs w:val="16"/>
              </w:rPr>
              <w:t>1 (Reference</w:t>
            </w:r>
            <w:r>
              <w:rPr>
                <w:rFonts w:ascii="Calibri" w:eastAsia="Times New Roman" w:hAnsi="Calibri" w:cs="Calibri"/>
                <w:color w:val="000000"/>
                <w:sz w:val="16"/>
                <w:szCs w:val="16"/>
              </w:rPr>
              <w:t xml:space="preserve"> case</w:t>
            </w:r>
            <w:r w:rsidRPr="00F16772">
              <w:rPr>
                <w:rFonts w:ascii="Calibri" w:eastAsia="Times New Roman" w:hAnsi="Calibri" w:cs="Calibri"/>
                <w:color w:val="000000"/>
                <w:sz w:val="16"/>
                <w:szCs w:val="16"/>
              </w:rPr>
              <w:t>)</w:t>
            </w:r>
          </w:p>
        </w:tc>
        <w:tc>
          <w:tcPr>
            <w:tcW w:w="1746" w:type="dxa"/>
            <w:gridSpan w:val="2"/>
            <w:shd w:val="clear" w:color="auto" w:fill="auto"/>
            <w:noWrap/>
            <w:vAlign w:val="center"/>
          </w:tcPr>
          <w:p w14:paraId="16DB4718" w14:textId="77777777" w:rsidR="00E954EA" w:rsidRPr="00F16772" w:rsidRDefault="00E954EA" w:rsidP="00E954EA">
            <w:pPr>
              <w:spacing w:after="0"/>
              <w:jc w:val="center"/>
              <w:rPr>
                <w:rFonts w:ascii="Calibri" w:eastAsia="Times New Roman" w:hAnsi="Calibri" w:cs="Calibri"/>
                <w:color w:val="000000"/>
                <w:sz w:val="16"/>
                <w:szCs w:val="16"/>
              </w:rPr>
            </w:pPr>
            <w:r w:rsidRPr="00F16772">
              <w:rPr>
                <w:rFonts w:ascii="Calibri" w:eastAsia="Times New Roman" w:hAnsi="Calibri" w:cs="Calibri"/>
                <w:color w:val="000000"/>
                <w:sz w:val="16"/>
                <w:szCs w:val="16"/>
              </w:rPr>
              <w:t>1, 2, or 3</w:t>
            </w:r>
          </w:p>
        </w:tc>
      </w:tr>
    </w:tbl>
    <w:p w14:paraId="6910A447" w14:textId="306F1E23" w:rsidR="00980097" w:rsidRPr="00245386" w:rsidRDefault="00E47347" w:rsidP="007C47E1">
      <w:pPr>
        <w:rPr>
          <w:sz w:val="20"/>
          <w:szCs w:val="20"/>
        </w:rPr>
      </w:pPr>
      <w:r w:rsidRPr="00245386">
        <w:rPr>
          <w:sz w:val="20"/>
          <w:szCs w:val="20"/>
        </w:rPr>
        <w:t xml:space="preserve">Abbreviations: HTL = hydrothermal liquefaction; </w:t>
      </w:r>
      <w:r w:rsidR="00C130CB" w:rsidRPr="00245386">
        <w:rPr>
          <w:sz w:val="20"/>
          <w:szCs w:val="20"/>
        </w:rPr>
        <w:t xml:space="preserve">RIN = Renewable Identification Number; </w:t>
      </w:r>
      <w:r w:rsidRPr="00245386">
        <w:rPr>
          <w:sz w:val="20"/>
          <w:szCs w:val="20"/>
        </w:rPr>
        <w:t xml:space="preserve">PTC REC = Production Tax Credit </w:t>
      </w:r>
      <w:r w:rsidR="00B01061">
        <w:rPr>
          <w:sz w:val="20"/>
          <w:szCs w:val="20"/>
        </w:rPr>
        <w:t>R</w:t>
      </w:r>
      <w:r w:rsidRPr="00245386">
        <w:rPr>
          <w:sz w:val="20"/>
          <w:szCs w:val="20"/>
        </w:rPr>
        <w:t xml:space="preserve">enewable </w:t>
      </w:r>
      <w:r w:rsidR="00B01061">
        <w:rPr>
          <w:sz w:val="20"/>
          <w:szCs w:val="20"/>
        </w:rPr>
        <w:t>E</w:t>
      </w:r>
      <w:r w:rsidRPr="00245386">
        <w:rPr>
          <w:sz w:val="20"/>
          <w:szCs w:val="20"/>
        </w:rPr>
        <w:t xml:space="preserve">lectricity </w:t>
      </w:r>
      <w:r w:rsidR="00B01061">
        <w:rPr>
          <w:sz w:val="20"/>
          <w:szCs w:val="20"/>
        </w:rPr>
        <w:t>C</w:t>
      </w:r>
      <w:r w:rsidRPr="00245386">
        <w:rPr>
          <w:sz w:val="20"/>
          <w:szCs w:val="20"/>
        </w:rPr>
        <w:t xml:space="preserve">redit; </w:t>
      </w:r>
      <w:r w:rsidR="00C130CB">
        <w:rPr>
          <w:sz w:val="20"/>
          <w:szCs w:val="20"/>
        </w:rPr>
        <w:t xml:space="preserve">CHP = Combined Heat and Power; CNG = Compressed Natural Gas; </w:t>
      </w:r>
      <w:r w:rsidR="00620F6D">
        <w:rPr>
          <w:sz w:val="20"/>
          <w:szCs w:val="20"/>
        </w:rPr>
        <w:t xml:space="preserve">Elec = Electricity; </w:t>
      </w:r>
      <w:r w:rsidR="00C130CB">
        <w:rPr>
          <w:sz w:val="20"/>
          <w:szCs w:val="20"/>
        </w:rPr>
        <w:t xml:space="preserve">PNG = Pipeline Natural Gas; </w:t>
      </w:r>
      <w:r w:rsidR="00C130CB" w:rsidRPr="00245386">
        <w:rPr>
          <w:sz w:val="20"/>
          <w:szCs w:val="20"/>
        </w:rPr>
        <w:t>LCFS = low carbon fuel standard; SB1383 = California Senate Bill 1383; POTW = publicly owned treatment work</w:t>
      </w:r>
      <w:r w:rsidR="00C130CB">
        <w:rPr>
          <w:sz w:val="20"/>
          <w:szCs w:val="20"/>
        </w:rPr>
        <w:t>s</w:t>
      </w:r>
      <w:r w:rsidR="00C130CB" w:rsidRPr="00245386">
        <w:rPr>
          <w:sz w:val="20"/>
          <w:szCs w:val="20"/>
        </w:rPr>
        <w:t xml:space="preserve">; </w:t>
      </w:r>
      <w:r w:rsidRPr="00245386">
        <w:rPr>
          <w:sz w:val="20"/>
          <w:szCs w:val="20"/>
        </w:rPr>
        <w:t xml:space="preserve">AEO = Annual Energy Outlook. </w:t>
      </w:r>
    </w:p>
    <w:p w14:paraId="0AB12A74" w14:textId="77777777" w:rsidR="005029D5" w:rsidRDefault="005029D5" w:rsidP="007C47E1">
      <w:pPr>
        <w:rPr>
          <w:b/>
        </w:rPr>
      </w:pPr>
    </w:p>
    <w:p w14:paraId="028017BA" w14:textId="77777777" w:rsidR="002D672E" w:rsidRDefault="002D672E" w:rsidP="007C47E1">
      <w:pPr>
        <w:sectPr w:rsidR="002D672E" w:rsidSect="002D672E">
          <w:pgSz w:w="15840" w:h="12240" w:orient="landscape"/>
          <w:pgMar w:top="1440" w:right="1440" w:bottom="1440" w:left="1440" w:header="720" w:footer="720" w:gutter="0"/>
          <w:cols w:space="720"/>
          <w:docGrid w:linePitch="360"/>
        </w:sectPr>
      </w:pPr>
    </w:p>
    <w:p w14:paraId="561DC613" w14:textId="2FD7F261" w:rsidR="00642CDD" w:rsidRPr="00642CDD" w:rsidRDefault="00505BCC" w:rsidP="00642CDD">
      <w:pPr>
        <w:rPr>
          <w:b/>
        </w:rPr>
      </w:pPr>
      <w:r w:rsidRPr="00642CDD">
        <w:rPr>
          <w:b/>
        </w:rPr>
        <w:lastRenderedPageBreak/>
        <w:t xml:space="preserve">Insight #1. </w:t>
      </w:r>
      <w:r w:rsidR="00642CDD" w:rsidRPr="00642CDD">
        <w:rPr>
          <w:b/>
        </w:rPr>
        <w:t>Although the various values of the twelve key input factors explored in this study generally favor the adoption of incumbent technologies, specific combinations of values lead to modest levels of HTL adoption.</w:t>
      </w:r>
    </w:p>
    <w:p w14:paraId="28AF39FA" w14:textId="0521C9F2" w:rsidR="00830A5B" w:rsidRDefault="00BF570F" w:rsidP="00602D46">
      <w:r>
        <w:t>In this s</w:t>
      </w:r>
      <w:r w:rsidR="001963FC">
        <w:t>t</w:t>
      </w:r>
      <w:r>
        <w:t>udy,</w:t>
      </w:r>
      <w:r w:rsidR="00505BCC">
        <w:t xml:space="preserve"> </w:t>
      </w:r>
      <w:r>
        <w:t xml:space="preserve">we varied </w:t>
      </w:r>
      <w:r w:rsidR="001963FC">
        <w:t>twelve key</w:t>
      </w:r>
      <w:r>
        <w:t xml:space="preserve"> input factors </w:t>
      </w:r>
      <w:r w:rsidR="001963FC">
        <w:t xml:space="preserve">over a wide range of values </w:t>
      </w:r>
      <w:r>
        <w:t>using a uniform distribution</w:t>
      </w:r>
      <w:r w:rsidR="006C5F8D">
        <w:t xml:space="preserve"> for each</w:t>
      </w:r>
      <w:r w:rsidR="009A6E48">
        <w:t xml:space="preserve"> (see Table 1 for the list of factors and corresponding parameter ranges)</w:t>
      </w:r>
      <w:r>
        <w:t xml:space="preserve">. </w:t>
      </w:r>
      <w:r w:rsidR="009A6E48">
        <w:t xml:space="preserve">Because we were unable to find </w:t>
      </w:r>
      <w:r>
        <w:t xml:space="preserve">adequate data on the empirical distributions of these inputs, </w:t>
      </w:r>
      <w:r w:rsidR="00505BCC">
        <w:t xml:space="preserve">we could </w:t>
      </w:r>
      <w:r w:rsidR="009A6E48">
        <w:t xml:space="preserve">not </w:t>
      </w:r>
      <w:r w:rsidR="00505BCC">
        <w:t xml:space="preserve">estimate </w:t>
      </w:r>
      <w:r w:rsidR="00B01061">
        <w:t>the</w:t>
      </w:r>
      <w:r w:rsidR="00505BCC">
        <w:t xml:space="preserve"> probability of each set of results. </w:t>
      </w:r>
      <w:r w:rsidR="001963FC">
        <w:t>However</w:t>
      </w:r>
      <w:r w:rsidR="009A6E48">
        <w:t xml:space="preserve">, </w:t>
      </w:r>
      <w:r w:rsidR="00505BCC">
        <w:t xml:space="preserve">the </w:t>
      </w:r>
      <w:r w:rsidR="006C5F8D">
        <w:t xml:space="preserve">results </w:t>
      </w:r>
      <w:r w:rsidR="009A6E48">
        <w:t xml:space="preserve">of our analysis with </w:t>
      </w:r>
      <w:r w:rsidR="006C5F8D">
        <w:t xml:space="preserve">the </w:t>
      </w:r>
      <w:r w:rsidR="001963FC">
        <w:t>uniform</w:t>
      </w:r>
      <w:r>
        <w:t xml:space="preserve"> distributions</w:t>
      </w:r>
      <w:r w:rsidR="006C5F8D">
        <w:t xml:space="preserve"> suggest</w:t>
      </w:r>
      <w:r>
        <w:t xml:space="preserve"> </w:t>
      </w:r>
      <w:r w:rsidR="008F5BB1">
        <w:t xml:space="preserve">that the combinations of input values </w:t>
      </w:r>
      <w:r w:rsidR="001963FC">
        <w:t xml:space="preserve">that </w:t>
      </w:r>
      <w:r w:rsidR="006C5F8D">
        <w:t xml:space="preserve">result in </w:t>
      </w:r>
      <w:r w:rsidR="001963FC">
        <w:t>growth in HTL production</w:t>
      </w:r>
      <w:r w:rsidR="008F5BB1">
        <w:t xml:space="preserve"> is rare.</w:t>
      </w:r>
      <w:r w:rsidR="00090CE0">
        <w:t xml:space="preserve"> Out of 195,000 simulations, </w:t>
      </w:r>
      <w:r w:rsidR="001963FC">
        <w:t xml:space="preserve">only </w:t>
      </w:r>
      <w:r w:rsidR="00090CE0">
        <w:t>16,133</w:t>
      </w:r>
      <w:r w:rsidR="000518CD">
        <w:t xml:space="preserve"> (less than 10%)</w:t>
      </w:r>
      <w:r w:rsidR="00090CE0">
        <w:t xml:space="preserve"> resulted in HTL production that was greater than zero</w:t>
      </w:r>
      <w:r w:rsidR="000518CD">
        <w:t xml:space="preserve">. </w:t>
      </w:r>
      <w:r w:rsidR="00B059B3">
        <w:t xml:space="preserve">Figure </w:t>
      </w:r>
      <w:r w:rsidR="00F942B4">
        <w:t>1</w:t>
      </w:r>
      <w:r w:rsidR="00B059B3">
        <w:t xml:space="preserve"> shows relative</w:t>
      </w:r>
      <w:r w:rsidR="006C5F8D">
        <w:t xml:space="preserve"> (top panel)</w:t>
      </w:r>
      <w:r w:rsidR="00B059B3">
        <w:t xml:space="preserve"> </w:t>
      </w:r>
      <w:r w:rsidR="000B7600">
        <w:t xml:space="preserve">and total </w:t>
      </w:r>
      <w:r w:rsidR="006C5F8D">
        <w:t xml:space="preserve">(bottom panel) </w:t>
      </w:r>
      <w:r w:rsidR="00B059B3">
        <w:t xml:space="preserve">energy contribution by resource, region, and </w:t>
      </w:r>
      <w:r w:rsidR="005B167C">
        <w:t>WTE</w:t>
      </w:r>
      <w:r w:rsidR="00B059B3">
        <w:t xml:space="preserve"> technology.</w:t>
      </w:r>
    </w:p>
    <w:p w14:paraId="16B040B9" w14:textId="77777777" w:rsidR="00830A5B" w:rsidRDefault="00830A5B">
      <w:pPr>
        <w:spacing w:after="160" w:line="259" w:lineRule="auto"/>
      </w:pPr>
      <w:r>
        <w:br w:type="page"/>
      </w:r>
    </w:p>
    <w:p w14:paraId="728B9653" w14:textId="6E22B7D3" w:rsidR="00812DF3" w:rsidRDefault="004D11D4" w:rsidP="00401B56">
      <w:pPr>
        <w:rPr>
          <w:b/>
        </w:rPr>
      </w:pPr>
      <w:r w:rsidRPr="00A25551">
        <w:rPr>
          <w:noProof/>
          <w:sz w:val="20"/>
          <w:szCs w:val="20"/>
        </w:rPr>
        <w:lastRenderedPageBreak/>
        <mc:AlternateContent>
          <mc:Choice Requires="wps">
            <w:drawing>
              <wp:anchor distT="0" distB="0" distL="114300" distR="114300" simplePos="0" relativeHeight="251666432" behindDoc="0" locked="0" layoutInCell="1" allowOverlap="1" wp14:anchorId="1CF01B6A" wp14:editId="0946229E">
                <wp:simplePos x="0" y="0"/>
                <wp:positionH relativeFrom="column">
                  <wp:posOffset>0</wp:posOffset>
                </wp:positionH>
                <wp:positionV relativeFrom="paragraph">
                  <wp:posOffset>3368431</wp:posOffset>
                </wp:positionV>
                <wp:extent cx="69850" cy="77909"/>
                <wp:effectExtent l="0" t="0" r="25400" b="17780"/>
                <wp:wrapNone/>
                <wp:docPr id="5" name="Rectangle 4">
                  <a:extLst xmlns:a="http://schemas.openxmlformats.org/drawingml/2006/main">
                    <a:ext uri="{FF2B5EF4-FFF2-40B4-BE49-F238E27FC236}">
                      <a16:creationId xmlns:a16="http://schemas.microsoft.com/office/drawing/2014/main" id="{8F4920B1-604C-4F1B-9EA9-FC997FD2D275}"/>
                    </a:ext>
                  </a:extLst>
                </wp:docPr>
                <wp:cNvGraphicFramePr/>
                <a:graphic xmlns:a="http://schemas.openxmlformats.org/drawingml/2006/main">
                  <a:graphicData uri="http://schemas.microsoft.com/office/word/2010/wordprocessingShape">
                    <wps:wsp>
                      <wps:cNvSpPr/>
                      <wps:spPr>
                        <a:xfrm>
                          <a:off x="0" y="0"/>
                          <a:ext cx="69850" cy="77909"/>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37282" id="Rectangle 4" o:spid="_x0000_s1026" style="position:absolute;margin-left:0;margin-top:265.25pt;width:5.5pt;height: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" fillcolor="#aeaaaa [2414]" strokecolor="#1f3763 [1604]" strokeweight="1pt"/>
            </w:pict>
          </mc:Fallback>
        </mc:AlternateContent>
      </w:r>
      <w:r w:rsidRPr="00B05D60">
        <w:rPr>
          <w:noProof/>
          <w:sz w:val="20"/>
          <w:szCs w:val="20"/>
        </w:rPr>
        <mc:AlternateContent>
          <mc:Choice Requires="wps">
            <w:drawing>
              <wp:anchor distT="0" distB="0" distL="114300" distR="114300" simplePos="0" relativeHeight="251657216" behindDoc="0" locked="0" layoutInCell="1" allowOverlap="1" wp14:anchorId="17607D6E" wp14:editId="6A1A3F76">
                <wp:simplePos x="0" y="0"/>
                <wp:positionH relativeFrom="column">
                  <wp:posOffset>0</wp:posOffset>
                </wp:positionH>
                <wp:positionV relativeFrom="paragraph">
                  <wp:posOffset>3470031</wp:posOffset>
                </wp:positionV>
                <wp:extent cx="69850" cy="77714"/>
                <wp:effectExtent l="0" t="0" r="25400" b="17780"/>
                <wp:wrapNone/>
                <wp:docPr id="4" name="Rectangle 3">
                  <a:extLst xmlns:a="http://schemas.openxmlformats.org/drawingml/2006/main">
                    <a:ext uri="{FF2B5EF4-FFF2-40B4-BE49-F238E27FC236}">
                      <a16:creationId xmlns:a16="http://schemas.microsoft.com/office/drawing/2014/main" id="{D7472972-013D-472C-8541-F3C19972BC94}"/>
                    </a:ext>
                  </a:extLst>
                </wp:docPr>
                <wp:cNvGraphicFramePr/>
                <a:graphic xmlns:a="http://schemas.openxmlformats.org/drawingml/2006/main">
                  <a:graphicData uri="http://schemas.microsoft.com/office/word/2010/wordprocessingShape">
                    <wps:wsp>
                      <wps:cNvSpPr/>
                      <wps:spPr>
                        <a:xfrm flipH="1" flipV="1">
                          <a:off x="0" y="0"/>
                          <a:ext cx="69850" cy="77714"/>
                        </a:xfrm>
                        <a:prstGeom prst="rect">
                          <a:avLst/>
                        </a:prstGeom>
                        <a:solidFill>
                          <a:srgbClr val="4B84B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EECC7" id="Rectangle 3" o:spid="_x0000_s1026" style="position:absolute;margin-left:0;margin-top:273.25pt;width:5.5pt;height:6.1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" fillcolor="#4b84bd" strokecolor="#1f3763 [1604]" strokeweight="1pt"/>
            </w:pict>
          </mc:Fallback>
        </mc:AlternateContent>
      </w:r>
      <w:r>
        <w:rPr>
          <w:noProof/>
        </w:rPr>
        <w:drawing>
          <wp:inline distT="0" distB="0" distL="0" distR="0" wp14:anchorId="19444B99" wp14:editId="72C671A8">
            <wp:extent cx="5322277" cy="354818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323992" cy="3549328"/>
                    </a:xfrm>
                    <a:prstGeom prst="rect">
                      <a:avLst/>
                    </a:prstGeom>
                  </pic:spPr>
                </pic:pic>
              </a:graphicData>
            </a:graphic>
          </wp:inline>
        </w:drawing>
      </w:r>
    </w:p>
    <w:p w14:paraId="4654AD92" w14:textId="38F39076" w:rsidR="004D11D4" w:rsidRDefault="004D11D4" w:rsidP="00C130CB">
      <w:pPr>
        <w:rPr>
          <w:b/>
        </w:rPr>
      </w:pPr>
      <w:r>
        <w:rPr>
          <w:noProof/>
        </w:rPr>
        <w:drawing>
          <wp:inline distT="0" distB="0" distL="0" distR="0" wp14:anchorId="35221556" wp14:editId="6A414218">
            <wp:extent cx="5321618" cy="354774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5390825" cy="3593883"/>
                    </a:xfrm>
                    <a:prstGeom prst="rect">
                      <a:avLst/>
                    </a:prstGeom>
                  </pic:spPr>
                </pic:pic>
              </a:graphicData>
            </a:graphic>
          </wp:inline>
        </w:drawing>
      </w:r>
    </w:p>
    <w:p w14:paraId="06B96AD1" w14:textId="10109D24" w:rsidR="004D11D4" w:rsidRDefault="000B7600" w:rsidP="00C130CB">
      <w:pPr>
        <w:rPr>
          <w:sz w:val="20"/>
          <w:szCs w:val="20"/>
        </w:rPr>
      </w:pPr>
      <w:commentRangeStart w:id="3"/>
      <w:commentRangeStart w:id="4"/>
      <w:r>
        <w:rPr>
          <w:b/>
        </w:rPr>
        <w:t xml:space="preserve">Figure </w:t>
      </w:r>
      <w:commentRangeEnd w:id="3"/>
      <w:r w:rsidR="000B3F13">
        <w:rPr>
          <w:rStyle w:val="CommentReference"/>
        </w:rPr>
        <w:commentReference w:id="3"/>
      </w:r>
      <w:commentRangeEnd w:id="4"/>
      <w:r w:rsidR="004D11D4">
        <w:rPr>
          <w:rStyle w:val="CommentReference"/>
        </w:rPr>
        <w:commentReference w:id="4"/>
      </w:r>
      <w:r w:rsidR="00F942B4">
        <w:rPr>
          <w:b/>
        </w:rPr>
        <w:t>1</w:t>
      </w:r>
      <w:r>
        <w:rPr>
          <w:b/>
        </w:rPr>
        <w:t xml:space="preserve">. Relative </w:t>
      </w:r>
      <w:r w:rsidR="009A6E48">
        <w:rPr>
          <w:b/>
        </w:rPr>
        <w:t xml:space="preserve">(top panel) </w:t>
      </w:r>
      <w:r>
        <w:rPr>
          <w:b/>
        </w:rPr>
        <w:t xml:space="preserve">and </w:t>
      </w:r>
      <w:r w:rsidR="00B01061">
        <w:rPr>
          <w:b/>
        </w:rPr>
        <w:t>t</w:t>
      </w:r>
      <w:r>
        <w:rPr>
          <w:b/>
        </w:rPr>
        <w:t xml:space="preserve">otal </w:t>
      </w:r>
      <w:r w:rsidR="009A6E48">
        <w:rPr>
          <w:b/>
        </w:rPr>
        <w:t>(bottom panel)</w:t>
      </w:r>
      <w:r>
        <w:rPr>
          <w:b/>
        </w:rPr>
        <w:t xml:space="preserve"> </w:t>
      </w:r>
      <w:r w:rsidR="00B01061">
        <w:rPr>
          <w:b/>
        </w:rPr>
        <w:t>e</w:t>
      </w:r>
      <w:r w:rsidR="00604E8A">
        <w:rPr>
          <w:b/>
        </w:rPr>
        <w:t xml:space="preserve">nergy </w:t>
      </w:r>
      <w:r>
        <w:rPr>
          <w:b/>
        </w:rPr>
        <w:t>contribution by resource</w:t>
      </w:r>
      <w:r w:rsidR="00B14A35">
        <w:rPr>
          <w:b/>
        </w:rPr>
        <w:t>, region,</w:t>
      </w:r>
      <w:r>
        <w:rPr>
          <w:b/>
        </w:rPr>
        <w:t xml:space="preserve"> and technology</w:t>
      </w:r>
      <w:r w:rsidR="007D2C90">
        <w:rPr>
          <w:b/>
        </w:rPr>
        <w:t xml:space="preserve"> </w:t>
      </w:r>
      <w:r w:rsidR="00B01061">
        <w:rPr>
          <w:b/>
        </w:rPr>
        <w:t xml:space="preserve">for </w:t>
      </w:r>
      <w:r w:rsidR="007D2C90">
        <w:rPr>
          <w:b/>
        </w:rPr>
        <w:t xml:space="preserve">cumulative energy production from </w:t>
      </w:r>
      <w:r w:rsidR="005B167C">
        <w:rPr>
          <w:b/>
        </w:rPr>
        <w:t>WTE</w:t>
      </w:r>
      <w:r w:rsidR="007D2C90">
        <w:rPr>
          <w:b/>
        </w:rPr>
        <w:t xml:space="preserve"> facilities from 2015 to 2040</w:t>
      </w:r>
      <w:r>
        <w:rPr>
          <w:b/>
        </w:rPr>
        <w:t>.</w:t>
      </w:r>
      <w:r w:rsidR="00C130CB">
        <w:rPr>
          <w:b/>
        </w:rPr>
        <w:t xml:space="preserve"> </w:t>
      </w:r>
      <w:r w:rsidR="00C130CB" w:rsidRPr="00245386">
        <w:rPr>
          <w:sz w:val="20"/>
          <w:szCs w:val="20"/>
        </w:rPr>
        <w:t>Abbreviations</w:t>
      </w:r>
      <w:r w:rsidR="00C130CB">
        <w:rPr>
          <w:sz w:val="20"/>
          <w:szCs w:val="20"/>
        </w:rPr>
        <w:t xml:space="preserve">: CHP = Combined Heat and Power; CNG = Compressed Natural Gas; Elec = Electricity; PNG = Pipeline Natural Gas; </w:t>
      </w:r>
      <w:r w:rsidR="00C130CB" w:rsidRPr="00245386">
        <w:rPr>
          <w:sz w:val="20"/>
          <w:szCs w:val="20"/>
        </w:rPr>
        <w:t xml:space="preserve">HTL = hydrothermal liquefaction; </w:t>
      </w:r>
      <w:proofErr w:type="spellStart"/>
      <w:r w:rsidR="00C130CB">
        <w:rPr>
          <w:sz w:val="20"/>
          <w:szCs w:val="20"/>
        </w:rPr>
        <w:t>LFLarge</w:t>
      </w:r>
      <w:proofErr w:type="spellEnd"/>
      <w:r w:rsidR="00830A5B">
        <w:rPr>
          <w:sz w:val="20"/>
          <w:szCs w:val="20"/>
        </w:rPr>
        <w:t xml:space="preserve">, </w:t>
      </w:r>
      <w:proofErr w:type="spellStart"/>
      <w:r w:rsidR="00830A5B">
        <w:rPr>
          <w:sz w:val="20"/>
          <w:szCs w:val="20"/>
        </w:rPr>
        <w:t>LFSmall</w:t>
      </w:r>
      <w:proofErr w:type="spellEnd"/>
      <w:r w:rsidR="00830A5B">
        <w:rPr>
          <w:sz w:val="20"/>
          <w:szCs w:val="20"/>
        </w:rPr>
        <w:t xml:space="preserve"> = large and small landfills; </w:t>
      </w:r>
      <w:r w:rsidR="00766B1B">
        <w:rPr>
          <w:sz w:val="20"/>
          <w:szCs w:val="20"/>
        </w:rPr>
        <w:t>POTW</w:t>
      </w:r>
      <w:r w:rsidR="00830A5B">
        <w:rPr>
          <w:sz w:val="20"/>
          <w:szCs w:val="20"/>
        </w:rPr>
        <w:t xml:space="preserve">100Up, </w:t>
      </w:r>
      <w:r w:rsidR="00C130CB">
        <w:rPr>
          <w:sz w:val="20"/>
          <w:szCs w:val="20"/>
        </w:rPr>
        <w:t xml:space="preserve"> </w:t>
      </w:r>
      <w:r w:rsidR="00642CDD">
        <w:rPr>
          <w:sz w:val="20"/>
          <w:szCs w:val="20"/>
        </w:rPr>
        <w:t>POTW</w:t>
      </w:r>
      <w:r w:rsidR="00C130CB">
        <w:rPr>
          <w:sz w:val="20"/>
          <w:szCs w:val="20"/>
        </w:rPr>
        <w:t>10to100</w:t>
      </w:r>
      <w:r w:rsidR="00830A5B">
        <w:rPr>
          <w:sz w:val="20"/>
          <w:szCs w:val="20"/>
        </w:rPr>
        <w:t xml:space="preserve">, </w:t>
      </w:r>
      <w:r w:rsidR="00642CDD">
        <w:rPr>
          <w:sz w:val="20"/>
          <w:szCs w:val="20"/>
        </w:rPr>
        <w:t>POTW</w:t>
      </w:r>
      <w:r w:rsidR="00830A5B">
        <w:rPr>
          <w:sz w:val="20"/>
          <w:szCs w:val="20"/>
        </w:rPr>
        <w:t xml:space="preserve">1to10 </w:t>
      </w:r>
      <w:r w:rsidR="00C130CB">
        <w:rPr>
          <w:sz w:val="20"/>
          <w:szCs w:val="20"/>
        </w:rPr>
        <w:t xml:space="preserve">= </w:t>
      </w:r>
      <w:r w:rsidR="00830A5B">
        <w:rPr>
          <w:sz w:val="20"/>
          <w:szCs w:val="20"/>
        </w:rPr>
        <w:t>large, medium, and small Waste Water Treatment Plants (POTWs)</w:t>
      </w:r>
      <w:r w:rsidR="00C130CB">
        <w:rPr>
          <w:sz w:val="20"/>
          <w:szCs w:val="20"/>
        </w:rPr>
        <w:t xml:space="preserve">; </w:t>
      </w:r>
      <w:proofErr w:type="spellStart"/>
      <w:r w:rsidR="00830A5B">
        <w:rPr>
          <w:sz w:val="20"/>
          <w:szCs w:val="20"/>
        </w:rPr>
        <w:t>CAFOLarge</w:t>
      </w:r>
      <w:proofErr w:type="spellEnd"/>
      <w:r w:rsidR="00830A5B">
        <w:rPr>
          <w:sz w:val="20"/>
          <w:szCs w:val="20"/>
        </w:rPr>
        <w:t xml:space="preserve">, </w:t>
      </w:r>
      <w:proofErr w:type="spellStart"/>
      <w:r w:rsidR="00830A5B">
        <w:rPr>
          <w:sz w:val="20"/>
          <w:szCs w:val="20"/>
        </w:rPr>
        <w:t>CAFOMed</w:t>
      </w:r>
      <w:proofErr w:type="spellEnd"/>
      <w:r w:rsidR="00830A5B">
        <w:rPr>
          <w:sz w:val="20"/>
          <w:szCs w:val="20"/>
        </w:rPr>
        <w:t xml:space="preserve">, </w:t>
      </w:r>
      <w:proofErr w:type="spellStart"/>
      <w:r w:rsidR="00830A5B">
        <w:rPr>
          <w:sz w:val="20"/>
          <w:szCs w:val="20"/>
        </w:rPr>
        <w:t>CAFOSmall</w:t>
      </w:r>
      <w:proofErr w:type="spellEnd"/>
      <w:r w:rsidR="00830A5B">
        <w:rPr>
          <w:sz w:val="20"/>
          <w:szCs w:val="20"/>
        </w:rPr>
        <w:t xml:space="preserve"> =  large, medium, and small concentrated animal feeding operations</w:t>
      </w:r>
      <w:r w:rsidR="00642CDD">
        <w:rPr>
          <w:sz w:val="20"/>
          <w:szCs w:val="20"/>
        </w:rPr>
        <w:t>.</w:t>
      </w:r>
      <w:r w:rsidR="00830A5B">
        <w:rPr>
          <w:sz w:val="20"/>
          <w:szCs w:val="20"/>
        </w:rPr>
        <w:t xml:space="preserve"> </w:t>
      </w:r>
    </w:p>
    <w:p w14:paraId="01CF8166" w14:textId="5CED7629" w:rsidR="00C130CB" w:rsidRPr="00245386" w:rsidRDefault="00C130CB" w:rsidP="00C130CB">
      <w:pPr>
        <w:rPr>
          <w:sz w:val="20"/>
          <w:szCs w:val="20"/>
        </w:rPr>
      </w:pPr>
    </w:p>
    <w:p w14:paraId="323DAE63" w14:textId="0A80948C" w:rsidR="000B7600" w:rsidRDefault="000B7600" w:rsidP="00401B56">
      <w:pPr>
        <w:rPr>
          <w:b/>
        </w:rPr>
      </w:pPr>
    </w:p>
    <w:p w14:paraId="244979F3" w14:textId="3D2F78B4" w:rsidR="00BD6261" w:rsidRDefault="00401B56" w:rsidP="00401B56">
      <w:pPr>
        <w:rPr>
          <w:b/>
        </w:rPr>
      </w:pPr>
      <w:r w:rsidRPr="002B1CE6">
        <w:rPr>
          <w:b/>
        </w:rPr>
        <w:t>Insight #</w:t>
      </w:r>
      <w:r w:rsidR="00090CE0">
        <w:rPr>
          <w:b/>
        </w:rPr>
        <w:t>2</w:t>
      </w:r>
      <w:r w:rsidRPr="002B1CE6">
        <w:rPr>
          <w:b/>
        </w:rPr>
        <w:t xml:space="preserve">. </w:t>
      </w:r>
      <w:r w:rsidR="00BD6261" w:rsidRPr="00BD6261">
        <w:rPr>
          <w:b/>
        </w:rPr>
        <w:t>Five factors in the analysis explain variance in HTL production; of these, two explain variance in total energy production</w:t>
      </w:r>
      <w:r w:rsidRPr="002B1CE6">
        <w:rPr>
          <w:b/>
        </w:rPr>
        <w:t>.</w:t>
      </w:r>
    </w:p>
    <w:p w14:paraId="518D2870" w14:textId="3FA8A8BD" w:rsidR="00401B56" w:rsidRDefault="001963FC" w:rsidP="00401B56">
      <w:r>
        <w:t>For a factor to be considered important in this study, it must,</w:t>
      </w:r>
      <w:r w:rsidDel="001963FC">
        <w:t xml:space="preserve"> </w:t>
      </w:r>
      <w:r w:rsidR="00401B56">
        <w:t xml:space="preserve">in combination with </w:t>
      </w:r>
      <w:r w:rsidR="00BC3139">
        <w:t>all</w:t>
      </w:r>
      <w:r>
        <w:t xml:space="preserve"> the </w:t>
      </w:r>
      <w:r w:rsidR="00401B56">
        <w:t>other</w:t>
      </w:r>
      <w:r>
        <w:t xml:space="preserve"> factor</w:t>
      </w:r>
      <w:r w:rsidR="00401B56">
        <w:t>s, explain at least 5% of the total variance of the target</w:t>
      </w:r>
      <w:r>
        <w:t xml:space="preserve"> output</w:t>
      </w:r>
      <w:r w:rsidR="00401B56">
        <w:t xml:space="preserve"> metric</w:t>
      </w:r>
      <w:r>
        <w:t xml:space="preserve"> (</w:t>
      </w:r>
      <w:r w:rsidR="00401B56">
        <w:t xml:space="preserve">either energy from HTL or </w:t>
      </w:r>
      <w:r w:rsidR="00830A5B">
        <w:t>t</w:t>
      </w:r>
      <w:r w:rsidR="00401B56">
        <w:t xml:space="preserve">otal </w:t>
      </w:r>
      <w:r w:rsidR="00830A5B">
        <w:t>e</w:t>
      </w:r>
      <w:r w:rsidR="00401B56">
        <w:t>nergy</w:t>
      </w:r>
      <w:r>
        <w:t>)</w:t>
      </w:r>
      <w:r w:rsidR="00401B56">
        <w:t xml:space="preserve">. Table 2 ranks the factors that are most important for HTL production and those that are most important for total energy production. </w:t>
      </w:r>
      <w:r w:rsidR="003C6EA1">
        <w:t>The mechanisms by which these factors affect energy production, and the reasons for differences between HTL and Total energy production, are explored below.</w:t>
      </w:r>
    </w:p>
    <w:tbl>
      <w:tblPr>
        <w:tblpPr w:leftFromText="180" w:rightFromText="180" w:vertAnchor="page" w:horzAnchor="margin" w:tblpY="4911"/>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gridCol w:w="991"/>
        <w:gridCol w:w="1675"/>
        <w:gridCol w:w="1924"/>
      </w:tblGrid>
      <w:tr w:rsidR="005A0873" w:rsidRPr="00866D4B" w14:paraId="1540BFFC" w14:textId="77777777" w:rsidTr="005A0873">
        <w:trPr>
          <w:trHeight w:val="300"/>
        </w:trPr>
        <w:tc>
          <w:tcPr>
            <w:tcW w:w="4945" w:type="dxa"/>
            <w:vAlign w:val="bottom"/>
          </w:tcPr>
          <w:p w14:paraId="184563F1" w14:textId="77777777" w:rsidR="005A0873" w:rsidRPr="001963FC" w:rsidRDefault="005A0873" w:rsidP="005A0873">
            <w:pPr>
              <w:spacing w:after="0"/>
              <w:rPr>
                <w:rFonts w:ascii="Calibri" w:eastAsia="Times New Roman" w:hAnsi="Calibri" w:cs="Calibri"/>
                <w:b/>
                <w:color w:val="000000"/>
                <w:szCs w:val="22"/>
              </w:rPr>
            </w:pPr>
            <w:r>
              <w:rPr>
                <w:rFonts w:ascii="Calibri" w:eastAsia="Times New Roman" w:hAnsi="Calibri" w:cs="Calibri"/>
                <w:b/>
                <w:color w:val="000000"/>
                <w:szCs w:val="22"/>
              </w:rPr>
              <w:t>Factor</w:t>
            </w:r>
          </w:p>
        </w:tc>
        <w:tc>
          <w:tcPr>
            <w:tcW w:w="991" w:type="dxa"/>
          </w:tcPr>
          <w:p w14:paraId="3917DF7B" w14:textId="77777777" w:rsidR="005A0873" w:rsidRPr="008F1C57" w:rsidRDefault="005A0873" w:rsidP="005A0873">
            <w:pPr>
              <w:spacing w:after="0"/>
              <w:rPr>
                <w:rFonts w:ascii="Calibri" w:eastAsia="Times New Roman" w:hAnsi="Calibri" w:cs="Calibri"/>
                <w:b/>
                <w:color w:val="000000"/>
              </w:rPr>
            </w:pPr>
            <w:r>
              <w:rPr>
                <w:rFonts w:ascii="Calibri" w:eastAsia="Times New Roman" w:hAnsi="Calibri" w:cs="Calibri"/>
                <w:b/>
                <w:color w:val="000000"/>
              </w:rPr>
              <w:t>Explains &gt;</w:t>
            </w:r>
            <w:r w:rsidRPr="008F1C57">
              <w:rPr>
                <w:rFonts w:ascii="Calibri" w:eastAsia="Times New Roman" w:hAnsi="Calibri" w:cs="Calibri"/>
                <w:b/>
                <w:color w:val="000000"/>
              </w:rPr>
              <w:t>5%</w:t>
            </w:r>
            <w:r>
              <w:rPr>
                <w:rFonts w:ascii="Calibri" w:eastAsia="Times New Roman" w:hAnsi="Calibri" w:cs="Calibri"/>
                <w:b/>
                <w:color w:val="000000"/>
              </w:rPr>
              <w:t xml:space="preserve"> of variance</w:t>
            </w:r>
          </w:p>
        </w:tc>
        <w:tc>
          <w:tcPr>
            <w:tcW w:w="1675" w:type="dxa"/>
          </w:tcPr>
          <w:p w14:paraId="63E53DBC" w14:textId="77777777" w:rsidR="005A0873" w:rsidRPr="00EE0851" w:rsidRDefault="005A0873" w:rsidP="005A0873">
            <w:pPr>
              <w:spacing w:after="0"/>
              <w:rPr>
                <w:rFonts w:ascii="Calibri" w:eastAsia="Times New Roman" w:hAnsi="Calibri" w:cs="Calibri"/>
                <w:b/>
                <w:color w:val="000000"/>
              </w:rPr>
            </w:pPr>
            <w:r>
              <w:rPr>
                <w:rFonts w:ascii="Calibri" w:eastAsia="Times New Roman" w:hAnsi="Calibri" w:cs="Calibri"/>
                <w:b/>
                <w:color w:val="000000"/>
              </w:rPr>
              <w:t>…in HTL energy (Rank, 1=most important)</w:t>
            </w:r>
          </w:p>
        </w:tc>
        <w:tc>
          <w:tcPr>
            <w:tcW w:w="1924" w:type="dxa"/>
          </w:tcPr>
          <w:p w14:paraId="6C7E3D25" w14:textId="77777777" w:rsidR="005A0873" w:rsidRDefault="005A0873" w:rsidP="005A0873">
            <w:pPr>
              <w:spacing w:after="0"/>
              <w:rPr>
                <w:rFonts w:ascii="Calibri" w:eastAsia="Times New Roman" w:hAnsi="Calibri" w:cs="Calibri"/>
                <w:b/>
                <w:color w:val="000000"/>
              </w:rPr>
            </w:pPr>
            <w:r>
              <w:rPr>
                <w:rFonts w:ascii="Calibri" w:eastAsia="Times New Roman" w:hAnsi="Calibri" w:cs="Calibri"/>
                <w:b/>
                <w:color w:val="000000"/>
              </w:rPr>
              <w:t>…in T</w:t>
            </w:r>
            <w:r w:rsidRPr="00EE0851">
              <w:rPr>
                <w:rFonts w:ascii="Calibri" w:eastAsia="Times New Roman" w:hAnsi="Calibri" w:cs="Calibri"/>
                <w:b/>
                <w:color w:val="000000"/>
              </w:rPr>
              <w:t>otal energy</w:t>
            </w:r>
          </w:p>
          <w:p w14:paraId="41FCAB34" w14:textId="77777777" w:rsidR="005A0873" w:rsidRPr="00EE0851" w:rsidRDefault="005A0873" w:rsidP="005A0873">
            <w:pPr>
              <w:spacing w:after="0"/>
              <w:rPr>
                <w:rFonts w:ascii="Calibri" w:eastAsia="Times New Roman" w:hAnsi="Calibri" w:cs="Calibri"/>
                <w:b/>
                <w:color w:val="000000"/>
              </w:rPr>
            </w:pPr>
            <w:r>
              <w:rPr>
                <w:rFonts w:ascii="Calibri" w:eastAsia="Times New Roman" w:hAnsi="Calibri" w:cs="Calibri"/>
                <w:b/>
                <w:color w:val="000000"/>
              </w:rPr>
              <w:t>(Rank, 1=most important)</w:t>
            </w:r>
          </w:p>
        </w:tc>
      </w:tr>
      <w:tr w:rsidR="005A0873" w:rsidRPr="00866D4B" w14:paraId="6878B590" w14:textId="77777777" w:rsidTr="005A0873">
        <w:trPr>
          <w:trHeight w:val="300"/>
        </w:trPr>
        <w:tc>
          <w:tcPr>
            <w:tcW w:w="4945" w:type="dxa"/>
          </w:tcPr>
          <w:p w14:paraId="7011F512" w14:textId="77777777" w:rsidR="005A0873" w:rsidRPr="001963FC" w:rsidRDefault="005A0873" w:rsidP="005A0873">
            <w:pPr>
              <w:spacing w:after="0"/>
              <w:rPr>
                <w:rFonts w:ascii="Calibri" w:eastAsia="Times New Roman" w:hAnsi="Calibri" w:cs="Calibri"/>
                <w:color w:val="000000"/>
                <w:szCs w:val="22"/>
              </w:rPr>
            </w:pPr>
            <w:r w:rsidRPr="000B7600">
              <w:rPr>
                <w:rFonts w:ascii="Calibri" w:eastAsia="Times New Roman" w:hAnsi="Calibri" w:cs="Calibri"/>
                <w:color w:val="000000"/>
                <w:szCs w:val="22"/>
              </w:rPr>
              <w:t>Initial commercial maturity of HTL</w:t>
            </w:r>
          </w:p>
        </w:tc>
        <w:tc>
          <w:tcPr>
            <w:tcW w:w="991" w:type="dxa"/>
            <w:vAlign w:val="center"/>
          </w:tcPr>
          <w:p w14:paraId="7BF39B29" w14:textId="77777777" w:rsidR="005A0873" w:rsidRPr="00866D4B" w:rsidRDefault="005A0873" w:rsidP="005A0873">
            <w:pPr>
              <w:spacing w:after="0"/>
              <w:jc w:val="center"/>
              <w:rPr>
                <w:rFonts w:ascii="Calibri" w:eastAsia="Times New Roman" w:hAnsi="Calibri" w:cs="Calibri"/>
                <w:color w:val="000000"/>
                <w:szCs w:val="22"/>
              </w:rPr>
            </w:pPr>
          </w:p>
        </w:tc>
        <w:tc>
          <w:tcPr>
            <w:tcW w:w="1675" w:type="dxa"/>
            <w:vAlign w:val="center"/>
          </w:tcPr>
          <w:p w14:paraId="4B947C30" w14:textId="77777777" w:rsidR="005A0873" w:rsidRPr="00866D4B" w:rsidRDefault="005A0873" w:rsidP="005A0873">
            <w:pPr>
              <w:spacing w:after="0"/>
              <w:jc w:val="center"/>
              <w:rPr>
                <w:rFonts w:ascii="Calibri" w:eastAsia="Times New Roman" w:hAnsi="Calibri" w:cs="Calibri"/>
                <w:color w:val="000000"/>
                <w:szCs w:val="22"/>
              </w:rPr>
            </w:pPr>
            <w:r>
              <w:rPr>
                <w:rFonts w:ascii="Calibri" w:eastAsia="Times New Roman" w:hAnsi="Calibri" w:cs="Calibri"/>
                <w:color w:val="000000"/>
                <w:szCs w:val="22"/>
              </w:rPr>
              <w:t>1</w:t>
            </w:r>
          </w:p>
        </w:tc>
        <w:tc>
          <w:tcPr>
            <w:tcW w:w="1924" w:type="dxa"/>
            <w:vAlign w:val="center"/>
          </w:tcPr>
          <w:p w14:paraId="1A6D26DD" w14:textId="77777777" w:rsidR="005A0873" w:rsidRDefault="005A0873" w:rsidP="005A0873">
            <w:pPr>
              <w:spacing w:after="0"/>
              <w:jc w:val="center"/>
              <w:rPr>
                <w:rFonts w:ascii="Calibri" w:eastAsia="Times New Roman" w:hAnsi="Calibri" w:cs="Calibri"/>
                <w:color w:val="000000"/>
                <w:szCs w:val="22"/>
              </w:rPr>
            </w:pPr>
          </w:p>
        </w:tc>
      </w:tr>
      <w:tr w:rsidR="005A0873" w:rsidRPr="00866D4B" w14:paraId="10231E4F" w14:textId="77777777" w:rsidTr="005A0873">
        <w:trPr>
          <w:trHeight w:val="300"/>
        </w:trPr>
        <w:tc>
          <w:tcPr>
            <w:tcW w:w="4945" w:type="dxa"/>
          </w:tcPr>
          <w:p w14:paraId="79DA47E0" w14:textId="77777777" w:rsidR="005A0873" w:rsidRPr="001963FC" w:rsidRDefault="005A0873" w:rsidP="005A0873">
            <w:pPr>
              <w:spacing w:after="0"/>
              <w:rPr>
                <w:rFonts w:ascii="Calibri" w:eastAsia="Times New Roman" w:hAnsi="Calibri" w:cs="Calibri"/>
                <w:color w:val="000000"/>
                <w:szCs w:val="22"/>
              </w:rPr>
            </w:pPr>
            <w:r w:rsidRPr="000B7600">
              <w:rPr>
                <w:rFonts w:ascii="Calibri" w:eastAsia="Times New Roman" w:hAnsi="Calibri" w:cs="Calibri"/>
                <w:color w:val="000000"/>
                <w:szCs w:val="22"/>
              </w:rPr>
              <w:t>RIN multiplier</w:t>
            </w:r>
          </w:p>
        </w:tc>
        <w:tc>
          <w:tcPr>
            <w:tcW w:w="991" w:type="dxa"/>
            <w:vAlign w:val="center"/>
          </w:tcPr>
          <w:p w14:paraId="4604522A" w14:textId="77777777" w:rsidR="005A0873" w:rsidRPr="00866D4B" w:rsidRDefault="005A0873" w:rsidP="005A0873">
            <w:pPr>
              <w:spacing w:after="0"/>
              <w:jc w:val="center"/>
              <w:rPr>
                <w:rFonts w:ascii="Calibri" w:eastAsia="Times New Roman" w:hAnsi="Calibri" w:cs="Calibri"/>
                <w:color w:val="000000"/>
                <w:szCs w:val="22"/>
              </w:rPr>
            </w:pPr>
          </w:p>
        </w:tc>
        <w:tc>
          <w:tcPr>
            <w:tcW w:w="1675" w:type="dxa"/>
            <w:vAlign w:val="center"/>
          </w:tcPr>
          <w:p w14:paraId="2ED0DD6A" w14:textId="77777777" w:rsidR="005A0873" w:rsidRPr="00866D4B" w:rsidRDefault="005A0873" w:rsidP="005A0873">
            <w:pPr>
              <w:spacing w:after="0"/>
              <w:jc w:val="center"/>
              <w:rPr>
                <w:rFonts w:ascii="Calibri" w:eastAsia="Times New Roman" w:hAnsi="Calibri" w:cs="Calibri"/>
                <w:color w:val="000000"/>
                <w:szCs w:val="22"/>
              </w:rPr>
            </w:pPr>
            <w:r>
              <w:rPr>
                <w:rFonts w:ascii="Calibri" w:eastAsia="Times New Roman" w:hAnsi="Calibri" w:cs="Calibri"/>
                <w:color w:val="000000"/>
                <w:szCs w:val="22"/>
              </w:rPr>
              <w:t>2</w:t>
            </w:r>
          </w:p>
        </w:tc>
        <w:tc>
          <w:tcPr>
            <w:tcW w:w="1924" w:type="dxa"/>
            <w:vAlign w:val="center"/>
          </w:tcPr>
          <w:p w14:paraId="1DCB0247" w14:textId="77777777" w:rsidR="005A0873" w:rsidRPr="00780478" w:rsidRDefault="005A0873" w:rsidP="005A0873">
            <w:pPr>
              <w:spacing w:after="0"/>
              <w:jc w:val="center"/>
              <w:rPr>
                <w:rFonts w:ascii="Calibri" w:eastAsia="Times New Roman" w:hAnsi="Calibri" w:cs="Calibri"/>
                <w:color w:val="000000"/>
              </w:rPr>
            </w:pPr>
          </w:p>
        </w:tc>
      </w:tr>
      <w:tr w:rsidR="005A0873" w:rsidRPr="00866D4B" w14:paraId="05E9179C" w14:textId="77777777" w:rsidTr="005A0873">
        <w:trPr>
          <w:trHeight w:val="300"/>
        </w:trPr>
        <w:tc>
          <w:tcPr>
            <w:tcW w:w="4945" w:type="dxa"/>
          </w:tcPr>
          <w:p w14:paraId="2E4E7F3D" w14:textId="77777777" w:rsidR="005A0873" w:rsidRPr="001963FC" w:rsidRDefault="005A0873" w:rsidP="005A0873">
            <w:pPr>
              <w:spacing w:after="0"/>
              <w:rPr>
                <w:rFonts w:ascii="Calibri" w:eastAsia="Times New Roman" w:hAnsi="Calibri" w:cs="Calibri"/>
                <w:color w:val="000000"/>
                <w:szCs w:val="22"/>
              </w:rPr>
            </w:pPr>
            <w:r w:rsidRPr="000B7600">
              <w:rPr>
                <w:rFonts w:ascii="Calibri" w:eastAsia="Times New Roman" w:hAnsi="Calibri" w:cs="Calibri"/>
                <w:color w:val="000000"/>
                <w:szCs w:val="22"/>
              </w:rPr>
              <w:t>Construction duration multiplier</w:t>
            </w:r>
          </w:p>
        </w:tc>
        <w:tc>
          <w:tcPr>
            <w:tcW w:w="991" w:type="dxa"/>
            <w:vAlign w:val="center"/>
          </w:tcPr>
          <w:p w14:paraId="14740607" w14:textId="77777777" w:rsidR="005A0873" w:rsidRPr="00866D4B" w:rsidRDefault="005A0873" w:rsidP="005A0873">
            <w:pPr>
              <w:spacing w:after="0"/>
              <w:jc w:val="center"/>
              <w:rPr>
                <w:rFonts w:ascii="Calibri" w:eastAsia="Times New Roman" w:hAnsi="Calibri" w:cs="Calibri"/>
                <w:color w:val="000000"/>
                <w:szCs w:val="22"/>
              </w:rPr>
            </w:pPr>
          </w:p>
        </w:tc>
        <w:tc>
          <w:tcPr>
            <w:tcW w:w="1675" w:type="dxa"/>
            <w:vAlign w:val="center"/>
          </w:tcPr>
          <w:p w14:paraId="4217FD3B" w14:textId="77777777" w:rsidR="005A0873" w:rsidRPr="00866D4B" w:rsidRDefault="005A0873" w:rsidP="005A0873">
            <w:pPr>
              <w:spacing w:after="0"/>
              <w:jc w:val="center"/>
              <w:rPr>
                <w:rFonts w:ascii="Calibri" w:eastAsia="Times New Roman" w:hAnsi="Calibri" w:cs="Calibri"/>
                <w:color w:val="000000"/>
                <w:szCs w:val="22"/>
              </w:rPr>
            </w:pPr>
            <w:r>
              <w:rPr>
                <w:rFonts w:ascii="Calibri" w:eastAsia="Times New Roman" w:hAnsi="Calibri" w:cs="Calibri"/>
                <w:color w:val="000000"/>
                <w:szCs w:val="22"/>
              </w:rPr>
              <w:t>3</w:t>
            </w:r>
          </w:p>
        </w:tc>
        <w:tc>
          <w:tcPr>
            <w:tcW w:w="1924" w:type="dxa"/>
            <w:vAlign w:val="center"/>
          </w:tcPr>
          <w:p w14:paraId="2D5A8D3D" w14:textId="77777777" w:rsidR="005A0873" w:rsidRPr="00780478" w:rsidRDefault="005A0873" w:rsidP="005A0873">
            <w:pPr>
              <w:spacing w:after="0"/>
              <w:jc w:val="center"/>
              <w:rPr>
                <w:rFonts w:ascii="Calibri" w:eastAsia="Times New Roman" w:hAnsi="Calibri" w:cs="Calibri"/>
                <w:color w:val="000000"/>
              </w:rPr>
            </w:pPr>
            <w:r>
              <w:rPr>
                <w:rFonts w:ascii="Calibri" w:eastAsia="Times New Roman" w:hAnsi="Calibri" w:cs="Calibri"/>
                <w:color w:val="000000"/>
                <w:szCs w:val="22"/>
              </w:rPr>
              <w:t>2</w:t>
            </w:r>
          </w:p>
        </w:tc>
      </w:tr>
      <w:tr w:rsidR="005A0873" w:rsidRPr="00866D4B" w14:paraId="7D485E34" w14:textId="77777777" w:rsidTr="005A0873">
        <w:trPr>
          <w:trHeight w:val="300"/>
        </w:trPr>
        <w:tc>
          <w:tcPr>
            <w:tcW w:w="4945" w:type="dxa"/>
          </w:tcPr>
          <w:p w14:paraId="5A3B62DC" w14:textId="77777777" w:rsidR="005A0873" w:rsidRPr="001963FC" w:rsidRDefault="005A0873" w:rsidP="005A0873">
            <w:pPr>
              <w:spacing w:after="0"/>
              <w:rPr>
                <w:rFonts w:ascii="Calibri" w:eastAsia="Times New Roman" w:hAnsi="Calibri" w:cs="Calibri"/>
                <w:color w:val="000000"/>
                <w:szCs w:val="22"/>
              </w:rPr>
            </w:pPr>
            <w:r w:rsidRPr="000B7600">
              <w:rPr>
                <w:rFonts w:ascii="Calibri" w:eastAsia="Times New Roman" w:hAnsi="Calibri" w:cs="Calibri"/>
                <w:color w:val="000000"/>
                <w:szCs w:val="22"/>
              </w:rPr>
              <w:t>Disposal cost</w:t>
            </w:r>
          </w:p>
        </w:tc>
        <w:tc>
          <w:tcPr>
            <w:tcW w:w="991" w:type="dxa"/>
            <w:vAlign w:val="center"/>
          </w:tcPr>
          <w:p w14:paraId="334C6BB0" w14:textId="77777777" w:rsidR="005A0873" w:rsidRPr="00866D4B" w:rsidRDefault="005A0873" w:rsidP="005A0873">
            <w:pPr>
              <w:spacing w:after="0"/>
              <w:jc w:val="center"/>
              <w:rPr>
                <w:rFonts w:ascii="Calibri" w:eastAsia="Times New Roman" w:hAnsi="Calibri" w:cs="Calibri"/>
                <w:color w:val="000000"/>
                <w:szCs w:val="22"/>
              </w:rPr>
            </w:pPr>
          </w:p>
        </w:tc>
        <w:tc>
          <w:tcPr>
            <w:tcW w:w="1675" w:type="dxa"/>
            <w:vAlign w:val="center"/>
          </w:tcPr>
          <w:p w14:paraId="15CC09A5" w14:textId="77777777" w:rsidR="005A0873" w:rsidRDefault="005A0873" w:rsidP="005A0873">
            <w:pPr>
              <w:spacing w:after="0"/>
              <w:jc w:val="center"/>
              <w:rPr>
                <w:rFonts w:ascii="Calibri" w:eastAsia="Times New Roman" w:hAnsi="Calibri" w:cs="Calibri"/>
                <w:color w:val="000000"/>
                <w:szCs w:val="22"/>
              </w:rPr>
            </w:pPr>
            <w:r>
              <w:rPr>
                <w:rFonts w:ascii="Calibri" w:eastAsia="Times New Roman" w:hAnsi="Calibri" w:cs="Calibri"/>
                <w:color w:val="000000"/>
                <w:szCs w:val="22"/>
              </w:rPr>
              <w:t>4</w:t>
            </w:r>
          </w:p>
        </w:tc>
        <w:tc>
          <w:tcPr>
            <w:tcW w:w="1924" w:type="dxa"/>
            <w:vAlign w:val="center"/>
          </w:tcPr>
          <w:p w14:paraId="4F9AB617" w14:textId="77777777" w:rsidR="005A0873" w:rsidRDefault="005A0873" w:rsidP="005A0873">
            <w:pPr>
              <w:spacing w:after="0"/>
              <w:jc w:val="center"/>
              <w:rPr>
                <w:rFonts w:ascii="Calibri" w:eastAsia="Times New Roman" w:hAnsi="Calibri" w:cs="Calibri"/>
                <w:color w:val="000000"/>
                <w:szCs w:val="22"/>
              </w:rPr>
            </w:pPr>
          </w:p>
        </w:tc>
      </w:tr>
      <w:tr w:rsidR="005A0873" w:rsidRPr="00866D4B" w14:paraId="2E138C69" w14:textId="77777777" w:rsidTr="005A0873">
        <w:trPr>
          <w:trHeight w:val="300"/>
        </w:trPr>
        <w:tc>
          <w:tcPr>
            <w:tcW w:w="4945" w:type="dxa"/>
          </w:tcPr>
          <w:p w14:paraId="5C52E687" w14:textId="77777777" w:rsidR="005A0873" w:rsidRPr="000B7600" w:rsidRDefault="005A0873" w:rsidP="005A0873">
            <w:pPr>
              <w:spacing w:after="0"/>
              <w:rPr>
                <w:rFonts w:ascii="Calibri" w:eastAsia="Times New Roman" w:hAnsi="Calibri" w:cs="Calibri"/>
                <w:color w:val="000000"/>
                <w:szCs w:val="22"/>
              </w:rPr>
            </w:pPr>
            <w:r>
              <w:rPr>
                <w:rFonts w:ascii="Calibri" w:eastAsia="Times New Roman" w:hAnsi="Calibri" w:cs="Calibri"/>
                <w:color w:val="000000"/>
                <w:szCs w:val="22"/>
              </w:rPr>
              <w:t xml:space="preserve">PTC </w:t>
            </w:r>
            <w:r w:rsidRPr="000B7600">
              <w:rPr>
                <w:rFonts w:ascii="Calibri" w:eastAsia="Times New Roman" w:hAnsi="Calibri" w:cs="Calibri"/>
                <w:color w:val="000000"/>
                <w:szCs w:val="22"/>
              </w:rPr>
              <w:t xml:space="preserve">REC multiplier (only applicable to CHP, CNG,  Elec, and PNG; </w:t>
            </w:r>
            <w:r>
              <w:rPr>
                <w:rFonts w:ascii="Calibri" w:eastAsia="Times New Roman" w:hAnsi="Calibri" w:cs="Calibri"/>
                <w:color w:val="000000"/>
                <w:szCs w:val="22"/>
              </w:rPr>
              <w:t xml:space="preserve">other </w:t>
            </w:r>
            <w:r w:rsidRPr="000B7600">
              <w:rPr>
                <w:rFonts w:ascii="Calibri" w:eastAsia="Times New Roman" w:hAnsi="Calibri" w:cs="Calibri"/>
                <w:color w:val="000000"/>
                <w:szCs w:val="22"/>
              </w:rPr>
              <w:t>technologies have zero PTC REC)</w:t>
            </w:r>
          </w:p>
        </w:tc>
        <w:tc>
          <w:tcPr>
            <w:tcW w:w="991" w:type="dxa"/>
            <w:vAlign w:val="center"/>
          </w:tcPr>
          <w:p w14:paraId="7362A9C6" w14:textId="77777777" w:rsidR="005A0873" w:rsidRPr="00866D4B" w:rsidRDefault="005A0873" w:rsidP="005A0873">
            <w:pPr>
              <w:spacing w:after="0"/>
              <w:jc w:val="center"/>
              <w:rPr>
                <w:rFonts w:ascii="Calibri" w:eastAsia="Times New Roman" w:hAnsi="Calibri" w:cs="Calibri"/>
                <w:color w:val="000000"/>
                <w:szCs w:val="22"/>
              </w:rPr>
            </w:pPr>
          </w:p>
        </w:tc>
        <w:tc>
          <w:tcPr>
            <w:tcW w:w="1675" w:type="dxa"/>
            <w:vAlign w:val="center"/>
          </w:tcPr>
          <w:p w14:paraId="2B17FDE1" w14:textId="77777777" w:rsidR="005A0873" w:rsidRDefault="005A0873" w:rsidP="005A0873">
            <w:pPr>
              <w:spacing w:after="0"/>
              <w:jc w:val="center"/>
              <w:rPr>
                <w:rFonts w:ascii="Calibri" w:eastAsia="Times New Roman" w:hAnsi="Calibri" w:cs="Calibri"/>
                <w:color w:val="000000"/>
                <w:szCs w:val="22"/>
              </w:rPr>
            </w:pPr>
            <w:r>
              <w:rPr>
                <w:rFonts w:ascii="Calibri" w:eastAsia="Times New Roman" w:hAnsi="Calibri" w:cs="Calibri"/>
                <w:color w:val="000000"/>
                <w:szCs w:val="22"/>
              </w:rPr>
              <w:t>5</w:t>
            </w:r>
          </w:p>
        </w:tc>
        <w:tc>
          <w:tcPr>
            <w:tcW w:w="1924" w:type="dxa"/>
            <w:vAlign w:val="center"/>
          </w:tcPr>
          <w:p w14:paraId="52735869" w14:textId="77777777" w:rsidR="005A0873" w:rsidRDefault="005A0873" w:rsidP="005A0873">
            <w:pPr>
              <w:spacing w:after="0"/>
              <w:jc w:val="center"/>
              <w:rPr>
                <w:rFonts w:ascii="Calibri" w:eastAsia="Times New Roman" w:hAnsi="Calibri" w:cs="Calibri"/>
                <w:color w:val="000000"/>
                <w:szCs w:val="22"/>
              </w:rPr>
            </w:pPr>
            <w:r>
              <w:rPr>
                <w:rFonts w:ascii="Calibri" w:eastAsia="Times New Roman" w:hAnsi="Calibri" w:cs="Calibri"/>
                <w:color w:val="000000"/>
                <w:szCs w:val="22"/>
              </w:rPr>
              <w:t>1</w:t>
            </w:r>
          </w:p>
        </w:tc>
      </w:tr>
      <w:tr w:rsidR="005A0873" w:rsidRPr="00866D4B" w14:paraId="6E9FFA44" w14:textId="77777777" w:rsidTr="005A0873">
        <w:trPr>
          <w:trHeight w:val="300"/>
        </w:trPr>
        <w:tc>
          <w:tcPr>
            <w:tcW w:w="4945" w:type="dxa"/>
          </w:tcPr>
          <w:p w14:paraId="3EFE70EF" w14:textId="77777777" w:rsidR="005A0873" w:rsidRPr="001963FC" w:rsidRDefault="005A0873" w:rsidP="005A0873">
            <w:pPr>
              <w:spacing w:after="0"/>
              <w:rPr>
                <w:rFonts w:ascii="Calibri" w:eastAsia="Times New Roman" w:hAnsi="Calibri" w:cs="Calibri"/>
                <w:color w:val="000000"/>
                <w:szCs w:val="22"/>
              </w:rPr>
            </w:pPr>
            <w:r w:rsidRPr="000B7600">
              <w:rPr>
                <w:rFonts w:ascii="Calibri" w:eastAsia="Times New Roman" w:hAnsi="Calibri" w:cs="Calibri"/>
                <w:color w:val="000000"/>
                <w:szCs w:val="22"/>
              </w:rPr>
              <w:t>LCFS multiplier</w:t>
            </w:r>
          </w:p>
        </w:tc>
        <w:tc>
          <w:tcPr>
            <w:tcW w:w="991" w:type="dxa"/>
            <w:vAlign w:val="center"/>
          </w:tcPr>
          <w:p w14:paraId="423F6408" w14:textId="77777777" w:rsidR="005A0873" w:rsidRPr="00866D4B" w:rsidRDefault="005A0873" w:rsidP="005A0873">
            <w:pPr>
              <w:spacing w:after="0"/>
              <w:jc w:val="center"/>
              <w:rPr>
                <w:rFonts w:ascii="Calibri" w:eastAsia="Times New Roman" w:hAnsi="Calibri" w:cs="Calibri"/>
                <w:color w:val="000000"/>
                <w:szCs w:val="22"/>
              </w:rPr>
            </w:pPr>
            <w:r>
              <w:rPr>
                <w:rFonts w:ascii="Calibri" w:eastAsia="Times New Roman" w:hAnsi="Calibri" w:cs="Calibri"/>
                <w:color w:val="000000"/>
                <w:szCs w:val="22"/>
              </w:rPr>
              <w:t>no</w:t>
            </w:r>
          </w:p>
        </w:tc>
        <w:tc>
          <w:tcPr>
            <w:tcW w:w="1675" w:type="dxa"/>
            <w:vAlign w:val="center"/>
          </w:tcPr>
          <w:p w14:paraId="14ED4D44" w14:textId="77777777" w:rsidR="005A0873" w:rsidRDefault="005A0873" w:rsidP="005A0873">
            <w:pPr>
              <w:spacing w:after="0"/>
              <w:jc w:val="center"/>
              <w:rPr>
                <w:rFonts w:ascii="Calibri" w:eastAsia="Times New Roman" w:hAnsi="Calibri" w:cs="Calibri"/>
                <w:color w:val="000000"/>
                <w:szCs w:val="22"/>
              </w:rPr>
            </w:pPr>
          </w:p>
        </w:tc>
        <w:tc>
          <w:tcPr>
            <w:tcW w:w="1924" w:type="dxa"/>
            <w:vAlign w:val="center"/>
          </w:tcPr>
          <w:p w14:paraId="6EB9F2AE" w14:textId="77777777" w:rsidR="005A0873" w:rsidRDefault="005A0873" w:rsidP="005A0873">
            <w:pPr>
              <w:spacing w:after="0"/>
              <w:jc w:val="center"/>
              <w:rPr>
                <w:rFonts w:ascii="Calibri" w:eastAsia="Times New Roman" w:hAnsi="Calibri" w:cs="Calibri"/>
                <w:color w:val="000000"/>
                <w:szCs w:val="22"/>
              </w:rPr>
            </w:pPr>
          </w:p>
        </w:tc>
      </w:tr>
      <w:tr w:rsidR="005A0873" w:rsidRPr="00866D4B" w14:paraId="16C595A4" w14:textId="77777777" w:rsidTr="005A0873">
        <w:trPr>
          <w:trHeight w:val="300"/>
        </w:trPr>
        <w:tc>
          <w:tcPr>
            <w:tcW w:w="4945" w:type="dxa"/>
          </w:tcPr>
          <w:p w14:paraId="0A50E2B1" w14:textId="77777777" w:rsidR="005A0873" w:rsidRPr="000B7600" w:rsidRDefault="005A0873" w:rsidP="005A0873">
            <w:pPr>
              <w:spacing w:after="0"/>
              <w:rPr>
                <w:rFonts w:ascii="Calibri" w:eastAsia="Times New Roman" w:hAnsi="Calibri" w:cs="Calibri"/>
                <w:color w:val="000000"/>
                <w:szCs w:val="22"/>
              </w:rPr>
            </w:pPr>
            <w:r w:rsidRPr="000B7600">
              <w:rPr>
                <w:rFonts w:ascii="Calibri" w:eastAsia="Times New Roman" w:hAnsi="Calibri" w:cs="Calibri"/>
                <w:color w:val="000000"/>
                <w:szCs w:val="22"/>
              </w:rPr>
              <w:t>SB1383 waste influx multiplier</w:t>
            </w:r>
          </w:p>
        </w:tc>
        <w:tc>
          <w:tcPr>
            <w:tcW w:w="991" w:type="dxa"/>
            <w:vAlign w:val="center"/>
          </w:tcPr>
          <w:p w14:paraId="5C1547A3" w14:textId="77777777" w:rsidR="005A0873" w:rsidRDefault="005A0873" w:rsidP="005A0873">
            <w:pPr>
              <w:spacing w:after="0"/>
              <w:jc w:val="center"/>
              <w:rPr>
                <w:rFonts w:ascii="Calibri" w:eastAsia="Times New Roman" w:hAnsi="Calibri" w:cs="Calibri"/>
                <w:color w:val="000000"/>
                <w:szCs w:val="22"/>
              </w:rPr>
            </w:pPr>
            <w:r>
              <w:rPr>
                <w:rFonts w:ascii="Calibri" w:eastAsia="Times New Roman" w:hAnsi="Calibri" w:cs="Calibri"/>
                <w:color w:val="000000"/>
                <w:szCs w:val="22"/>
              </w:rPr>
              <w:t>no</w:t>
            </w:r>
          </w:p>
        </w:tc>
        <w:tc>
          <w:tcPr>
            <w:tcW w:w="1675" w:type="dxa"/>
            <w:vAlign w:val="center"/>
          </w:tcPr>
          <w:p w14:paraId="376A1FEB" w14:textId="77777777" w:rsidR="005A0873" w:rsidRDefault="005A0873" w:rsidP="005A0873">
            <w:pPr>
              <w:spacing w:after="0"/>
              <w:jc w:val="center"/>
              <w:rPr>
                <w:rFonts w:ascii="Calibri" w:eastAsia="Times New Roman" w:hAnsi="Calibri" w:cs="Calibri"/>
                <w:color w:val="000000"/>
                <w:szCs w:val="22"/>
              </w:rPr>
            </w:pPr>
          </w:p>
        </w:tc>
        <w:tc>
          <w:tcPr>
            <w:tcW w:w="1924" w:type="dxa"/>
            <w:vAlign w:val="center"/>
          </w:tcPr>
          <w:p w14:paraId="7D573CD4" w14:textId="77777777" w:rsidR="005A0873" w:rsidRDefault="005A0873" w:rsidP="005A0873">
            <w:pPr>
              <w:spacing w:after="0"/>
              <w:jc w:val="center"/>
              <w:rPr>
                <w:rFonts w:ascii="Calibri" w:eastAsia="Times New Roman" w:hAnsi="Calibri" w:cs="Calibri"/>
                <w:color w:val="000000"/>
                <w:szCs w:val="22"/>
              </w:rPr>
            </w:pPr>
          </w:p>
        </w:tc>
      </w:tr>
      <w:tr w:rsidR="005A0873" w:rsidRPr="00866D4B" w14:paraId="31CE7FF0" w14:textId="77777777" w:rsidTr="005A0873">
        <w:trPr>
          <w:trHeight w:val="300"/>
        </w:trPr>
        <w:tc>
          <w:tcPr>
            <w:tcW w:w="4945" w:type="dxa"/>
          </w:tcPr>
          <w:p w14:paraId="350A7B89" w14:textId="77777777" w:rsidR="005A0873" w:rsidRPr="001963FC" w:rsidRDefault="005A0873" w:rsidP="005A0873">
            <w:pPr>
              <w:spacing w:after="0"/>
              <w:rPr>
                <w:rFonts w:ascii="Calibri" w:eastAsia="Times New Roman" w:hAnsi="Calibri" w:cs="Calibri"/>
                <w:color w:val="000000"/>
                <w:szCs w:val="22"/>
              </w:rPr>
            </w:pPr>
            <w:r w:rsidRPr="000B7600">
              <w:rPr>
                <w:rFonts w:ascii="Calibri" w:eastAsia="Times New Roman" w:hAnsi="Calibri" w:cs="Calibri"/>
                <w:color w:val="000000"/>
                <w:szCs w:val="22"/>
              </w:rPr>
              <w:t>SB1383 organic waste to POTW multiplier</w:t>
            </w:r>
          </w:p>
        </w:tc>
        <w:tc>
          <w:tcPr>
            <w:tcW w:w="991" w:type="dxa"/>
            <w:vAlign w:val="center"/>
          </w:tcPr>
          <w:p w14:paraId="6E321121" w14:textId="77777777" w:rsidR="005A0873" w:rsidRPr="00866D4B" w:rsidRDefault="005A0873" w:rsidP="005A0873">
            <w:pPr>
              <w:spacing w:after="0"/>
              <w:jc w:val="center"/>
              <w:rPr>
                <w:rFonts w:ascii="Calibri" w:eastAsia="Times New Roman" w:hAnsi="Calibri" w:cs="Calibri"/>
                <w:color w:val="000000"/>
                <w:szCs w:val="22"/>
              </w:rPr>
            </w:pPr>
            <w:r>
              <w:rPr>
                <w:rFonts w:ascii="Calibri" w:eastAsia="Times New Roman" w:hAnsi="Calibri" w:cs="Calibri"/>
                <w:color w:val="000000"/>
                <w:szCs w:val="22"/>
              </w:rPr>
              <w:t>no</w:t>
            </w:r>
          </w:p>
        </w:tc>
        <w:tc>
          <w:tcPr>
            <w:tcW w:w="1675" w:type="dxa"/>
            <w:vAlign w:val="center"/>
          </w:tcPr>
          <w:p w14:paraId="11C82171" w14:textId="77777777" w:rsidR="005A0873" w:rsidRDefault="005A0873" w:rsidP="005A0873">
            <w:pPr>
              <w:spacing w:after="0"/>
              <w:jc w:val="center"/>
              <w:rPr>
                <w:rFonts w:ascii="Calibri" w:eastAsia="Times New Roman" w:hAnsi="Calibri" w:cs="Calibri"/>
                <w:color w:val="000000"/>
                <w:szCs w:val="22"/>
              </w:rPr>
            </w:pPr>
          </w:p>
        </w:tc>
        <w:tc>
          <w:tcPr>
            <w:tcW w:w="1924" w:type="dxa"/>
            <w:vAlign w:val="center"/>
          </w:tcPr>
          <w:p w14:paraId="45B7A8AB" w14:textId="77777777" w:rsidR="005A0873" w:rsidRDefault="005A0873" w:rsidP="005A0873">
            <w:pPr>
              <w:spacing w:after="0"/>
              <w:jc w:val="center"/>
              <w:rPr>
                <w:rFonts w:ascii="Calibri" w:eastAsia="Times New Roman" w:hAnsi="Calibri" w:cs="Calibri"/>
                <w:color w:val="000000"/>
                <w:szCs w:val="22"/>
              </w:rPr>
            </w:pPr>
          </w:p>
        </w:tc>
      </w:tr>
      <w:tr w:rsidR="005A0873" w:rsidRPr="00866D4B" w14:paraId="4965DF46" w14:textId="77777777" w:rsidTr="005A0873">
        <w:trPr>
          <w:trHeight w:val="300"/>
        </w:trPr>
        <w:tc>
          <w:tcPr>
            <w:tcW w:w="4945" w:type="dxa"/>
          </w:tcPr>
          <w:p w14:paraId="5A0EEF88" w14:textId="77777777" w:rsidR="005A0873" w:rsidRPr="001963FC" w:rsidRDefault="005A0873" w:rsidP="005A0873">
            <w:pPr>
              <w:spacing w:after="0"/>
              <w:rPr>
                <w:rFonts w:ascii="Calibri" w:eastAsia="Times New Roman" w:hAnsi="Calibri" w:cs="Calibri"/>
                <w:color w:val="000000"/>
                <w:szCs w:val="22"/>
              </w:rPr>
            </w:pPr>
            <w:r w:rsidRPr="000B7600">
              <w:rPr>
                <w:rFonts w:ascii="Calibri" w:eastAsia="Times New Roman" w:hAnsi="Calibri" w:cs="Calibri"/>
                <w:color w:val="000000"/>
                <w:szCs w:val="22"/>
              </w:rPr>
              <w:t>Seeding demo plants duration</w:t>
            </w:r>
          </w:p>
        </w:tc>
        <w:tc>
          <w:tcPr>
            <w:tcW w:w="991" w:type="dxa"/>
            <w:vAlign w:val="center"/>
          </w:tcPr>
          <w:p w14:paraId="0A0809FA" w14:textId="77777777" w:rsidR="005A0873" w:rsidRPr="00866D4B" w:rsidRDefault="005A0873" w:rsidP="005A0873">
            <w:pPr>
              <w:spacing w:after="0"/>
              <w:jc w:val="center"/>
              <w:rPr>
                <w:rFonts w:ascii="Calibri" w:eastAsia="Times New Roman" w:hAnsi="Calibri" w:cs="Calibri"/>
                <w:color w:val="000000"/>
                <w:szCs w:val="22"/>
              </w:rPr>
            </w:pPr>
            <w:r>
              <w:rPr>
                <w:rFonts w:ascii="Calibri" w:eastAsia="Times New Roman" w:hAnsi="Calibri" w:cs="Calibri"/>
                <w:color w:val="000000"/>
                <w:szCs w:val="22"/>
              </w:rPr>
              <w:t>no</w:t>
            </w:r>
          </w:p>
        </w:tc>
        <w:tc>
          <w:tcPr>
            <w:tcW w:w="1675" w:type="dxa"/>
            <w:vAlign w:val="center"/>
          </w:tcPr>
          <w:p w14:paraId="71737FED" w14:textId="77777777" w:rsidR="005A0873" w:rsidRDefault="005A0873" w:rsidP="005A0873">
            <w:pPr>
              <w:spacing w:after="0"/>
              <w:jc w:val="center"/>
              <w:rPr>
                <w:rFonts w:ascii="Calibri" w:eastAsia="Times New Roman" w:hAnsi="Calibri" w:cs="Calibri"/>
                <w:color w:val="000000"/>
                <w:szCs w:val="22"/>
              </w:rPr>
            </w:pPr>
          </w:p>
        </w:tc>
        <w:tc>
          <w:tcPr>
            <w:tcW w:w="1924" w:type="dxa"/>
            <w:vAlign w:val="center"/>
          </w:tcPr>
          <w:p w14:paraId="76FFAB91" w14:textId="77777777" w:rsidR="005A0873" w:rsidRDefault="005A0873" w:rsidP="005A0873">
            <w:pPr>
              <w:spacing w:after="0"/>
              <w:jc w:val="center"/>
              <w:rPr>
                <w:rFonts w:ascii="Calibri" w:eastAsia="Times New Roman" w:hAnsi="Calibri" w:cs="Calibri"/>
                <w:color w:val="000000"/>
                <w:szCs w:val="22"/>
              </w:rPr>
            </w:pPr>
          </w:p>
        </w:tc>
      </w:tr>
      <w:tr w:rsidR="005A0873" w:rsidRPr="00866D4B" w14:paraId="37F98EF0" w14:textId="77777777" w:rsidTr="005A0873">
        <w:trPr>
          <w:trHeight w:val="300"/>
        </w:trPr>
        <w:tc>
          <w:tcPr>
            <w:tcW w:w="4945" w:type="dxa"/>
          </w:tcPr>
          <w:p w14:paraId="6433552C" w14:textId="77777777" w:rsidR="005A0873" w:rsidRPr="001963FC" w:rsidRDefault="005A0873" w:rsidP="005A0873">
            <w:pPr>
              <w:spacing w:after="0"/>
              <w:rPr>
                <w:rFonts w:ascii="Calibri" w:eastAsia="Times New Roman" w:hAnsi="Calibri" w:cs="Calibri"/>
                <w:color w:val="000000"/>
                <w:szCs w:val="22"/>
              </w:rPr>
            </w:pPr>
            <w:r w:rsidRPr="000B7600">
              <w:rPr>
                <w:rFonts w:ascii="Calibri" w:eastAsia="Times New Roman" w:hAnsi="Calibri" w:cs="Calibri"/>
                <w:color w:val="000000"/>
                <w:szCs w:val="22"/>
              </w:rPr>
              <w:t>Seeding demo plants start time</w:t>
            </w:r>
          </w:p>
        </w:tc>
        <w:tc>
          <w:tcPr>
            <w:tcW w:w="991" w:type="dxa"/>
            <w:vAlign w:val="center"/>
          </w:tcPr>
          <w:p w14:paraId="20576389" w14:textId="77777777" w:rsidR="005A0873" w:rsidRPr="00866D4B" w:rsidRDefault="005A0873" w:rsidP="005A0873">
            <w:pPr>
              <w:spacing w:after="0"/>
              <w:jc w:val="center"/>
              <w:rPr>
                <w:rFonts w:ascii="Calibri" w:eastAsia="Times New Roman" w:hAnsi="Calibri" w:cs="Calibri"/>
                <w:color w:val="000000"/>
                <w:szCs w:val="22"/>
              </w:rPr>
            </w:pPr>
            <w:r>
              <w:rPr>
                <w:rFonts w:ascii="Calibri" w:eastAsia="Times New Roman" w:hAnsi="Calibri" w:cs="Calibri"/>
                <w:color w:val="000000"/>
                <w:szCs w:val="22"/>
              </w:rPr>
              <w:t>no</w:t>
            </w:r>
          </w:p>
        </w:tc>
        <w:tc>
          <w:tcPr>
            <w:tcW w:w="1675" w:type="dxa"/>
            <w:vAlign w:val="center"/>
          </w:tcPr>
          <w:p w14:paraId="53923D7C" w14:textId="77777777" w:rsidR="005A0873" w:rsidRDefault="005A0873" w:rsidP="005A0873">
            <w:pPr>
              <w:spacing w:after="0"/>
              <w:jc w:val="center"/>
              <w:rPr>
                <w:rFonts w:ascii="Calibri" w:eastAsia="Times New Roman" w:hAnsi="Calibri" w:cs="Calibri"/>
                <w:color w:val="000000"/>
                <w:szCs w:val="22"/>
              </w:rPr>
            </w:pPr>
          </w:p>
        </w:tc>
        <w:tc>
          <w:tcPr>
            <w:tcW w:w="1924" w:type="dxa"/>
            <w:vAlign w:val="center"/>
          </w:tcPr>
          <w:p w14:paraId="2C4D9929" w14:textId="77777777" w:rsidR="005A0873" w:rsidRDefault="005A0873" w:rsidP="005A0873">
            <w:pPr>
              <w:spacing w:after="0"/>
              <w:jc w:val="center"/>
              <w:rPr>
                <w:rFonts w:ascii="Calibri" w:eastAsia="Times New Roman" w:hAnsi="Calibri" w:cs="Calibri"/>
                <w:color w:val="000000"/>
                <w:szCs w:val="22"/>
              </w:rPr>
            </w:pPr>
          </w:p>
        </w:tc>
      </w:tr>
      <w:tr w:rsidR="005A0873" w:rsidRPr="00866D4B" w14:paraId="726579ED" w14:textId="77777777" w:rsidTr="005A0873">
        <w:trPr>
          <w:trHeight w:val="300"/>
        </w:trPr>
        <w:tc>
          <w:tcPr>
            <w:tcW w:w="4945" w:type="dxa"/>
          </w:tcPr>
          <w:p w14:paraId="7BED6D3E" w14:textId="77777777" w:rsidR="005A0873" w:rsidRPr="001963FC" w:rsidRDefault="005A0873" w:rsidP="005A0873">
            <w:pPr>
              <w:spacing w:after="0"/>
              <w:rPr>
                <w:rFonts w:ascii="Calibri" w:eastAsia="Times New Roman" w:hAnsi="Calibri" w:cs="Calibri"/>
                <w:color w:val="000000"/>
                <w:szCs w:val="22"/>
              </w:rPr>
            </w:pPr>
            <w:r w:rsidRPr="000B7600">
              <w:rPr>
                <w:rFonts w:ascii="Calibri" w:eastAsia="Times New Roman" w:hAnsi="Calibri" w:cs="Calibri"/>
                <w:color w:val="000000"/>
                <w:szCs w:val="22"/>
              </w:rPr>
              <w:t>Effect of seeding demo plants on maturity for HTL</w:t>
            </w:r>
          </w:p>
        </w:tc>
        <w:tc>
          <w:tcPr>
            <w:tcW w:w="991" w:type="dxa"/>
            <w:vAlign w:val="center"/>
          </w:tcPr>
          <w:p w14:paraId="5E84DE7B" w14:textId="77777777" w:rsidR="005A0873" w:rsidRPr="00866D4B" w:rsidRDefault="005A0873" w:rsidP="005A0873">
            <w:pPr>
              <w:spacing w:after="0"/>
              <w:jc w:val="center"/>
              <w:rPr>
                <w:rFonts w:ascii="Calibri" w:eastAsia="Times New Roman" w:hAnsi="Calibri" w:cs="Calibri"/>
                <w:color w:val="000000"/>
                <w:szCs w:val="22"/>
              </w:rPr>
            </w:pPr>
            <w:r>
              <w:rPr>
                <w:rFonts w:ascii="Calibri" w:eastAsia="Times New Roman" w:hAnsi="Calibri" w:cs="Calibri"/>
                <w:color w:val="000000"/>
                <w:szCs w:val="22"/>
              </w:rPr>
              <w:t>no</w:t>
            </w:r>
          </w:p>
        </w:tc>
        <w:tc>
          <w:tcPr>
            <w:tcW w:w="1675" w:type="dxa"/>
            <w:vAlign w:val="center"/>
          </w:tcPr>
          <w:p w14:paraId="2A57F15F" w14:textId="77777777" w:rsidR="005A0873" w:rsidRPr="00866D4B" w:rsidRDefault="005A0873" w:rsidP="005A0873">
            <w:pPr>
              <w:spacing w:after="0"/>
              <w:jc w:val="center"/>
              <w:rPr>
                <w:rFonts w:ascii="Calibri" w:eastAsia="Times New Roman" w:hAnsi="Calibri" w:cs="Calibri"/>
                <w:color w:val="000000"/>
                <w:szCs w:val="22"/>
              </w:rPr>
            </w:pPr>
          </w:p>
        </w:tc>
        <w:tc>
          <w:tcPr>
            <w:tcW w:w="1924" w:type="dxa"/>
            <w:vAlign w:val="center"/>
          </w:tcPr>
          <w:p w14:paraId="0AD39771" w14:textId="77777777" w:rsidR="005A0873" w:rsidRPr="00780478" w:rsidRDefault="005A0873" w:rsidP="005A0873">
            <w:pPr>
              <w:spacing w:after="0"/>
              <w:jc w:val="center"/>
              <w:rPr>
                <w:rFonts w:ascii="Calibri" w:eastAsia="Times New Roman" w:hAnsi="Calibri" w:cs="Calibri"/>
                <w:color w:val="000000"/>
              </w:rPr>
            </w:pPr>
          </w:p>
        </w:tc>
      </w:tr>
      <w:tr w:rsidR="005A0873" w:rsidRPr="00866D4B" w14:paraId="59AE63E1" w14:textId="77777777" w:rsidTr="005A0873">
        <w:trPr>
          <w:trHeight w:val="300"/>
        </w:trPr>
        <w:tc>
          <w:tcPr>
            <w:tcW w:w="4945" w:type="dxa"/>
          </w:tcPr>
          <w:p w14:paraId="3A037BEC" w14:textId="77777777" w:rsidR="005A0873" w:rsidRPr="000B7600" w:rsidRDefault="005A0873" w:rsidP="005A0873">
            <w:pPr>
              <w:spacing w:after="0"/>
              <w:rPr>
                <w:rFonts w:ascii="Calibri" w:eastAsia="Times New Roman" w:hAnsi="Calibri" w:cs="Calibri"/>
                <w:color w:val="000000"/>
                <w:szCs w:val="22"/>
              </w:rPr>
            </w:pPr>
            <w:r w:rsidRPr="000B7600">
              <w:rPr>
                <w:rFonts w:ascii="Calibri" w:eastAsia="Times New Roman" w:hAnsi="Calibri" w:cs="Calibri"/>
                <w:color w:val="000000"/>
                <w:szCs w:val="22"/>
              </w:rPr>
              <w:t>AEO selector</w:t>
            </w:r>
          </w:p>
        </w:tc>
        <w:tc>
          <w:tcPr>
            <w:tcW w:w="991" w:type="dxa"/>
            <w:vAlign w:val="center"/>
          </w:tcPr>
          <w:p w14:paraId="32B5EC45" w14:textId="77777777" w:rsidR="005A0873" w:rsidRDefault="005A0873" w:rsidP="005A0873">
            <w:pPr>
              <w:spacing w:after="0"/>
              <w:jc w:val="center"/>
              <w:rPr>
                <w:rFonts w:ascii="Calibri" w:eastAsia="Times New Roman" w:hAnsi="Calibri" w:cs="Calibri"/>
                <w:color w:val="000000"/>
                <w:szCs w:val="22"/>
              </w:rPr>
            </w:pPr>
            <w:r>
              <w:rPr>
                <w:rFonts w:ascii="Calibri" w:eastAsia="Times New Roman" w:hAnsi="Calibri" w:cs="Calibri"/>
                <w:color w:val="000000"/>
                <w:szCs w:val="22"/>
              </w:rPr>
              <w:t>no</w:t>
            </w:r>
          </w:p>
        </w:tc>
        <w:tc>
          <w:tcPr>
            <w:tcW w:w="1675" w:type="dxa"/>
            <w:vAlign w:val="center"/>
          </w:tcPr>
          <w:p w14:paraId="0835DD40" w14:textId="77777777" w:rsidR="005A0873" w:rsidRPr="00866D4B" w:rsidRDefault="005A0873" w:rsidP="005A0873">
            <w:pPr>
              <w:spacing w:after="0"/>
              <w:jc w:val="center"/>
              <w:rPr>
                <w:rFonts w:ascii="Calibri" w:eastAsia="Times New Roman" w:hAnsi="Calibri" w:cs="Calibri"/>
                <w:color w:val="000000"/>
                <w:szCs w:val="22"/>
              </w:rPr>
            </w:pPr>
          </w:p>
        </w:tc>
        <w:tc>
          <w:tcPr>
            <w:tcW w:w="1924" w:type="dxa"/>
            <w:vAlign w:val="center"/>
          </w:tcPr>
          <w:p w14:paraId="15758CFC" w14:textId="77777777" w:rsidR="005A0873" w:rsidRPr="00780478" w:rsidRDefault="005A0873" w:rsidP="005A0873">
            <w:pPr>
              <w:spacing w:after="0"/>
              <w:jc w:val="center"/>
              <w:rPr>
                <w:rFonts w:ascii="Calibri" w:eastAsia="Times New Roman" w:hAnsi="Calibri" w:cs="Calibri"/>
                <w:color w:val="000000"/>
              </w:rPr>
            </w:pPr>
          </w:p>
        </w:tc>
      </w:tr>
    </w:tbl>
    <w:p w14:paraId="2F5530E6" w14:textId="445E2643" w:rsidR="00401B56" w:rsidRDefault="00401B56" w:rsidP="00401B56">
      <w:pPr>
        <w:rPr>
          <w:b/>
        </w:rPr>
      </w:pPr>
      <w:r>
        <w:rPr>
          <w:b/>
        </w:rPr>
        <w:t xml:space="preserve">Table 2. </w:t>
      </w:r>
      <w:r w:rsidR="001963FC">
        <w:rPr>
          <w:b/>
        </w:rPr>
        <w:t>Relative importance</w:t>
      </w:r>
      <w:r>
        <w:rPr>
          <w:b/>
        </w:rPr>
        <w:t xml:space="preserve"> </w:t>
      </w:r>
      <w:r w:rsidR="001963FC">
        <w:rPr>
          <w:b/>
        </w:rPr>
        <w:t xml:space="preserve">of factors </w:t>
      </w:r>
      <w:r>
        <w:rPr>
          <w:b/>
        </w:rPr>
        <w:t xml:space="preserve">for </w:t>
      </w:r>
      <w:r w:rsidR="007D2C90">
        <w:rPr>
          <w:b/>
        </w:rPr>
        <w:t xml:space="preserve">cumulative </w:t>
      </w:r>
      <w:r>
        <w:rPr>
          <w:b/>
        </w:rPr>
        <w:t xml:space="preserve">HTL energy production </w:t>
      </w:r>
      <w:r w:rsidR="001963FC">
        <w:rPr>
          <w:b/>
        </w:rPr>
        <w:t>and</w:t>
      </w:r>
      <w:r>
        <w:rPr>
          <w:b/>
        </w:rPr>
        <w:t xml:space="preserve"> </w:t>
      </w:r>
      <w:r w:rsidR="00B01061">
        <w:rPr>
          <w:b/>
        </w:rPr>
        <w:t>t</w:t>
      </w:r>
      <w:r>
        <w:rPr>
          <w:b/>
        </w:rPr>
        <w:t>otal energy production</w:t>
      </w:r>
      <w:r w:rsidR="007D2C90">
        <w:rPr>
          <w:b/>
        </w:rPr>
        <w:t xml:space="preserve"> from 2015 to 2040. </w:t>
      </w:r>
    </w:p>
    <w:p w14:paraId="126B90CE" w14:textId="63CBAE25" w:rsidR="00401B56" w:rsidRPr="00CA5F9B" w:rsidRDefault="00B01061" w:rsidP="002B1CE6">
      <w:pPr>
        <w:rPr>
          <w:sz w:val="20"/>
        </w:rPr>
      </w:pPr>
      <w:r w:rsidRPr="00CA5F9B">
        <w:rPr>
          <w:sz w:val="20"/>
        </w:rPr>
        <w:t xml:space="preserve"> </w:t>
      </w:r>
      <w:r w:rsidR="00401B56" w:rsidRPr="00CA5F9B">
        <w:rPr>
          <w:sz w:val="20"/>
        </w:rPr>
        <w:t xml:space="preserve">Note: The </w:t>
      </w:r>
      <w:r w:rsidR="003C6EA1" w:rsidRPr="00CA5F9B">
        <w:rPr>
          <w:sz w:val="20"/>
        </w:rPr>
        <w:t>“F</w:t>
      </w:r>
      <w:r w:rsidR="00401B56" w:rsidRPr="00CA5F9B">
        <w:rPr>
          <w:sz w:val="20"/>
        </w:rPr>
        <w:t>actor</w:t>
      </w:r>
      <w:r w:rsidR="003C6EA1" w:rsidRPr="00CA5F9B">
        <w:rPr>
          <w:sz w:val="20"/>
        </w:rPr>
        <w:t>”</w:t>
      </w:r>
      <w:r w:rsidR="00401B56" w:rsidRPr="00CA5F9B">
        <w:rPr>
          <w:sz w:val="20"/>
        </w:rPr>
        <w:t xml:space="preserve"> column lists each of the factors that were varied in th</w:t>
      </w:r>
      <w:r w:rsidR="001963FC" w:rsidRPr="00CA5F9B">
        <w:rPr>
          <w:sz w:val="20"/>
        </w:rPr>
        <w:t xml:space="preserve">is </w:t>
      </w:r>
      <w:r w:rsidR="00401B56" w:rsidRPr="00CA5F9B">
        <w:rPr>
          <w:sz w:val="20"/>
        </w:rPr>
        <w:t xml:space="preserve">analysis. These were selected based on previous variance-based sensitivity analysis. The remaining columns show the relative importance for HTL and </w:t>
      </w:r>
      <w:r>
        <w:rPr>
          <w:sz w:val="20"/>
        </w:rPr>
        <w:t>t</w:t>
      </w:r>
      <w:r w:rsidR="00401B56" w:rsidRPr="00CA5F9B">
        <w:rPr>
          <w:sz w:val="20"/>
        </w:rPr>
        <w:t>otal energy production of each of the factors that explains more than 5% of the variance, in combination with other factors.</w:t>
      </w:r>
      <w:r w:rsidR="00830A5B">
        <w:rPr>
          <w:sz w:val="20"/>
        </w:rPr>
        <w:t xml:space="preserve"> Abbreviations: </w:t>
      </w:r>
      <w:r w:rsidR="00830A5B" w:rsidRPr="00245386">
        <w:rPr>
          <w:sz w:val="20"/>
          <w:szCs w:val="20"/>
        </w:rPr>
        <w:t xml:space="preserve">HTL = hydrothermal liquefaction; RIN = Renewable Identification Number; PTC REC = Production Tax Credit </w:t>
      </w:r>
      <w:r w:rsidR="00830A5B">
        <w:rPr>
          <w:sz w:val="20"/>
          <w:szCs w:val="20"/>
        </w:rPr>
        <w:t>R</w:t>
      </w:r>
      <w:r w:rsidR="00830A5B" w:rsidRPr="00245386">
        <w:rPr>
          <w:sz w:val="20"/>
          <w:szCs w:val="20"/>
        </w:rPr>
        <w:t xml:space="preserve">enewable </w:t>
      </w:r>
      <w:r w:rsidR="00830A5B">
        <w:rPr>
          <w:sz w:val="20"/>
          <w:szCs w:val="20"/>
        </w:rPr>
        <w:t>E</w:t>
      </w:r>
      <w:r w:rsidR="00830A5B" w:rsidRPr="00245386">
        <w:rPr>
          <w:sz w:val="20"/>
          <w:szCs w:val="20"/>
        </w:rPr>
        <w:t xml:space="preserve">lectricity </w:t>
      </w:r>
      <w:r w:rsidR="00830A5B">
        <w:rPr>
          <w:sz w:val="20"/>
          <w:szCs w:val="20"/>
        </w:rPr>
        <w:t>C</w:t>
      </w:r>
      <w:r w:rsidR="00830A5B" w:rsidRPr="00245386">
        <w:rPr>
          <w:sz w:val="20"/>
          <w:szCs w:val="20"/>
        </w:rPr>
        <w:t xml:space="preserve">redit; </w:t>
      </w:r>
      <w:r w:rsidR="00830A5B">
        <w:rPr>
          <w:sz w:val="20"/>
          <w:szCs w:val="20"/>
        </w:rPr>
        <w:t xml:space="preserve">CHP = Combined Heat and Power; </w:t>
      </w:r>
      <w:r w:rsidR="00620F6D">
        <w:rPr>
          <w:sz w:val="20"/>
          <w:szCs w:val="20"/>
        </w:rPr>
        <w:t xml:space="preserve">CNG = Compressed Natural Gas; </w:t>
      </w:r>
      <w:r w:rsidR="00830A5B">
        <w:rPr>
          <w:sz w:val="20"/>
          <w:szCs w:val="20"/>
        </w:rPr>
        <w:t xml:space="preserve">Elec = Electricity; PNG = Pipeline Natural Gas; </w:t>
      </w:r>
      <w:r w:rsidR="00830A5B" w:rsidRPr="00245386">
        <w:rPr>
          <w:sz w:val="20"/>
          <w:szCs w:val="20"/>
        </w:rPr>
        <w:t>LCFS = low carbon fuel standard; SB1383 = California Senate Bill 1383; POTW = publicly owned treatment work</w:t>
      </w:r>
      <w:r w:rsidR="00830A5B">
        <w:rPr>
          <w:sz w:val="20"/>
          <w:szCs w:val="20"/>
        </w:rPr>
        <w:t>s</w:t>
      </w:r>
      <w:r w:rsidR="00830A5B" w:rsidRPr="00245386">
        <w:rPr>
          <w:sz w:val="20"/>
          <w:szCs w:val="20"/>
        </w:rPr>
        <w:t>; AEO = Annual Energy Outlook.</w:t>
      </w:r>
    </w:p>
    <w:p w14:paraId="2B0D540A" w14:textId="77777777" w:rsidR="00401B56" w:rsidRDefault="00401B56" w:rsidP="002B1CE6">
      <w:pPr>
        <w:rPr>
          <w:b/>
        </w:rPr>
      </w:pPr>
    </w:p>
    <w:p w14:paraId="74B8AADB" w14:textId="634B26BC" w:rsidR="002B1CE6" w:rsidRPr="00EE0E06" w:rsidRDefault="002B1CE6" w:rsidP="002B1CE6">
      <w:pPr>
        <w:rPr>
          <w:b/>
        </w:rPr>
      </w:pPr>
      <w:r w:rsidRPr="00EE0E06">
        <w:rPr>
          <w:b/>
        </w:rPr>
        <w:t>Insight #</w:t>
      </w:r>
      <w:r w:rsidR="00F16772">
        <w:rPr>
          <w:b/>
        </w:rPr>
        <w:t>3</w:t>
      </w:r>
      <w:r w:rsidRPr="00EE0E06">
        <w:rPr>
          <w:b/>
        </w:rPr>
        <w:t>.</w:t>
      </w:r>
      <w:r w:rsidR="00257E36">
        <w:rPr>
          <w:b/>
        </w:rPr>
        <w:t xml:space="preserve"> </w:t>
      </w:r>
      <w:r w:rsidR="009F760D" w:rsidRPr="009F760D">
        <w:rPr>
          <w:b/>
        </w:rPr>
        <w:t xml:space="preserve">The factors that are most important to HTL production </w:t>
      </w:r>
      <w:r w:rsidR="004164F9">
        <w:rPr>
          <w:b/>
        </w:rPr>
        <w:t>relate</w:t>
      </w:r>
      <w:r w:rsidR="004164F9" w:rsidRPr="009F760D">
        <w:rPr>
          <w:b/>
        </w:rPr>
        <w:t xml:space="preserve"> </w:t>
      </w:r>
      <w:r w:rsidR="009F760D" w:rsidRPr="009F760D">
        <w:rPr>
          <w:b/>
        </w:rPr>
        <w:t xml:space="preserve">to different aspects of the </w:t>
      </w:r>
      <w:r w:rsidR="005B167C">
        <w:rPr>
          <w:b/>
        </w:rPr>
        <w:t>WTE</w:t>
      </w:r>
      <w:r w:rsidR="009F760D" w:rsidRPr="009F760D">
        <w:rPr>
          <w:b/>
        </w:rPr>
        <w:t xml:space="preserve"> supply chain, including </w:t>
      </w:r>
      <w:r w:rsidR="005B167C">
        <w:rPr>
          <w:b/>
        </w:rPr>
        <w:t>WTE</w:t>
      </w:r>
      <w:r w:rsidR="004C11A8" w:rsidRPr="009F760D">
        <w:rPr>
          <w:b/>
        </w:rPr>
        <w:t xml:space="preserve"> technology development, policy incentives, </w:t>
      </w:r>
      <w:r w:rsidR="009F760D" w:rsidRPr="009F760D">
        <w:rPr>
          <w:b/>
        </w:rPr>
        <w:t xml:space="preserve">waste management </w:t>
      </w:r>
      <w:r w:rsidR="004164F9">
        <w:rPr>
          <w:b/>
        </w:rPr>
        <w:t>costs</w:t>
      </w:r>
      <w:r w:rsidR="009F760D" w:rsidRPr="009F760D">
        <w:rPr>
          <w:b/>
        </w:rPr>
        <w:t>, and expenses during construction</w:t>
      </w:r>
      <w:r w:rsidR="0079339F" w:rsidRPr="00EE0E06">
        <w:rPr>
          <w:b/>
        </w:rPr>
        <w:t>.</w:t>
      </w:r>
      <w:r w:rsidR="0079339F" w:rsidRPr="00EE0E06" w:rsidDel="0079339F">
        <w:rPr>
          <w:b/>
        </w:rPr>
        <w:t xml:space="preserve"> </w:t>
      </w:r>
    </w:p>
    <w:p w14:paraId="5A18D503" w14:textId="668A5A6C" w:rsidR="00642CDD" w:rsidRDefault="00442DE1">
      <w:pPr>
        <w:rPr>
          <w:b/>
          <w:noProof/>
        </w:rPr>
      </w:pPr>
      <w:r>
        <w:t xml:space="preserve">The factors that are most important to HTL production relate to </w:t>
      </w:r>
      <w:r w:rsidR="005B167C">
        <w:t>WTE</w:t>
      </w:r>
      <w:r w:rsidR="00B01061">
        <w:t xml:space="preserve"> technology development (initial commercial maturity of HTL), policy incentives (the RIN multiplier and the PTC REC multiplier), </w:t>
      </w:r>
      <w:r>
        <w:t xml:space="preserve">the waste </w:t>
      </w:r>
      <w:r w:rsidR="00E25EF5">
        <w:t>management costs (</w:t>
      </w:r>
      <w:r w:rsidR="00611A44">
        <w:t>disposal cost</w:t>
      </w:r>
      <w:r w:rsidR="00E25EF5">
        <w:t>)</w:t>
      </w:r>
      <w:r>
        <w:t>, and expenses during construction (</w:t>
      </w:r>
      <w:r w:rsidR="00E25EF5">
        <w:t>construction duration multiplier</w:t>
      </w:r>
      <w:r>
        <w:t xml:space="preserve">). </w:t>
      </w:r>
      <w:r w:rsidR="00602D46">
        <w:lastRenderedPageBreak/>
        <w:t xml:space="preserve">Figure </w:t>
      </w:r>
      <w:r w:rsidR="00F942B4">
        <w:t>2</w:t>
      </w:r>
      <w:r w:rsidR="00602D46">
        <w:t xml:space="preserve"> shows where these factors fall on a generic diagram of the </w:t>
      </w:r>
      <w:r w:rsidR="005B167C">
        <w:t>WTE</w:t>
      </w:r>
      <w:r w:rsidR="00602D46">
        <w:t xml:space="preserve"> supply chain. </w:t>
      </w:r>
      <w:r w:rsidR="002B2B76">
        <w:t xml:space="preserve">Table </w:t>
      </w:r>
      <w:r w:rsidR="00602D46">
        <w:t>3</w:t>
      </w:r>
      <w:r w:rsidR="002B2B76">
        <w:t xml:space="preserve"> shows each factor with an explanation of the mechanism by which it influences HTL production</w:t>
      </w:r>
      <w:r w:rsidR="009D76EB">
        <w:t xml:space="preserve"> and </w:t>
      </w:r>
      <w:r w:rsidR="00E25EF5">
        <w:t xml:space="preserve">the </w:t>
      </w:r>
      <w:r w:rsidR="009D76EB">
        <w:t>related default values from the model.</w:t>
      </w:r>
      <w:r w:rsidR="00642CDD" w:rsidRPr="00642CDD">
        <w:rPr>
          <w:b/>
          <w:noProof/>
        </w:rPr>
        <w:t xml:space="preserve"> </w:t>
      </w:r>
    </w:p>
    <w:p w14:paraId="6743DE2B" w14:textId="1CF7E9ED" w:rsidR="00642CDD" w:rsidRDefault="00720B6E">
      <w:r w:rsidRPr="005B2BF8">
        <w:rPr>
          <w:b/>
          <w:noProof/>
        </w:rPr>
        <w:drawing>
          <wp:inline distT="0" distB="0" distL="0" distR="0" wp14:anchorId="6DD5ECAE" wp14:editId="42E5C945">
            <wp:extent cx="5702828" cy="3905250"/>
            <wp:effectExtent l="0" t="0" r="0" b="0"/>
            <wp:docPr id="3" name="Picture 2">
              <a:extLst xmlns:a="http://schemas.openxmlformats.org/drawingml/2006/main">
                <a:ext uri="{FF2B5EF4-FFF2-40B4-BE49-F238E27FC236}">
                  <a16:creationId xmlns:a16="http://schemas.microsoft.com/office/drawing/2014/main" id="{106DAC62-19D0-4204-93D8-CEE36D2C27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06DAC62-19D0-4204-93D8-CEE36D2C27C3}"/>
                        </a:ext>
                      </a:extLst>
                    </pic:cNvPr>
                    <pic:cNvPicPr>
                      <a:picLocks noChangeAspect="1"/>
                    </pic:cNvPicPr>
                  </pic:nvPicPr>
                  <pic:blipFill>
                    <a:blip r:embed="rId10"/>
                    <a:stretch>
                      <a:fillRect/>
                    </a:stretch>
                  </pic:blipFill>
                  <pic:spPr>
                    <a:xfrm>
                      <a:off x="0" y="0"/>
                      <a:ext cx="5707659" cy="3908559"/>
                    </a:xfrm>
                    <a:prstGeom prst="rect">
                      <a:avLst/>
                    </a:prstGeom>
                  </pic:spPr>
                </pic:pic>
              </a:graphicData>
            </a:graphic>
          </wp:inline>
        </w:drawing>
      </w:r>
    </w:p>
    <w:p w14:paraId="4A3E0A38" w14:textId="332F02C7" w:rsidR="00720B6E" w:rsidRDefault="00720B6E">
      <w:pPr>
        <w:rPr>
          <w:b/>
          <w:noProof/>
        </w:rPr>
      </w:pPr>
      <w:r>
        <w:rPr>
          <w:b/>
        </w:rPr>
        <w:t xml:space="preserve">Figure 2. Position of influential factors in supply chain. </w:t>
      </w:r>
      <w:r w:rsidRPr="00257E36">
        <w:t xml:space="preserve">Abbreviations: </w:t>
      </w:r>
      <w:r>
        <w:t xml:space="preserve">CAFO = Concentrated Animal Feeding Operations; POTW = Waste Water Treatment Plants (POTWs); </w:t>
      </w:r>
      <w:r w:rsidRPr="00257E36">
        <w:t xml:space="preserve">RIN = Renewable Identification Number; PTC REC = Production Tax Credit </w:t>
      </w:r>
      <w:r>
        <w:t>R</w:t>
      </w:r>
      <w:r w:rsidRPr="00257E36">
        <w:t xml:space="preserve">enewable </w:t>
      </w:r>
      <w:r>
        <w:t>E</w:t>
      </w:r>
      <w:r w:rsidRPr="00257E36">
        <w:t xml:space="preserve">lectricity </w:t>
      </w:r>
      <w:r>
        <w:t>C</w:t>
      </w:r>
      <w:r w:rsidRPr="00257E36">
        <w:t>redit; HTL = hydrothermal liquefaction.</w:t>
      </w:r>
      <w:r>
        <w:rPr>
          <w:b/>
        </w:rPr>
        <w:t xml:space="preserve"> </w:t>
      </w:r>
      <w:r w:rsidRPr="00602D46">
        <w:rPr>
          <w:b/>
        </w:rPr>
        <w:t xml:space="preserve"> </w:t>
      </w:r>
    </w:p>
    <w:p w14:paraId="2761F963" w14:textId="77777777" w:rsidR="00720B6E" w:rsidRDefault="00720B6E"/>
    <w:p w14:paraId="135579CB" w14:textId="77777777" w:rsidR="00720B6E" w:rsidRDefault="00720B6E"/>
    <w:p w14:paraId="713A8FD3" w14:textId="77777777" w:rsidR="00720B6E" w:rsidRDefault="00720B6E"/>
    <w:p w14:paraId="0603D35B" w14:textId="32E35657" w:rsidR="00511CE7" w:rsidRDefault="00511CE7">
      <w:pPr>
        <w:sectPr w:rsidR="00511CE7" w:rsidSect="002D672E">
          <w:pgSz w:w="12240" w:h="15840"/>
          <w:pgMar w:top="1440" w:right="1440" w:bottom="1440" w:left="1440" w:header="720" w:footer="720" w:gutter="0"/>
          <w:cols w:space="720"/>
          <w:docGrid w:linePitch="360"/>
        </w:sectPr>
      </w:pPr>
    </w:p>
    <w:p w14:paraId="786FBD5D" w14:textId="2D4C0AC3" w:rsidR="009D76EB" w:rsidRDefault="009D76EB">
      <w:pPr>
        <w:spacing w:after="160" w:line="259" w:lineRule="auto"/>
        <w:rPr>
          <w:b/>
        </w:rPr>
      </w:pPr>
      <w:r>
        <w:rPr>
          <w:b/>
        </w:rPr>
        <w:lastRenderedPageBreak/>
        <w:t xml:space="preserve">Table </w:t>
      </w:r>
      <w:r w:rsidR="00B14A35">
        <w:rPr>
          <w:b/>
        </w:rPr>
        <w:t>3</w:t>
      </w:r>
      <w:r>
        <w:rPr>
          <w:b/>
        </w:rPr>
        <w:t xml:space="preserve">. </w:t>
      </w:r>
      <w:r w:rsidR="00505BCC">
        <w:rPr>
          <w:b/>
        </w:rPr>
        <w:t xml:space="preserve">Supply </w:t>
      </w:r>
      <w:r w:rsidR="00E25EF5">
        <w:rPr>
          <w:b/>
        </w:rPr>
        <w:t>c</w:t>
      </w:r>
      <w:r w:rsidR="00505BCC">
        <w:rPr>
          <w:b/>
        </w:rPr>
        <w:t>hain element and m</w:t>
      </w:r>
      <w:r>
        <w:rPr>
          <w:b/>
        </w:rPr>
        <w:t>echanism</w:t>
      </w:r>
      <w:r w:rsidR="00783288">
        <w:rPr>
          <w:b/>
        </w:rPr>
        <w:t xml:space="preserve"> </w:t>
      </w:r>
      <w:r>
        <w:rPr>
          <w:b/>
        </w:rPr>
        <w:t xml:space="preserve">of effect </w:t>
      </w:r>
      <w:r w:rsidR="002D3E77">
        <w:rPr>
          <w:b/>
        </w:rPr>
        <w:t xml:space="preserve">for </w:t>
      </w:r>
      <w:r>
        <w:rPr>
          <w:b/>
        </w:rPr>
        <w:t>most important factors</w:t>
      </w:r>
      <w:r w:rsidR="00834EF9">
        <w:rPr>
          <w:b/>
        </w:rPr>
        <w:t xml:space="preserve"> (F)</w:t>
      </w:r>
      <w:r w:rsidR="002D3E77">
        <w:rPr>
          <w:b/>
        </w:rPr>
        <w:t xml:space="preserve">, along with </w:t>
      </w:r>
      <w:r w:rsidR="00783288">
        <w:rPr>
          <w:b/>
        </w:rPr>
        <w:t xml:space="preserve">weighting </w:t>
      </w:r>
      <w:r w:rsidR="00834EF9">
        <w:rPr>
          <w:b/>
        </w:rPr>
        <w:t>parameters (W)</w:t>
      </w:r>
      <w:r w:rsidR="00783288">
        <w:rPr>
          <w:b/>
        </w:rPr>
        <w:t xml:space="preserve"> by technology</w:t>
      </w:r>
    </w:p>
    <w:tbl>
      <w:tblPr>
        <w:tblStyle w:val="TableGrid"/>
        <w:tblpPr w:leftFromText="180" w:rightFromText="180" w:vertAnchor="text" w:horzAnchor="margin" w:tblpY="54"/>
        <w:tblW w:w="14111" w:type="dxa"/>
        <w:tblLook w:val="04A0" w:firstRow="1" w:lastRow="0" w:firstColumn="1" w:lastColumn="0" w:noHBand="0" w:noVBand="1"/>
      </w:tblPr>
      <w:tblGrid>
        <w:gridCol w:w="1398"/>
        <w:gridCol w:w="2281"/>
        <w:gridCol w:w="2524"/>
        <w:gridCol w:w="2079"/>
        <w:gridCol w:w="567"/>
        <w:gridCol w:w="563"/>
        <w:gridCol w:w="576"/>
        <w:gridCol w:w="582"/>
        <w:gridCol w:w="576"/>
        <w:gridCol w:w="582"/>
        <w:gridCol w:w="576"/>
        <w:gridCol w:w="1807"/>
      </w:tblGrid>
      <w:tr w:rsidR="00EE3EE9" w14:paraId="5EAB8EAD" w14:textId="7B8404DC" w:rsidTr="00EE3EE9">
        <w:tc>
          <w:tcPr>
            <w:tcW w:w="1407" w:type="dxa"/>
            <w:vMerge w:val="restart"/>
          </w:tcPr>
          <w:p w14:paraId="6D43EB63" w14:textId="5FB3AE80" w:rsidR="00EE3EE9" w:rsidRPr="00EE3EE9" w:rsidRDefault="00EE3EE9" w:rsidP="003D6C1C">
            <w:pPr>
              <w:spacing w:after="0"/>
              <w:rPr>
                <w:b/>
                <w:sz w:val="20"/>
                <w:szCs w:val="20"/>
              </w:rPr>
            </w:pPr>
            <w:r w:rsidRPr="00EE3EE9">
              <w:rPr>
                <w:b/>
                <w:sz w:val="20"/>
                <w:szCs w:val="20"/>
              </w:rPr>
              <w:t>Supply chain element</w:t>
            </w:r>
          </w:p>
        </w:tc>
        <w:tc>
          <w:tcPr>
            <w:tcW w:w="2365" w:type="dxa"/>
            <w:vMerge w:val="restart"/>
            <w:shd w:val="clear" w:color="auto" w:fill="auto"/>
          </w:tcPr>
          <w:p w14:paraId="215F3E3B" w14:textId="77777777" w:rsidR="00EE3EE9" w:rsidRPr="00EE3EE9" w:rsidRDefault="00EE3EE9" w:rsidP="003D6C1C">
            <w:pPr>
              <w:spacing w:after="0"/>
              <w:rPr>
                <w:b/>
                <w:sz w:val="20"/>
                <w:szCs w:val="20"/>
              </w:rPr>
            </w:pPr>
            <w:r w:rsidRPr="00EE3EE9">
              <w:rPr>
                <w:b/>
                <w:sz w:val="20"/>
                <w:szCs w:val="20"/>
              </w:rPr>
              <w:t xml:space="preserve">F </w:t>
            </w:r>
          </w:p>
          <w:p w14:paraId="1D80B737" w14:textId="41B309B3" w:rsidR="00EE3EE9" w:rsidRPr="00EE3EE9" w:rsidRDefault="00EE3EE9" w:rsidP="003D6C1C">
            <w:pPr>
              <w:spacing w:after="0"/>
              <w:rPr>
                <w:b/>
                <w:sz w:val="20"/>
                <w:szCs w:val="20"/>
              </w:rPr>
            </w:pPr>
            <w:r w:rsidRPr="00EE3EE9">
              <w:rPr>
                <w:b/>
                <w:sz w:val="20"/>
                <w:szCs w:val="20"/>
              </w:rPr>
              <w:t xml:space="preserve">(factor important to energy production; default factor value in parentheses) </w:t>
            </w:r>
          </w:p>
        </w:tc>
        <w:tc>
          <w:tcPr>
            <w:tcW w:w="2607" w:type="dxa"/>
            <w:vMerge w:val="restart"/>
            <w:shd w:val="clear" w:color="auto" w:fill="auto"/>
          </w:tcPr>
          <w:p w14:paraId="6E0188ED" w14:textId="52EB579C" w:rsidR="00EE3EE9" w:rsidRPr="00EE3EE9" w:rsidRDefault="00EE3EE9" w:rsidP="003D6C1C">
            <w:pPr>
              <w:spacing w:after="0"/>
              <w:rPr>
                <w:b/>
                <w:sz w:val="20"/>
                <w:szCs w:val="20"/>
              </w:rPr>
            </w:pPr>
            <w:r w:rsidRPr="00EE3EE9">
              <w:rPr>
                <w:b/>
                <w:sz w:val="20"/>
                <w:szCs w:val="20"/>
              </w:rPr>
              <w:t>Mechanism</w:t>
            </w:r>
          </w:p>
        </w:tc>
        <w:tc>
          <w:tcPr>
            <w:tcW w:w="2157" w:type="dxa"/>
            <w:vMerge w:val="restart"/>
          </w:tcPr>
          <w:p w14:paraId="16ABDDD3" w14:textId="77777777" w:rsidR="00EE3EE9" w:rsidRPr="00EE3EE9" w:rsidRDefault="00EE3EE9" w:rsidP="003D6C1C">
            <w:pPr>
              <w:spacing w:after="0"/>
              <w:rPr>
                <w:b/>
                <w:sz w:val="20"/>
                <w:szCs w:val="20"/>
              </w:rPr>
            </w:pPr>
            <w:r w:rsidRPr="00EE3EE9">
              <w:rPr>
                <w:b/>
                <w:sz w:val="20"/>
                <w:szCs w:val="20"/>
              </w:rPr>
              <w:t>W</w:t>
            </w:r>
          </w:p>
          <w:p w14:paraId="4BEEE508" w14:textId="5622E5A6" w:rsidR="00EE3EE9" w:rsidRPr="00EE3EE9" w:rsidRDefault="00EE3EE9" w:rsidP="003D6C1C">
            <w:pPr>
              <w:spacing w:after="0"/>
              <w:rPr>
                <w:b/>
                <w:sz w:val="20"/>
                <w:szCs w:val="20"/>
              </w:rPr>
            </w:pPr>
            <w:r w:rsidRPr="00EE3EE9">
              <w:rPr>
                <w:b/>
                <w:sz w:val="20"/>
                <w:szCs w:val="20"/>
              </w:rPr>
              <w:t xml:space="preserve">(weighting parameter that gets influenced by factor F) </w:t>
            </w:r>
          </w:p>
        </w:tc>
        <w:tc>
          <w:tcPr>
            <w:tcW w:w="4044" w:type="dxa"/>
            <w:gridSpan w:val="7"/>
            <w:shd w:val="clear" w:color="auto" w:fill="auto"/>
          </w:tcPr>
          <w:p w14:paraId="26D54457" w14:textId="304CF677" w:rsidR="00EE3EE9" w:rsidRPr="00EE3EE9" w:rsidRDefault="00EE3EE9" w:rsidP="003D6C1C">
            <w:pPr>
              <w:spacing w:after="0"/>
              <w:jc w:val="center"/>
              <w:rPr>
                <w:b/>
                <w:sz w:val="20"/>
                <w:szCs w:val="20"/>
              </w:rPr>
            </w:pPr>
            <w:r w:rsidRPr="00EE3EE9">
              <w:rPr>
                <w:b/>
                <w:sz w:val="20"/>
                <w:szCs w:val="20"/>
              </w:rPr>
              <w:t xml:space="preserve">Default value of W </w:t>
            </w:r>
          </w:p>
        </w:tc>
        <w:tc>
          <w:tcPr>
            <w:tcW w:w="1531" w:type="dxa"/>
          </w:tcPr>
          <w:p w14:paraId="12BB60D0" w14:textId="728FC3F3" w:rsidR="00EE3EE9" w:rsidRPr="00EE3EE9" w:rsidRDefault="00EE3EE9" w:rsidP="003D6C1C">
            <w:pPr>
              <w:spacing w:after="0"/>
              <w:jc w:val="center"/>
              <w:rPr>
                <w:b/>
                <w:sz w:val="20"/>
                <w:szCs w:val="20"/>
              </w:rPr>
            </w:pPr>
            <w:commentRangeStart w:id="5"/>
            <w:commentRangeStart w:id="6"/>
            <w:r w:rsidRPr="00EE3EE9">
              <w:rPr>
                <w:b/>
                <w:sz w:val="20"/>
                <w:szCs w:val="20"/>
              </w:rPr>
              <w:t>Effect of factor on energy production</w:t>
            </w:r>
            <w:commentRangeEnd w:id="5"/>
            <w:r w:rsidR="000B3F13">
              <w:rPr>
                <w:rStyle w:val="CommentReference"/>
              </w:rPr>
              <w:commentReference w:id="5"/>
            </w:r>
            <w:commentRangeEnd w:id="6"/>
            <w:r w:rsidR="005A0873">
              <w:rPr>
                <w:rStyle w:val="CommentReference"/>
              </w:rPr>
              <w:commentReference w:id="6"/>
            </w:r>
          </w:p>
        </w:tc>
      </w:tr>
      <w:tr w:rsidR="00EE3EE9" w14:paraId="790EA2B4" w14:textId="397DCCD3" w:rsidTr="00EE3EE9">
        <w:trPr>
          <w:trHeight w:val="144"/>
        </w:trPr>
        <w:tc>
          <w:tcPr>
            <w:tcW w:w="1407" w:type="dxa"/>
            <w:vMerge/>
          </w:tcPr>
          <w:p w14:paraId="59C0C4A0" w14:textId="77777777" w:rsidR="00EE3EE9" w:rsidRPr="00EE3EE9" w:rsidRDefault="00EE3EE9" w:rsidP="00EE3EE9">
            <w:pPr>
              <w:spacing w:after="0"/>
              <w:rPr>
                <w:b/>
                <w:sz w:val="20"/>
                <w:szCs w:val="20"/>
              </w:rPr>
            </w:pPr>
          </w:p>
        </w:tc>
        <w:tc>
          <w:tcPr>
            <w:tcW w:w="2365" w:type="dxa"/>
            <w:vMerge/>
            <w:shd w:val="clear" w:color="auto" w:fill="auto"/>
          </w:tcPr>
          <w:p w14:paraId="768D7137" w14:textId="0E0B42CF" w:rsidR="00EE3EE9" w:rsidRPr="00EE3EE9" w:rsidRDefault="00EE3EE9" w:rsidP="00EE3EE9">
            <w:pPr>
              <w:spacing w:after="0"/>
              <w:rPr>
                <w:b/>
                <w:sz w:val="20"/>
                <w:szCs w:val="20"/>
              </w:rPr>
            </w:pPr>
          </w:p>
        </w:tc>
        <w:tc>
          <w:tcPr>
            <w:tcW w:w="2607" w:type="dxa"/>
            <w:vMerge/>
            <w:shd w:val="clear" w:color="auto" w:fill="auto"/>
          </w:tcPr>
          <w:p w14:paraId="2B3D3A2D" w14:textId="1AF6339E" w:rsidR="00EE3EE9" w:rsidRPr="00EE3EE9" w:rsidRDefault="00EE3EE9" w:rsidP="00EE3EE9">
            <w:pPr>
              <w:spacing w:after="0"/>
              <w:rPr>
                <w:b/>
                <w:sz w:val="20"/>
                <w:szCs w:val="20"/>
              </w:rPr>
            </w:pPr>
          </w:p>
        </w:tc>
        <w:tc>
          <w:tcPr>
            <w:tcW w:w="2157" w:type="dxa"/>
            <w:vMerge/>
          </w:tcPr>
          <w:p w14:paraId="66ED991A" w14:textId="77777777" w:rsidR="00EE3EE9" w:rsidRPr="00EE3EE9" w:rsidRDefault="00EE3EE9" w:rsidP="00EE3EE9">
            <w:pPr>
              <w:spacing w:after="0"/>
              <w:rPr>
                <w:b/>
                <w:sz w:val="20"/>
                <w:szCs w:val="20"/>
              </w:rPr>
            </w:pPr>
          </w:p>
        </w:tc>
        <w:tc>
          <w:tcPr>
            <w:tcW w:w="576" w:type="dxa"/>
            <w:shd w:val="clear" w:color="auto" w:fill="auto"/>
          </w:tcPr>
          <w:p w14:paraId="44176299" w14:textId="77777777" w:rsidR="00EE3EE9" w:rsidRPr="00EE3EE9" w:rsidRDefault="00EE3EE9" w:rsidP="00EE3EE9">
            <w:pPr>
              <w:spacing w:after="0"/>
              <w:rPr>
                <w:b/>
                <w:sz w:val="20"/>
                <w:szCs w:val="20"/>
              </w:rPr>
            </w:pPr>
            <w:r w:rsidRPr="00EE3EE9">
              <w:rPr>
                <w:b/>
                <w:sz w:val="20"/>
                <w:szCs w:val="20"/>
              </w:rPr>
              <w:t>No</w:t>
            </w:r>
          </w:p>
        </w:tc>
        <w:tc>
          <w:tcPr>
            <w:tcW w:w="576" w:type="dxa"/>
            <w:shd w:val="clear" w:color="auto" w:fill="auto"/>
          </w:tcPr>
          <w:p w14:paraId="502E4D7D" w14:textId="77777777" w:rsidR="00EE3EE9" w:rsidRPr="00EE3EE9" w:rsidRDefault="00EE3EE9" w:rsidP="00EE3EE9">
            <w:pPr>
              <w:spacing w:after="0"/>
              <w:rPr>
                <w:b/>
                <w:sz w:val="20"/>
                <w:szCs w:val="20"/>
              </w:rPr>
            </w:pPr>
            <w:r w:rsidRPr="00EE3EE9">
              <w:rPr>
                <w:b/>
                <w:sz w:val="20"/>
                <w:szCs w:val="20"/>
              </w:rPr>
              <w:t>CF</w:t>
            </w:r>
          </w:p>
        </w:tc>
        <w:tc>
          <w:tcPr>
            <w:tcW w:w="576" w:type="dxa"/>
            <w:shd w:val="clear" w:color="auto" w:fill="auto"/>
          </w:tcPr>
          <w:p w14:paraId="1B5FA04F" w14:textId="4C971AFF" w:rsidR="00EE3EE9" w:rsidRPr="00EE3EE9" w:rsidRDefault="00EE3EE9" w:rsidP="00EE3EE9">
            <w:pPr>
              <w:spacing w:after="0"/>
              <w:rPr>
                <w:b/>
                <w:sz w:val="20"/>
                <w:szCs w:val="20"/>
              </w:rPr>
            </w:pPr>
            <w:r w:rsidRPr="00EE3EE9">
              <w:rPr>
                <w:b/>
                <w:sz w:val="20"/>
                <w:szCs w:val="20"/>
              </w:rPr>
              <w:t>CHP</w:t>
            </w:r>
          </w:p>
        </w:tc>
        <w:tc>
          <w:tcPr>
            <w:tcW w:w="582" w:type="dxa"/>
            <w:shd w:val="clear" w:color="auto" w:fill="auto"/>
          </w:tcPr>
          <w:p w14:paraId="3E95BFC1" w14:textId="77777777" w:rsidR="00EE3EE9" w:rsidRPr="00EE3EE9" w:rsidRDefault="00EE3EE9" w:rsidP="00EE3EE9">
            <w:pPr>
              <w:spacing w:after="0"/>
              <w:rPr>
                <w:b/>
                <w:sz w:val="20"/>
                <w:szCs w:val="20"/>
              </w:rPr>
            </w:pPr>
            <w:r w:rsidRPr="00EE3EE9">
              <w:rPr>
                <w:b/>
                <w:sz w:val="20"/>
                <w:szCs w:val="20"/>
              </w:rPr>
              <w:t>CNG</w:t>
            </w:r>
          </w:p>
        </w:tc>
        <w:tc>
          <w:tcPr>
            <w:tcW w:w="576" w:type="dxa"/>
            <w:shd w:val="clear" w:color="auto" w:fill="auto"/>
          </w:tcPr>
          <w:p w14:paraId="11EA2CC7" w14:textId="4F8A23CE" w:rsidR="00EE3EE9" w:rsidRPr="00EE3EE9" w:rsidRDefault="00EE3EE9" w:rsidP="00EE3EE9">
            <w:pPr>
              <w:spacing w:after="0"/>
              <w:rPr>
                <w:b/>
                <w:sz w:val="20"/>
                <w:szCs w:val="20"/>
              </w:rPr>
            </w:pPr>
            <w:r w:rsidRPr="00EE3EE9">
              <w:rPr>
                <w:b/>
                <w:sz w:val="20"/>
                <w:szCs w:val="20"/>
              </w:rPr>
              <w:t>Elec</w:t>
            </w:r>
          </w:p>
        </w:tc>
        <w:tc>
          <w:tcPr>
            <w:tcW w:w="582" w:type="dxa"/>
            <w:shd w:val="clear" w:color="auto" w:fill="auto"/>
          </w:tcPr>
          <w:p w14:paraId="5FC483B7" w14:textId="2C49888D" w:rsidR="00EE3EE9" w:rsidRPr="00EE3EE9" w:rsidRDefault="00EE3EE9" w:rsidP="00EE3EE9">
            <w:pPr>
              <w:spacing w:after="0"/>
              <w:rPr>
                <w:b/>
                <w:sz w:val="20"/>
                <w:szCs w:val="20"/>
              </w:rPr>
            </w:pPr>
            <w:r w:rsidRPr="00EE3EE9">
              <w:rPr>
                <w:b/>
                <w:sz w:val="20"/>
                <w:szCs w:val="20"/>
              </w:rPr>
              <w:t>PNG</w:t>
            </w:r>
          </w:p>
        </w:tc>
        <w:tc>
          <w:tcPr>
            <w:tcW w:w="576" w:type="dxa"/>
            <w:shd w:val="clear" w:color="auto" w:fill="auto"/>
          </w:tcPr>
          <w:p w14:paraId="10FDF0E1" w14:textId="326C0E89" w:rsidR="00EE3EE9" w:rsidRPr="00EE3EE9" w:rsidRDefault="00EE3EE9" w:rsidP="00EE3EE9">
            <w:pPr>
              <w:spacing w:after="0"/>
              <w:rPr>
                <w:b/>
                <w:sz w:val="20"/>
                <w:szCs w:val="20"/>
              </w:rPr>
            </w:pPr>
            <w:r w:rsidRPr="00EE3EE9">
              <w:rPr>
                <w:b/>
                <w:sz w:val="20"/>
                <w:szCs w:val="20"/>
              </w:rPr>
              <w:t>HTL</w:t>
            </w:r>
          </w:p>
        </w:tc>
        <w:tc>
          <w:tcPr>
            <w:tcW w:w="1531" w:type="dxa"/>
          </w:tcPr>
          <w:p w14:paraId="2A279C83" w14:textId="61F6DC43" w:rsidR="00EE3EE9" w:rsidRPr="00EE3EE9" w:rsidRDefault="00EE3EE9" w:rsidP="00EE3EE9">
            <w:pPr>
              <w:spacing w:after="0"/>
              <w:rPr>
                <w:b/>
                <w:sz w:val="20"/>
                <w:szCs w:val="20"/>
              </w:rPr>
            </w:pPr>
          </w:p>
        </w:tc>
      </w:tr>
      <w:tr w:rsidR="00EE3EE9" w14:paraId="7D65B2B9" w14:textId="77777777" w:rsidTr="00EE3EE9">
        <w:trPr>
          <w:trHeight w:val="144"/>
        </w:trPr>
        <w:tc>
          <w:tcPr>
            <w:tcW w:w="1407" w:type="dxa"/>
          </w:tcPr>
          <w:p w14:paraId="2D5E8B02" w14:textId="122F8C21" w:rsidR="00EE3EE9" w:rsidRPr="00EE3EE9" w:rsidRDefault="005B167C" w:rsidP="00EE3EE9">
            <w:pPr>
              <w:spacing w:after="0"/>
              <w:rPr>
                <w:b/>
                <w:sz w:val="20"/>
                <w:szCs w:val="20"/>
              </w:rPr>
            </w:pPr>
            <w:r>
              <w:rPr>
                <w:sz w:val="20"/>
                <w:szCs w:val="20"/>
              </w:rPr>
              <w:t>WTE</w:t>
            </w:r>
            <w:r w:rsidR="00EE3EE9" w:rsidRPr="00EE3EE9">
              <w:rPr>
                <w:sz w:val="20"/>
                <w:szCs w:val="20"/>
              </w:rPr>
              <w:t xml:space="preserve"> technology development</w:t>
            </w:r>
          </w:p>
        </w:tc>
        <w:tc>
          <w:tcPr>
            <w:tcW w:w="2365" w:type="dxa"/>
            <w:shd w:val="clear" w:color="auto" w:fill="auto"/>
          </w:tcPr>
          <w:p w14:paraId="1F079336" w14:textId="10CD1BC3" w:rsidR="00EE3EE9" w:rsidRPr="00EE3EE9" w:rsidRDefault="00EE3EE9" w:rsidP="00EE3EE9">
            <w:pPr>
              <w:spacing w:after="0"/>
              <w:rPr>
                <w:b/>
                <w:sz w:val="20"/>
                <w:szCs w:val="20"/>
              </w:rPr>
            </w:pPr>
            <w:r w:rsidRPr="00EE3EE9">
              <w:rPr>
                <w:sz w:val="20"/>
                <w:szCs w:val="20"/>
              </w:rPr>
              <w:t>Initial commercial maturity of HTL (0)</w:t>
            </w:r>
          </w:p>
        </w:tc>
        <w:tc>
          <w:tcPr>
            <w:tcW w:w="2607" w:type="dxa"/>
            <w:shd w:val="clear" w:color="auto" w:fill="auto"/>
          </w:tcPr>
          <w:p w14:paraId="00A73D09" w14:textId="27AEB972" w:rsidR="00EE3EE9" w:rsidRPr="00EE3EE9" w:rsidRDefault="00EE3EE9" w:rsidP="00EE3EE9">
            <w:pPr>
              <w:spacing w:after="0"/>
              <w:rPr>
                <w:b/>
                <w:sz w:val="20"/>
                <w:szCs w:val="20"/>
              </w:rPr>
            </w:pPr>
            <w:r w:rsidRPr="00EE3EE9">
              <w:rPr>
                <w:sz w:val="20"/>
                <w:szCs w:val="20"/>
              </w:rPr>
              <w:t xml:space="preserve">Increase directly improves competitiveness of HTL </w:t>
            </w:r>
          </w:p>
        </w:tc>
        <w:tc>
          <w:tcPr>
            <w:tcW w:w="2157" w:type="dxa"/>
          </w:tcPr>
          <w:p w14:paraId="750D0754" w14:textId="77777777" w:rsidR="00EE3EE9" w:rsidRPr="00EE3EE9" w:rsidRDefault="00EE3EE9" w:rsidP="00EE3EE9">
            <w:pPr>
              <w:rPr>
                <w:sz w:val="20"/>
                <w:szCs w:val="20"/>
              </w:rPr>
            </w:pPr>
            <w:r w:rsidRPr="00EE3EE9">
              <w:rPr>
                <w:sz w:val="20"/>
                <w:szCs w:val="20"/>
              </w:rPr>
              <w:t xml:space="preserve">initial commercial maturity </w:t>
            </w:r>
          </w:p>
          <w:p w14:paraId="2ADD4183" w14:textId="77777777" w:rsidR="00EE3EE9" w:rsidRPr="00EE3EE9" w:rsidRDefault="00EE3EE9" w:rsidP="00EE3EE9">
            <w:pPr>
              <w:spacing w:after="0"/>
              <w:rPr>
                <w:b/>
                <w:sz w:val="20"/>
                <w:szCs w:val="20"/>
              </w:rPr>
            </w:pPr>
          </w:p>
        </w:tc>
        <w:tc>
          <w:tcPr>
            <w:tcW w:w="576" w:type="dxa"/>
            <w:shd w:val="clear" w:color="auto" w:fill="auto"/>
          </w:tcPr>
          <w:p w14:paraId="0526FDC2" w14:textId="0FDF1535" w:rsidR="00EE3EE9" w:rsidRPr="00EE3EE9" w:rsidRDefault="00EE3EE9" w:rsidP="00EE3EE9">
            <w:pPr>
              <w:spacing w:after="0"/>
              <w:rPr>
                <w:b/>
                <w:sz w:val="20"/>
                <w:szCs w:val="20"/>
              </w:rPr>
            </w:pPr>
            <w:r w:rsidRPr="00EE3EE9">
              <w:rPr>
                <w:sz w:val="20"/>
                <w:szCs w:val="20"/>
              </w:rPr>
              <w:t>1</w:t>
            </w:r>
          </w:p>
        </w:tc>
        <w:tc>
          <w:tcPr>
            <w:tcW w:w="576" w:type="dxa"/>
            <w:shd w:val="clear" w:color="auto" w:fill="auto"/>
          </w:tcPr>
          <w:p w14:paraId="43E1BF2D" w14:textId="7C3D571C" w:rsidR="00EE3EE9" w:rsidRPr="00EE3EE9" w:rsidRDefault="00EE3EE9" w:rsidP="00EE3EE9">
            <w:pPr>
              <w:spacing w:after="0"/>
              <w:rPr>
                <w:b/>
                <w:sz w:val="20"/>
                <w:szCs w:val="20"/>
              </w:rPr>
            </w:pPr>
            <w:r w:rsidRPr="00EE3EE9">
              <w:rPr>
                <w:sz w:val="20"/>
                <w:szCs w:val="20"/>
              </w:rPr>
              <w:t>1</w:t>
            </w:r>
          </w:p>
        </w:tc>
        <w:tc>
          <w:tcPr>
            <w:tcW w:w="576" w:type="dxa"/>
            <w:shd w:val="clear" w:color="auto" w:fill="auto"/>
          </w:tcPr>
          <w:p w14:paraId="466FEC50" w14:textId="5BF37463" w:rsidR="00EE3EE9" w:rsidRPr="00EE3EE9" w:rsidRDefault="00EE3EE9" w:rsidP="00EE3EE9">
            <w:pPr>
              <w:spacing w:after="0"/>
              <w:rPr>
                <w:b/>
                <w:sz w:val="20"/>
                <w:szCs w:val="20"/>
              </w:rPr>
            </w:pPr>
            <w:r w:rsidRPr="00EE3EE9">
              <w:rPr>
                <w:sz w:val="20"/>
                <w:szCs w:val="20"/>
              </w:rPr>
              <w:t>1</w:t>
            </w:r>
          </w:p>
        </w:tc>
        <w:tc>
          <w:tcPr>
            <w:tcW w:w="582" w:type="dxa"/>
            <w:shd w:val="clear" w:color="auto" w:fill="auto"/>
          </w:tcPr>
          <w:p w14:paraId="4EC99BD1" w14:textId="3BC0527B" w:rsidR="00EE3EE9" w:rsidRPr="00EE3EE9" w:rsidRDefault="00EE3EE9" w:rsidP="00EE3EE9">
            <w:pPr>
              <w:spacing w:after="0"/>
              <w:rPr>
                <w:b/>
                <w:sz w:val="20"/>
                <w:szCs w:val="20"/>
              </w:rPr>
            </w:pPr>
            <w:r w:rsidRPr="00EE3EE9">
              <w:rPr>
                <w:sz w:val="20"/>
                <w:szCs w:val="20"/>
              </w:rPr>
              <w:t>1</w:t>
            </w:r>
          </w:p>
        </w:tc>
        <w:tc>
          <w:tcPr>
            <w:tcW w:w="576" w:type="dxa"/>
            <w:shd w:val="clear" w:color="auto" w:fill="auto"/>
          </w:tcPr>
          <w:p w14:paraId="276B8A34" w14:textId="018C87BB" w:rsidR="00EE3EE9" w:rsidRPr="00EE3EE9" w:rsidRDefault="00EE3EE9" w:rsidP="00EE3EE9">
            <w:pPr>
              <w:spacing w:after="0"/>
              <w:rPr>
                <w:b/>
                <w:sz w:val="20"/>
                <w:szCs w:val="20"/>
              </w:rPr>
            </w:pPr>
            <w:r w:rsidRPr="00EE3EE9">
              <w:rPr>
                <w:sz w:val="20"/>
                <w:szCs w:val="20"/>
              </w:rPr>
              <w:t>1</w:t>
            </w:r>
          </w:p>
        </w:tc>
        <w:tc>
          <w:tcPr>
            <w:tcW w:w="582" w:type="dxa"/>
            <w:shd w:val="clear" w:color="auto" w:fill="auto"/>
          </w:tcPr>
          <w:p w14:paraId="63A1A83B" w14:textId="1C085DAB" w:rsidR="00EE3EE9" w:rsidRPr="00EE3EE9" w:rsidRDefault="00EE3EE9" w:rsidP="00EE3EE9">
            <w:pPr>
              <w:spacing w:after="0"/>
              <w:rPr>
                <w:b/>
                <w:sz w:val="20"/>
                <w:szCs w:val="20"/>
              </w:rPr>
            </w:pPr>
            <w:r w:rsidRPr="00EE3EE9">
              <w:rPr>
                <w:sz w:val="20"/>
                <w:szCs w:val="20"/>
              </w:rPr>
              <w:t>1</w:t>
            </w:r>
          </w:p>
        </w:tc>
        <w:tc>
          <w:tcPr>
            <w:tcW w:w="576" w:type="dxa"/>
            <w:shd w:val="clear" w:color="auto" w:fill="auto"/>
          </w:tcPr>
          <w:p w14:paraId="4BBFDA3E" w14:textId="76766C4B" w:rsidR="00EE3EE9" w:rsidRPr="00EE3EE9" w:rsidRDefault="00EE3EE9" w:rsidP="00EE3EE9">
            <w:pPr>
              <w:spacing w:after="0"/>
              <w:rPr>
                <w:b/>
                <w:sz w:val="20"/>
                <w:szCs w:val="20"/>
              </w:rPr>
            </w:pPr>
            <w:r w:rsidRPr="00EE3EE9">
              <w:rPr>
                <w:sz w:val="20"/>
                <w:szCs w:val="20"/>
              </w:rPr>
              <w:t>0</w:t>
            </w:r>
          </w:p>
        </w:tc>
        <w:tc>
          <w:tcPr>
            <w:tcW w:w="1531" w:type="dxa"/>
          </w:tcPr>
          <w:p w14:paraId="1A244B33" w14:textId="2944FC19" w:rsidR="00EE3EE9" w:rsidRPr="00EE3EE9" w:rsidRDefault="00EE3EE9" w:rsidP="00EE3EE9">
            <w:pPr>
              <w:spacing w:after="0"/>
              <w:rPr>
                <w:b/>
                <w:sz w:val="20"/>
                <w:szCs w:val="20"/>
              </w:rPr>
            </w:pPr>
            <w:r w:rsidRPr="00EE3EE9">
              <w:rPr>
                <w:sz w:val="20"/>
                <w:szCs w:val="20"/>
              </w:rPr>
              <w:t xml:space="preserve"> F = W</w:t>
            </w:r>
          </w:p>
        </w:tc>
      </w:tr>
      <w:tr w:rsidR="00EE3EE9" w14:paraId="735B4481" w14:textId="77777777" w:rsidTr="00EE3EE9">
        <w:trPr>
          <w:trHeight w:val="144"/>
        </w:trPr>
        <w:tc>
          <w:tcPr>
            <w:tcW w:w="1407" w:type="dxa"/>
          </w:tcPr>
          <w:p w14:paraId="1E1126C3" w14:textId="52B1277D" w:rsidR="00EE3EE9" w:rsidRPr="00EE3EE9" w:rsidRDefault="00EE3EE9" w:rsidP="00EE3EE9">
            <w:pPr>
              <w:spacing w:after="0"/>
              <w:rPr>
                <w:sz w:val="20"/>
                <w:szCs w:val="20"/>
              </w:rPr>
            </w:pPr>
            <w:r w:rsidRPr="00EE3EE9">
              <w:rPr>
                <w:sz w:val="20"/>
                <w:szCs w:val="20"/>
              </w:rPr>
              <w:t>policy incentives for fuels</w:t>
            </w:r>
          </w:p>
        </w:tc>
        <w:tc>
          <w:tcPr>
            <w:tcW w:w="2365" w:type="dxa"/>
            <w:shd w:val="clear" w:color="auto" w:fill="auto"/>
          </w:tcPr>
          <w:p w14:paraId="1308D119" w14:textId="7144BBFA" w:rsidR="00EE3EE9" w:rsidRPr="00EE3EE9" w:rsidRDefault="00EE3EE9" w:rsidP="00EE3EE9">
            <w:pPr>
              <w:spacing w:after="0"/>
              <w:rPr>
                <w:sz w:val="20"/>
                <w:szCs w:val="20"/>
              </w:rPr>
            </w:pPr>
            <w:r w:rsidRPr="00EE3EE9">
              <w:rPr>
                <w:sz w:val="20"/>
                <w:szCs w:val="20"/>
              </w:rPr>
              <w:t>RIN multiplier (1)</w:t>
            </w:r>
          </w:p>
        </w:tc>
        <w:tc>
          <w:tcPr>
            <w:tcW w:w="2607" w:type="dxa"/>
            <w:shd w:val="clear" w:color="auto" w:fill="auto"/>
          </w:tcPr>
          <w:p w14:paraId="544A5FC8" w14:textId="74EC504A" w:rsidR="00EE3EE9" w:rsidRPr="00EE3EE9" w:rsidRDefault="00EE3EE9" w:rsidP="00EE3EE9">
            <w:pPr>
              <w:spacing w:after="0"/>
              <w:rPr>
                <w:sz w:val="20"/>
                <w:szCs w:val="20"/>
              </w:rPr>
            </w:pPr>
            <w:r w:rsidRPr="00EE3EE9">
              <w:rPr>
                <w:sz w:val="20"/>
                <w:szCs w:val="20"/>
              </w:rPr>
              <w:t xml:space="preserve">Increase favors technologies receiving RIN value </w:t>
            </w:r>
          </w:p>
        </w:tc>
        <w:tc>
          <w:tcPr>
            <w:tcW w:w="2157" w:type="dxa"/>
          </w:tcPr>
          <w:p w14:paraId="28D12B6F" w14:textId="77777777" w:rsidR="00EE3EE9" w:rsidRPr="00EE3EE9" w:rsidRDefault="00EE3EE9" w:rsidP="00EE3EE9">
            <w:pPr>
              <w:rPr>
                <w:sz w:val="20"/>
                <w:szCs w:val="20"/>
              </w:rPr>
            </w:pPr>
            <w:r w:rsidRPr="00EE3EE9">
              <w:rPr>
                <w:sz w:val="20"/>
                <w:szCs w:val="20"/>
              </w:rPr>
              <w:t>RIN value</w:t>
            </w:r>
          </w:p>
          <w:p w14:paraId="4449623C" w14:textId="77777777" w:rsidR="00EE3EE9" w:rsidRPr="00EE3EE9" w:rsidRDefault="00EE3EE9" w:rsidP="00EE3EE9">
            <w:pPr>
              <w:rPr>
                <w:sz w:val="20"/>
                <w:szCs w:val="20"/>
              </w:rPr>
            </w:pPr>
          </w:p>
        </w:tc>
        <w:tc>
          <w:tcPr>
            <w:tcW w:w="576" w:type="dxa"/>
            <w:shd w:val="clear" w:color="auto" w:fill="auto"/>
          </w:tcPr>
          <w:p w14:paraId="4E4A64D3" w14:textId="7B7C013C" w:rsidR="00EE3EE9" w:rsidRPr="00EE3EE9" w:rsidRDefault="00EE3EE9" w:rsidP="00EE3EE9">
            <w:pPr>
              <w:spacing w:after="0"/>
              <w:rPr>
                <w:sz w:val="20"/>
                <w:szCs w:val="20"/>
              </w:rPr>
            </w:pPr>
            <w:r w:rsidRPr="00EE3EE9">
              <w:rPr>
                <w:sz w:val="20"/>
                <w:szCs w:val="20"/>
              </w:rPr>
              <w:t>0</w:t>
            </w:r>
          </w:p>
        </w:tc>
        <w:tc>
          <w:tcPr>
            <w:tcW w:w="576" w:type="dxa"/>
            <w:shd w:val="clear" w:color="auto" w:fill="auto"/>
          </w:tcPr>
          <w:p w14:paraId="170AC201" w14:textId="5F4858AD" w:rsidR="00EE3EE9" w:rsidRPr="00EE3EE9" w:rsidRDefault="00EE3EE9" w:rsidP="00EE3EE9">
            <w:pPr>
              <w:spacing w:after="0"/>
              <w:rPr>
                <w:sz w:val="20"/>
                <w:szCs w:val="20"/>
              </w:rPr>
            </w:pPr>
            <w:r w:rsidRPr="00EE3EE9">
              <w:rPr>
                <w:sz w:val="20"/>
                <w:szCs w:val="20"/>
              </w:rPr>
              <w:t>0</w:t>
            </w:r>
          </w:p>
        </w:tc>
        <w:tc>
          <w:tcPr>
            <w:tcW w:w="576" w:type="dxa"/>
            <w:shd w:val="clear" w:color="auto" w:fill="auto"/>
          </w:tcPr>
          <w:p w14:paraId="12C1618E" w14:textId="25C4EC4F" w:rsidR="00EE3EE9" w:rsidRPr="00EE3EE9" w:rsidRDefault="00EE3EE9" w:rsidP="00EE3EE9">
            <w:pPr>
              <w:spacing w:after="0"/>
              <w:rPr>
                <w:sz w:val="20"/>
                <w:szCs w:val="20"/>
              </w:rPr>
            </w:pPr>
            <w:r w:rsidRPr="00EE3EE9">
              <w:rPr>
                <w:sz w:val="20"/>
                <w:szCs w:val="20"/>
              </w:rPr>
              <w:t>0</w:t>
            </w:r>
          </w:p>
        </w:tc>
        <w:tc>
          <w:tcPr>
            <w:tcW w:w="582" w:type="dxa"/>
            <w:shd w:val="clear" w:color="auto" w:fill="auto"/>
          </w:tcPr>
          <w:p w14:paraId="1FC8391D" w14:textId="1B4C2D44" w:rsidR="00EE3EE9" w:rsidRPr="00EE3EE9" w:rsidRDefault="00EE3EE9" w:rsidP="00EE3EE9">
            <w:pPr>
              <w:spacing w:after="0"/>
              <w:rPr>
                <w:sz w:val="20"/>
                <w:szCs w:val="20"/>
              </w:rPr>
            </w:pPr>
            <w:r w:rsidRPr="00EE3EE9">
              <w:rPr>
                <w:sz w:val="20"/>
                <w:szCs w:val="20"/>
              </w:rPr>
              <w:t>6.17</w:t>
            </w:r>
          </w:p>
        </w:tc>
        <w:tc>
          <w:tcPr>
            <w:tcW w:w="576" w:type="dxa"/>
            <w:shd w:val="clear" w:color="auto" w:fill="auto"/>
          </w:tcPr>
          <w:p w14:paraId="5F43CDAC" w14:textId="073FC802" w:rsidR="00EE3EE9" w:rsidRPr="00EE3EE9" w:rsidRDefault="00EE3EE9" w:rsidP="00EE3EE9">
            <w:pPr>
              <w:spacing w:after="0"/>
              <w:rPr>
                <w:sz w:val="20"/>
                <w:szCs w:val="20"/>
              </w:rPr>
            </w:pPr>
            <w:r w:rsidRPr="00EE3EE9">
              <w:rPr>
                <w:sz w:val="20"/>
                <w:szCs w:val="20"/>
              </w:rPr>
              <w:t>5.27</w:t>
            </w:r>
          </w:p>
        </w:tc>
        <w:tc>
          <w:tcPr>
            <w:tcW w:w="582" w:type="dxa"/>
            <w:shd w:val="clear" w:color="auto" w:fill="auto"/>
          </w:tcPr>
          <w:p w14:paraId="47362BE8" w14:textId="07FE37CD" w:rsidR="00EE3EE9" w:rsidRPr="00EE3EE9" w:rsidRDefault="00EE3EE9" w:rsidP="00EE3EE9">
            <w:pPr>
              <w:spacing w:after="0"/>
              <w:rPr>
                <w:sz w:val="20"/>
                <w:szCs w:val="20"/>
              </w:rPr>
            </w:pPr>
            <w:r w:rsidRPr="00EE3EE9">
              <w:rPr>
                <w:sz w:val="20"/>
                <w:szCs w:val="20"/>
              </w:rPr>
              <w:t>0</w:t>
            </w:r>
          </w:p>
        </w:tc>
        <w:tc>
          <w:tcPr>
            <w:tcW w:w="576" w:type="dxa"/>
            <w:shd w:val="clear" w:color="auto" w:fill="auto"/>
          </w:tcPr>
          <w:p w14:paraId="043F36C1" w14:textId="382560DF" w:rsidR="00EE3EE9" w:rsidRPr="00EE3EE9" w:rsidRDefault="00EE3EE9" w:rsidP="00EE3EE9">
            <w:pPr>
              <w:spacing w:after="0"/>
              <w:rPr>
                <w:sz w:val="20"/>
                <w:szCs w:val="20"/>
              </w:rPr>
            </w:pPr>
            <w:r w:rsidRPr="00EE3EE9">
              <w:rPr>
                <w:sz w:val="20"/>
                <w:szCs w:val="20"/>
              </w:rPr>
              <w:t>2.71</w:t>
            </w:r>
          </w:p>
        </w:tc>
        <w:tc>
          <w:tcPr>
            <w:tcW w:w="1531" w:type="dxa"/>
          </w:tcPr>
          <w:p w14:paraId="08244AEE" w14:textId="24E9713D" w:rsidR="00EE3EE9" w:rsidRPr="00EE3EE9" w:rsidRDefault="00EE3EE9" w:rsidP="00EE3EE9">
            <w:pPr>
              <w:spacing w:after="0"/>
              <w:rPr>
                <w:sz w:val="20"/>
                <w:szCs w:val="20"/>
              </w:rPr>
            </w:pPr>
            <w:r w:rsidRPr="00EE3EE9">
              <w:rPr>
                <w:sz w:val="20"/>
                <w:szCs w:val="20"/>
              </w:rPr>
              <w:t>f(W*F)</w:t>
            </w:r>
          </w:p>
        </w:tc>
      </w:tr>
      <w:tr w:rsidR="00E954EA" w14:paraId="15940759" w14:textId="77777777" w:rsidTr="00EE3EE9">
        <w:tc>
          <w:tcPr>
            <w:tcW w:w="1407" w:type="dxa"/>
          </w:tcPr>
          <w:p w14:paraId="386FF641" w14:textId="79890F9E" w:rsidR="00E954EA" w:rsidRPr="00EE3EE9" w:rsidRDefault="00E954EA" w:rsidP="00E954EA">
            <w:pPr>
              <w:rPr>
                <w:sz w:val="20"/>
                <w:szCs w:val="20"/>
              </w:rPr>
            </w:pPr>
            <w:r w:rsidRPr="00EE3EE9">
              <w:rPr>
                <w:sz w:val="20"/>
                <w:szCs w:val="20"/>
              </w:rPr>
              <w:t>expenses during construction</w:t>
            </w:r>
          </w:p>
        </w:tc>
        <w:tc>
          <w:tcPr>
            <w:tcW w:w="2365" w:type="dxa"/>
            <w:shd w:val="clear" w:color="auto" w:fill="auto"/>
          </w:tcPr>
          <w:p w14:paraId="3A46F48E" w14:textId="1A2917E9" w:rsidR="00E954EA" w:rsidRPr="00EE3EE9" w:rsidRDefault="00E954EA" w:rsidP="00E954EA">
            <w:pPr>
              <w:rPr>
                <w:sz w:val="20"/>
                <w:szCs w:val="20"/>
              </w:rPr>
            </w:pPr>
            <w:r w:rsidRPr="00EE3EE9">
              <w:rPr>
                <w:sz w:val="20"/>
                <w:szCs w:val="20"/>
              </w:rPr>
              <w:t>Construction duration multiplier (1)</w:t>
            </w:r>
          </w:p>
        </w:tc>
        <w:tc>
          <w:tcPr>
            <w:tcW w:w="2607" w:type="dxa"/>
            <w:shd w:val="clear" w:color="auto" w:fill="auto"/>
          </w:tcPr>
          <w:p w14:paraId="4F20B65D" w14:textId="358714B2" w:rsidR="00E954EA" w:rsidRPr="00EE3EE9" w:rsidRDefault="00E954EA" w:rsidP="00E954EA">
            <w:pPr>
              <w:rPr>
                <w:sz w:val="20"/>
                <w:szCs w:val="20"/>
              </w:rPr>
            </w:pPr>
            <w:r w:rsidRPr="00EE3EE9">
              <w:rPr>
                <w:sz w:val="20"/>
                <w:szCs w:val="20"/>
              </w:rPr>
              <w:t xml:space="preserve">Decrease favors higher-capital-cost technologies </w:t>
            </w:r>
          </w:p>
        </w:tc>
        <w:tc>
          <w:tcPr>
            <w:tcW w:w="2157" w:type="dxa"/>
          </w:tcPr>
          <w:p w14:paraId="1A31BC58" w14:textId="77777777" w:rsidR="00E954EA" w:rsidRPr="00EE3EE9" w:rsidRDefault="00E954EA" w:rsidP="00E954EA">
            <w:pPr>
              <w:rPr>
                <w:sz w:val="20"/>
                <w:szCs w:val="20"/>
              </w:rPr>
            </w:pPr>
            <w:r w:rsidRPr="00EE3EE9">
              <w:rPr>
                <w:sz w:val="20"/>
                <w:szCs w:val="20"/>
              </w:rPr>
              <w:t xml:space="preserve">capital cost rank </w:t>
            </w:r>
          </w:p>
          <w:p w14:paraId="011340FB" w14:textId="77777777" w:rsidR="00E954EA" w:rsidRPr="00EE3EE9" w:rsidRDefault="00E954EA" w:rsidP="00E954EA">
            <w:pPr>
              <w:rPr>
                <w:sz w:val="20"/>
                <w:szCs w:val="20"/>
              </w:rPr>
            </w:pPr>
            <w:r w:rsidRPr="00EE3EE9">
              <w:rPr>
                <w:sz w:val="20"/>
                <w:szCs w:val="20"/>
              </w:rPr>
              <w:t>(1 = high)</w:t>
            </w:r>
          </w:p>
          <w:p w14:paraId="3500F244" w14:textId="77777777" w:rsidR="00E954EA" w:rsidRPr="00EE3EE9" w:rsidRDefault="00E954EA" w:rsidP="00E954EA">
            <w:pPr>
              <w:rPr>
                <w:sz w:val="20"/>
                <w:szCs w:val="20"/>
              </w:rPr>
            </w:pPr>
          </w:p>
        </w:tc>
        <w:tc>
          <w:tcPr>
            <w:tcW w:w="576" w:type="dxa"/>
            <w:shd w:val="clear" w:color="auto" w:fill="auto"/>
          </w:tcPr>
          <w:p w14:paraId="005AE470" w14:textId="5AB09BD3" w:rsidR="00E954EA" w:rsidRPr="00EE3EE9" w:rsidRDefault="00E954EA" w:rsidP="00E954EA">
            <w:pPr>
              <w:rPr>
                <w:sz w:val="20"/>
                <w:szCs w:val="20"/>
              </w:rPr>
            </w:pPr>
            <w:r w:rsidRPr="00EE3EE9">
              <w:rPr>
                <w:sz w:val="20"/>
                <w:szCs w:val="20"/>
              </w:rPr>
              <w:t>7</w:t>
            </w:r>
          </w:p>
        </w:tc>
        <w:tc>
          <w:tcPr>
            <w:tcW w:w="576" w:type="dxa"/>
            <w:shd w:val="clear" w:color="auto" w:fill="auto"/>
          </w:tcPr>
          <w:p w14:paraId="39FA45F9" w14:textId="4456C1CC" w:rsidR="00E954EA" w:rsidRPr="00EE3EE9" w:rsidRDefault="00E954EA" w:rsidP="00E954EA">
            <w:pPr>
              <w:rPr>
                <w:sz w:val="20"/>
                <w:szCs w:val="20"/>
              </w:rPr>
            </w:pPr>
            <w:r w:rsidRPr="00EE3EE9">
              <w:rPr>
                <w:sz w:val="20"/>
                <w:szCs w:val="20"/>
              </w:rPr>
              <w:t>6</w:t>
            </w:r>
          </w:p>
        </w:tc>
        <w:tc>
          <w:tcPr>
            <w:tcW w:w="576" w:type="dxa"/>
            <w:shd w:val="clear" w:color="auto" w:fill="auto"/>
          </w:tcPr>
          <w:p w14:paraId="515B3E85" w14:textId="4F5593BD" w:rsidR="00E954EA" w:rsidRPr="00EE3EE9" w:rsidRDefault="00E954EA" w:rsidP="00E954EA">
            <w:pPr>
              <w:rPr>
                <w:sz w:val="20"/>
                <w:szCs w:val="20"/>
              </w:rPr>
            </w:pPr>
            <w:r w:rsidRPr="00EE3EE9">
              <w:rPr>
                <w:sz w:val="20"/>
                <w:szCs w:val="20"/>
              </w:rPr>
              <w:t>4-5</w:t>
            </w:r>
          </w:p>
        </w:tc>
        <w:tc>
          <w:tcPr>
            <w:tcW w:w="582" w:type="dxa"/>
            <w:shd w:val="clear" w:color="auto" w:fill="auto"/>
          </w:tcPr>
          <w:p w14:paraId="347A4D1C" w14:textId="21119154" w:rsidR="00E954EA" w:rsidRPr="00EE3EE9" w:rsidRDefault="00E954EA" w:rsidP="00E954EA">
            <w:pPr>
              <w:rPr>
                <w:sz w:val="20"/>
                <w:szCs w:val="20"/>
              </w:rPr>
            </w:pPr>
            <w:r w:rsidRPr="00EE3EE9">
              <w:rPr>
                <w:sz w:val="20"/>
                <w:szCs w:val="20"/>
              </w:rPr>
              <w:t>2-3</w:t>
            </w:r>
          </w:p>
        </w:tc>
        <w:tc>
          <w:tcPr>
            <w:tcW w:w="576" w:type="dxa"/>
            <w:shd w:val="clear" w:color="auto" w:fill="auto"/>
          </w:tcPr>
          <w:p w14:paraId="52ECE803" w14:textId="3A010AEC" w:rsidR="00E954EA" w:rsidRPr="00EE3EE9" w:rsidRDefault="00E954EA" w:rsidP="00E954EA">
            <w:pPr>
              <w:rPr>
                <w:sz w:val="20"/>
                <w:szCs w:val="20"/>
              </w:rPr>
            </w:pPr>
            <w:r w:rsidRPr="00EE3EE9">
              <w:rPr>
                <w:sz w:val="20"/>
                <w:szCs w:val="20"/>
              </w:rPr>
              <w:t>4-5</w:t>
            </w:r>
          </w:p>
        </w:tc>
        <w:tc>
          <w:tcPr>
            <w:tcW w:w="582" w:type="dxa"/>
            <w:shd w:val="clear" w:color="auto" w:fill="auto"/>
          </w:tcPr>
          <w:p w14:paraId="658DA7CF" w14:textId="550CDD8B" w:rsidR="00E954EA" w:rsidRPr="00EE3EE9" w:rsidRDefault="00E954EA" w:rsidP="00E954EA">
            <w:pPr>
              <w:rPr>
                <w:sz w:val="20"/>
                <w:szCs w:val="20"/>
              </w:rPr>
            </w:pPr>
            <w:r w:rsidRPr="00EE3EE9">
              <w:rPr>
                <w:sz w:val="20"/>
                <w:szCs w:val="20"/>
              </w:rPr>
              <w:t>2-3</w:t>
            </w:r>
          </w:p>
        </w:tc>
        <w:tc>
          <w:tcPr>
            <w:tcW w:w="576" w:type="dxa"/>
            <w:shd w:val="clear" w:color="auto" w:fill="auto"/>
          </w:tcPr>
          <w:p w14:paraId="066B9F8C" w14:textId="699C0738" w:rsidR="00E954EA" w:rsidRPr="00EE3EE9" w:rsidRDefault="00E954EA" w:rsidP="00E954EA">
            <w:pPr>
              <w:rPr>
                <w:sz w:val="20"/>
                <w:szCs w:val="20"/>
              </w:rPr>
            </w:pPr>
            <w:r w:rsidRPr="00EE3EE9">
              <w:rPr>
                <w:sz w:val="20"/>
                <w:szCs w:val="20"/>
              </w:rPr>
              <w:t>1</w:t>
            </w:r>
          </w:p>
        </w:tc>
        <w:tc>
          <w:tcPr>
            <w:tcW w:w="1531" w:type="dxa"/>
          </w:tcPr>
          <w:p w14:paraId="69D46E30" w14:textId="21CDD480" w:rsidR="00E954EA" w:rsidRPr="00EE3EE9" w:rsidRDefault="00E954EA" w:rsidP="00E954EA">
            <w:pPr>
              <w:rPr>
                <w:sz w:val="20"/>
                <w:szCs w:val="20"/>
              </w:rPr>
            </w:pPr>
            <w:r w:rsidRPr="00EE3EE9">
              <w:rPr>
                <w:sz w:val="20"/>
                <w:szCs w:val="20"/>
              </w:rPr>
              <w:t>f(W,F)</w:t>
            </w:r>
          </w:p>
        </w:tc>
      </w:tr>
      <w:tr w:rsidR="00E954EA" w14:paraId="5F62A7BB" w14:textId="2371CC84" w:rsidTr="00EE3EE9">
        <w:tc>
          <w:tcPr>
            <w:tcW w:w="1407" w:type="dxa"/>
          </w:tcPr>
          <w:p w14:paraId="646A347B" w14:textId="5D3CC07D" w:rsidR="00E954EA" w:rsidRPr="00EE3EE9" w:rsidRDefault="00E954EA" w:rsidP="00E954EA">
            <w:pPr>
              <w:rPr>
                <w:sz w:val="20"/>
                <w:szCs w:val="20"/>
              </w:rPr>
            </w:pPr>
            <w:r w:rsidRPr="00EE3EE9">
              <w:rPr>
                <w:sz w:val="20"/>
                <w:szCs w:val="20"/>
              </w:rPr>
              <w:t>waste management costs</w:t>
            </w:r>
          </w:p>
        </w:tc>
        <w:tc>
          <w:tcPr>
            <w:tcW w:w="2365" w:type="dxa"/>
            <w:shd w:val="clear" w:color="auto" w:fill="auto"/>
          </w:tcPr>
          <w:p w14:paraId="7EB16BE0" w14:textId="248FF365" w:rsidR="00E954EA" w:rsidRPr="00EE3EE9" w:rsidRDefault="00E954EA" w:rsidP="00E954EA">
            <w:pPr>
              <w:rPr>
                <w:sz w:val="20"/>
                <w:szCs w:val="20"/>
              </w:rPr>
            </w:pPr>
            <w:r w:rsidRPr="00EE3EE9">
              <w:rPr>
                <w:sz w:val="20"/>
                <w:szCs w:val="20"/>
              </w:rPr>
              <w:t>Disposal cost</w:t>
            </w:r>
          </w:p>
          <w:p w14:paraId="778462DD" w14:textId="77777777" w:rsidR="00E954EA" w:rsidRPr="00EE3EE9" w:rsidRDefault="00E954EA" w:rsidP="00E954EA">
            <w:pPr>
              <w:rPr>
                <w:sz w:val="20"/>
                <w:szCs w:val="20"/>
              </w:rPr>
            </w:pPr>
            <w:r w:rsidRPr="00EE3EE9">
              <w:rPr>
                <w:sz w:val="20"/>
                <w:szCs w:val="20"/>
              </w:rPr>
              <w:t>($52.2)</w:t>
            </w:r>
          </w:p>
          <w:p w14:paraId="596C360A" w14:textId="77777777" w:rsidR="00E954EA" w:rsidRPr="00EE3EE9" w:rsidRDefault="00E954EA" w:rsidP="00E954EA">
            <w:pPr>
              <w:rPr>
                <w:sz w:val="20"/>
                <w:szCs w:val="20"/>
              </w:rPr>
            </w:pPr>
          </w:p>
        </w:tc>
        <w:tc>
          <w:tcPr>
            <w:tcW w:w="2607" w:type="dxa"/>
            <w:shd w:val="clear" w:color="auto" w:fill="auto"/>
          </w:tcPr>
          <w:p w14:paraId="2761F1EE" w14:textId="6F7BCEF8" w:rsidR="00E954EA" w:rsidRPr="00EE3EE9" w:rsidRDefault="00E954EA" w:rsidP="00E954EA">
            <w:pPr>
              <w:rPr>
                <w:sz w:val="20"/>
                <w:szCs w:val="20"/>
              </w:rPr>
            </w:pPr>
            <w:r w:rsidRPr="00EE3EE9">
              <w:rPr>
                <w:sz w:val="20"/>
                <w:szCs w:val="20"/>
              </w:rPr>
              <w:t xml:space="preserve">Increase favors HTL the most, then all others that divert landfill waste </w:t>
            </w:r>
          </w:p>
        </w:tc>
        <w:tc>
          <w:tcPr>
            <w:tcW w:w="2157" w:type="dxa"/>
          </w:tcPr>
          <w:p w14:paraId="0204832A" w14:textId="77777777" w:rsidR="00E954EA" w:rsidRPr="00EE3EE9" w:rsidRDefault="00E954EA" w:rsidP="00E954EA">
            <w:pPr>
              <w:rPr>
                <w:sz w:val="20"/>
                <w:szCs w:val="20"/>
              </w:rPr>
            </w:pPr>
            <w:r w:rsidRPr="00EE3EE9">
              <w:rPr>
                <w:sz w:val="20"/>
                <w:szCs w:val="20"/>
              </w:rPr>
              <w:t>waste conversion efficiency</w:t>
            </w:r>
          </w:p>
          <w:p w14:paraId="738AF832" w14:textId="0A844021" w:rsidR="00E954EA" w:rsidRPr="00EE3EE9" w:rsidRDefault="00E954EA" w:rsidP="00E954EA">
            <w:pPr>
              <w:rPr>
                <w:sz w:val="20"/>
                <w:szCs w:val="20"/>
              </w:rPr>
            </w:pPr>
          </w:p>
        </w:tc>
        <w:tc>
          <w:tcPr>
            <w:tcW w:w="576" w:type="dxa"/>
            <w:shd w:val="clear" w:color="auto" w:fill="auto"/>
          </w:tcPr>
          <w:p w14:paraId="356093F8" w14:textId="6A8C38E4" w:rsidR="00E954EA" w:rsidRPr="00EE3EE9" w:rsidRDefault="00E954EA" w:rsidP="00E954EA">
            <w:pPr>
              <w:rPr>
                <w:sz w:val="20"/>
                <w:szCs w:val="20"/>
              </w:rPr>
            </w:pPr>
            <w:r w:rsidRPr="00EE3EE9">
              <w:rPr>
                <w:sz w:val="20"/>
                <w:szCs w:val="20"/>
              </w:rPr>
              <w:t>0</w:t>
            </w:r>
          </w:p>
        </w:tc>
        <w:tc>
          <w:tcPr>
            <w:tcW w:w="576" w:type="dxa"/>
            <w:shd w:val="clear" w:color="auto" w:fill="auto"/>
          </w:tcPr>
          <w:p w14:paraId="55196A08" w14:textId="206F7158" w:rsidR="00E954EA" w:rsidRPr="00EE3EE9" w:rsidRDefault="00E954EA" w:rsidP="00E954EA">
            <w:pPr>
              <w:rPr>
                <w:sz w:val="20"/>
                <w:szCs w:val="20"/>
              </w:rPr>
            </w:pPr>
            <w:r w:rsidRPr="00EE3EE9">
              <w:rPr>
                <w:sz w:val="20"/>
                <w:szCs w:val="20"/>
              </w:rPr>
              <w:t>0</w:t>
            </w:r>
          </w:p>
        </w:tc>
        <w:tc>
          <w:tcPr>
            <w:tcW w:w="576" w:type="dxa"/>
            <w:shd w:val="clear" w:color="auto" w:fill="auto"/>
          </w:tcPr>
          <w:p w14:paraId="4B05A60C" w14:textId="366131DD" w:rsidR="00E954EA" w:rsidRPr="00EE3EE9" w:rsidRDefault="00E954EA" w:rsidP="00E954EA">
            <w:pPr>
              <w:rPr>
                <w:sz w:val="20"/>
                <w:szCs w:val="20"/>
              </w:rPr>
            </w:pPr>
            <w:r w:rsidRPr="00EE3EE9">
              <w:rPr>
                <w:sz w:val="20"/>
                <w:szCs w:val="20"/>
              </w:rPr>
              <w:t>0.5</w:t>
            </w:r>
          </w:p>
        </w:tc>
        <w:tc>
          <w:tcPr>
            <w:tcW w:w="582" w:type="dxa"/>
            <w:shd w:val="clear" w:color="auto" w:fill="auto"/>
          </w:tcPr>
          <w:p w14:paraId="32BFFED7" w14:textId="5C48C75D" w:rsidR="00E954EA" w:rsidRPr="00EE3EE9" w:rsidRDefault="00E954EA" w:rsidP="00E954EA">
            <w:pPr>
              <w:rPr>
                <w:sz w:val="20"/>
                <w:szCs w:val="20"/>
              </w:rPr>
            </w:pPr>
            <w:r w:rsidRPr="00EE3EE9">
              <w:rPr>
                <w:sz w:val="20"/>
                <w:szCs w:val="20"/>
              </w:rPr>
              <w:t>0.5</w:t>
            </w:r>
          </w:p>
        </w:tc>
        <w:tc>
          <w:tcPr>
            <w:tcW w:w="576" w:type="dxa"/>
            <w:shd w:val="clear" w:color="auto" w:fill="auto"/>
          </w:tcPr>
          <w:p w14:paraId="0AA047D7" w14:textId="5F722E91" w:rsidR="00E954EA" w:rsidRPr="00EE3EE9" w:rsidRDefault="00E954EA" w:rsidP="00E954EA">
            <w:pPr>
              <w:rPr>
                <w:sz w:val="20"/>
                <w:szCs w:val="20"/>
              </w:rPr>
            </w:pPr>
            <w:r w:rsidRPr="00EE3EE9">
              <w:rPr>
                <w:sz w:val="20"/>
                <w:szCs w:val="20"/>
              </w:rPr>
              <w:t>0.5</w:t>
            </w:r>
          </w:p>
        </w:tc>
        <w:tc>
          <w:tcPr>
            <w:tcW w:w="582" w:type="dxa"/>
            <w:shd w:val="clear" w:color="auto" w:fill="auto"/>
          </w:tcPr>
          <w:p w14:paraId="41F0AC64" w14:textId="68751C50" w:rsidR="00E954EA" w:rsidRPr="00EE3EE9" w:rsidRDefault="00E954EA" w:rsidP="00E954EA">
            <w:pPr>
              <w:rPr>
                <w:sz w:val="20"/>
                <w:szCs w:val="20"/>
              </w:rPr>
            </w:pPr>
            <w:r w:rsidRPr="00EE3EE9">
              <w:rPr>
                <w:sz w:val="20"/>
                <w:szCs w:val="20"/>
              </w:rPr>
              <w:t>0.5</w:t>
            </w:r>
          </w:p>
        </w:tc>
        <w:tc>
          <w:tcPr>
            <w:tcW w:w="576" w:type="dxa"/>
            <w:shd w:val="clear" w:color="auto" w:fill="auto"/>
          </w:tcPr>
          <w:p w14:paraId="49125564" w14:textId="278302E7" w:rsidR="00E954EA" w:rsidRPr="00EE3EE9" w:rsidRDefault="00E954EA" w:rsidP="00E954EA">
            <w:pPr>
              <w:rPr>
                <w:sz w:val="20"/>
                <w:szCs w:val="20"/>
              </w:rPr>
            </w:pPr>
            <w:r w:rsidRPr="00EE3EE9">
              <w:rPr>
                <w:sz w:val="20"/>
                <w:szCs w:val="20"/>
              </w:rPr>
              <w:t>0.86</w:t>
            </w:r>
          </w:p>
        </w:tc>
        <w:tc>
          <w:tcPr>
            <w:tcW w:w="1531" w:type="dxa"/>
          </w:tcPr>
          <w:p w14:paraId="5FBFA2F7" w14:textId="5FDD701C" w:rsidR="00E954EA" w:rsidRPr="00EE3EE9" w:rsidRDefault="00E954EA" w:rsidP="00E954EA">
            <w:pPr>
              <w:rPr>
                <w:sz w:val="20"/>
                <w:szCs w:val="20"/>
              </w:rPr>
            </w:pPr>
            <w:r w:rsidRPr="00EE3EE9">
              <w:rPr>
                <w:sz w:val="20"/>
                <w:szCs w:val="20"/>
              </w:rPr>
              <w:t>f(W,F)</w:t>
            </w:r>
          </w:p>
        </w:tc>
      </w:tr>
      <w:tr w:rsidR="00E954EA" w14:paraId="5CDE42F2" w14:textId="56CB5FF9" w:rsidTr="00EE3EE9">
        <w:tc>
          <w:tcPr>
            <w:tcW w:w="1407" w:type="dxa"/>
          </w:tcPr>
          <w:p w14:paraId="193BBA40" w14:textId="38135022" w:rsidR="00E954EA" w:rsidRPr="00EE3EE9" w:rsidRDefault="00E954EA" w:rsidP="00E954EA">
            <w:pPr>
              <w:rPr>
                <w:sz w:val="20"/>
                <w:szCs w:val="20"/>
              </w:rPr>
            </w:pPr>
            <w:r w:rsidRPr="00EE3EE9">
              <w:rPr>
                <w:sz w:val="20"/>
                <w:szCs w:val="20"/>
              </w:rPr>
              <w:t>policy incentives for electricity</w:t>
            </w:r>
          </w:p>
        </w:tc>
        <w:tc>
          <w:tcPr>
            <w:tcW w:w="2365" w:type="dxa"/>
            <w:shd w:val="clear" w:color="auto" w:fill="auto"/>
          </w:tcPr>
          <w:p w14:paraId="5C0B2F0C" w14:textId="57F5EDCF" w:rsidR="00E954EA" w:rsidRPr="00EE3EE9" w:rsidRDefault="00E954EA" w:rsidP="00E954EA">
            <w:pPr>
              <w:rPr>
                <w:sz w:val="20"/>
                <w:szCs w:val="20"/>
              </w:rPr>
            </w:pPr>
            <w:r w:rsidRPr="00EE3EE9">
              <w:rPr>
                <w:sz w:val="20"/>
                <w:szCs w:val="20"/>
              </w:rPr>
              <w:t>PTC REC multiplier (1)</w:t>
            </w:r>
          </w:p>
        </w:tc>
        <w:tc>
          <w:tcPr>
            <w:tcW w:w="2607" w:type="dxa"/>
            <w:shd w:val="clear" w:color="auto" w:fill="auto"/>
          </w:tcPr>
          <w:p w14:paraId="3418D513" w14:textId="10B106A7" w:rsidR="00E954EA" w:rsidRPr="00EE3EE9" w:rsidRDefault="00E954EA" w:rsidP="00E954EA">
            <w:pPr>
              <w:rPr>
                <w:sz w:val="20"/>
                <w:szCs w:val="20"/>
              </w:rPr>
            </w:pPr>
            <w:r w:rsidRPr="00EE3EE9">
              <w:rPr>
                <w:sz w:val="20"/>
                <w:szCs w:val="20"/>
              </w:rPr>
              <w:t xml:space="preserve">Decrease favors technologies with no electricity production </w:t>
            </w:r>
          </w:p>
        </w:tc>
        <w:tc>
          <w:tcPr>
            <w:tcW w:w="2157" w:type="dxa"/>
          </w:tcPr>
          <w:p w14:paraId="7258F015" w14:textId="77777777" w:rsidR="00E954EA" w:rsidRPr="00EE3EE9" w:rsidRDefault="00E954EA" w:rsidP="00E954EA">
            <w:pPr>
              <w:rPr>
                <w:sz w:val="20"/>
                <w:szCs w:val="20"/>
              </w:rPr>
            </w:pPr>
            <w:r w:rsidRPr="00EE3EE9">
              <w:rPr>
                <w:sz w:val="20"/>
                <w:szCs w:val="20"/>
              </w:rPr>
              <w:t>PTC REC value</w:t>
            </w:r>
          </w:p>
          <w:p w14:paraId="68577C3E" w14:textId="33751F68" w:rsidR="00E954EA" w:rsidRPr="00EE3EE9" w:rsidRDefault="00E954EA" w:rsidP="00E954EA">
            <w:pPr>
              <w:rPr>
                <w:sz w:val="20"/>
                <w:szCs w:val="20"/>
              </w:rPr>
            </w:pPr>
          </w:p>
        </w:tc>
        <w:tc>
          <w:tcPr>
            <w:tcW w:w="576" w:type="dxa"/>
            <w:shd w:val="clear" w:color="auto" w:fill="auto"/>
          </w:tcPr>
          <w:p w14:paraId="7F463D06" w14:textId="58FF5767" w:rsidR="00E954EA" w:rsidRPr="00EE3EE9" w:rsidRDefault="00E954EA" w:rsidP="00E954EA">
            <w:pPr>
              <w:rPr>
                <w:sz w:val="20"/>
                <w:szCs w:val="20"/>
              </w:rPr>
            </w:pPr>
            <w:r w:rsidRPr="00EE3EE9">
              <w:rPr>
                <w:sz w:val="20"/>
                <w:szCs w:val="20"/>
              </w:rPr>
              <w:t>0</w:t>
            </w:r>
          </w:p>
        </w:tc>
        <w:tc>
          <w:tcPr>
            <w:tcW w:w="576" w:type="dxa"/>
            <w:shd w:val="clear" w:color="auto" w:fill="auto"/>
          </w:tcPr>
          <w:p w14:paraId="449FFB9A" w14:textId="56C8FB55" w:rsidR="00E954EA" w:rsidRPr="00EE3EE9" w:rsidRDefault="00E954EA" w:rsidP="00E954EA">
            <w:pPr>
              <w:rPr>
                <w:sz w:val="20"/>
                <w:szCs w:val="20"/>
              </w:rPr>
            </w:pPr>
            <w:r w:rsidRPr="00EE3EE9">
              <w:rPr>
                <w:sz w:val="20"/>
                <w:szCs w:val="20"/>
              </w:rPr>
              <w:t>0</w:t>
            </w:r>
          </w:p>
        </w:tc>
        <w:tc>
          <w:tcPr>
            <w:tcW w:w="576" w:type="dxa"/>
            <w:shd w:val="clear" w:color="auto" w:fill="auto"/>
          </w:tcPr>
          <w:p w14:paraId="4884167D" w14:textId="775EE1D0" w:rsidR="00E954EA" w:rsidRPr="00EE3EE9" w:rsidRDefault="00E954EA" w:rsidP="00E954EA">
            <w:pPr>
              <w:rPr>
                <w:sz w:val="20"/>
                <w:szCs w:val="20"/>
              </w:rPr>
            </w:pPr>
            <w:r w:rsidRPr="00EE3EE9">
              <w:rPr>
                <w:sz w:val="20"/>
                <w:szCs w:val="20"/>
              </w:rPr>
              <w:t>3.33</w:t>
            </w:r>
          </w:p>
        </w:tc>
        <w:tc>
          <w:tcPr>
            <w:tcW w:w="582" w:type="dxa"/>
            <w:shd w:val="clear" w:color="auto" w:fill="auto"/>
          </w:tcPr>
          <w:p w14:paraId="0E5FA78F" w14:textId="0E09E506" w:rsidR="00E954EA" w:rsidRPr="00EE3EE9" w:rsidRDefault="00E954EA" w:rsidP="00E954EA">
            <w:pPr>
              <w:rPr>
                <w:sz w:val="20"/>
                <w:szCs w:val="20"/>
              </w:rPr>
            </w:pPr>
            <w:r w:rsidRPr="00EE3EE9">
              <w:rPr>
                <w:sz w:val="20"/>
                <w:szCs w:val="20"/>
              </w:rPr>
              <w:t>2.58</w:t>
            </w:r>
          </w:p>
        </w:tc>
        <w:tc>
          <w:tcPr>
            <w:tcW w:w="576" w:type="dxa"/>
            <w:shd w:val="clear" w:color="auto" w:fill="auto"/>
          </w:tcPr>
          <w:p w14:paraId="06ABCCE1" w14:textId="2CA3BF6B" w:rsidR="00E954EA" w:rsidRPr="00EE3EE9" w:rsidRDefault="00E954EA" w:rsidP="00E954EA">
            <w:pPr>
              <w:rPr>
                <w:sz w:val="20"/>
                <w:szCs w:val="20"/>
              </w:rPr>
            </w:pPr>
            <w:r w:rsidRPr="00EE3EE9">
              <w:rPr>
                <w:sz w:val="20"/>
                <w:szCs w:val="20"/>
              </w:rPr>
              <w:t>3.33</w:t>
            </w:r>
          </w:p>
        </w:tc>
        <w:tc>
          <w:tcPr>
            <w:tcW w:w="582" w:type="dxa"/>
            <w:shd w:val="clear" w:color="auto" w:fill="auto"/>
          </w:tcPr>
          <w:p w14:paraId="07DF827F" w14:textId="20F3341B" w:rsidR="00E954EA" w:rsidRPr="00EE3EE9" w:rsidRDefault="00E954EA" w:rsidP="00E954EA">
            <w:pPr>
              <w:rPr>
                <w:sz w:val="20"/>
                <w:szCs w:val="20"/>
              </w:rPr>
            </w:pPr>
            <w:r w:rsidRPr="00EE3EE9">
              <w:rPr>
                <w:sz w:val="20"/>
                <w:szCs w:val="20"/>
              </w:rPr>
              <w:t>2.58</w:t>
            </w:r>
          </w:p>
        </w:tc>
        <w:tc>
          <w:tcPr>
            <w:tcW w:w="576" w:type="dxa"/>
            <w:shd w:val="clear" w:color="auto" w:fill="auto"/>
          </w:tcPr>
          <w:p w14:paraId="249E02CD" w14:textId="2D22A72F" w:rsidR="00E954EA" w:rsidRPr="00EE3EE9" w:rsidRDefault="00E954EA" w:rsidP="00E954EA">
            <w:pPr>
              <w:rPr>
                <w:sz w:val="20"/>
                <w:szCs w:val="20"/>
              </w:rPr>
            </w:pPr>
            <w:r w:rsidRPr="00EE3EE9">
              <w:rPr>
                <w:sz w:val="20"/>
                <w:szCs w:val="20"/>
              </w:rPr>
              <w:t>0</w:t>
            </w:r>
          </w:p>
        </w:tc>
        <w:tc>
          <w:tcPr>
            <w:tcW w:w="1531" w:type="dxa"/>
          </w:tcPr>
          <w:p w14:paraId="532DC07A" w14:textId="25747278" w:rsidR="00E954EA" w:rsidRPr="00EE3EE9" w:rsidRDefault="00E954EA" w:rsidP="00E954EA">
            <w:pPr>
              <w:rPr>
                <w:sz w:val="20"/>
                <w:szCs w:val="20"/>
              </w:rPr>
            </w:pPr>
            <w:r w:rsidRPr="00EE3EE9">
              <w:rPr>
                <w:sz w:val="20"/>
                <w:szCs w:val="20"/>
              </w:rPr>
              <w:t>f(W*F)</w:t>
            </w:r>
          </w:p>
        </w:tc>
      </w:tr>
    </w:tbl>
    <w:p w14:paraId="34CC8046" w14:textId="6132CEF7" w:rsidR="00783288" w:rsidRPr="0022108B" w:rsidRDefault="009D76EB">
      <w:pPr>
        <w:spacing w:after="160" w:line="259" w:lineRule="auto"/>
        <w:rPr>
          <w:sz w:val="21"/>
        </w:rPr>
        <w:sectPr w:rsidR="00783288" w:rsidRPr="0022108B" w:rsidSect="00511CE7">
          <w:pgSz w:w="15840" w:h="12240" w:orient="landscape"/>
          <w:pgMar w:top="1440" w:right="1440" w:bottom="1440" w:left="1440" w:header="720" w:footer="720" w:gutter="0"/>
          <w:cols w:space="720"/>
          <w:docGrid w:linePitch="360"/>
        </w:sectPr>
      </w:pPr>
      <w:r w:rsidRPr="00257E36">
        <w:rPr>
          <w:sz w:val="21"/>
        </w:rPr>
        <w:t xml:space="preserve">Note: </w:t>
      </w:r>
      <w:r w:rsidR="00511CE7" w:rsidRPr="00257E36">
        <w:rPr>
          <w:sz w:val="21"/>
        </w:rPr>
        <w:t xml:space="preserve">Factors </w:t>
      </w:r>
      <w:r w:rsidR="003D6C1C" w:rsidRPr="00257E36">
        <w:rPr>
          <w:sz w:val="21"/>
        </w:rPr>
        <w:t xml:space="preserve">that </w:t>
      </w:r>
      <w:r w:rsidR="00DF0D89" w:rsidRPr="00257E36">
        <w:rPr>
          <w:sz w:val="21"/>
        </w:rPr>
        <w:t xml:space="preserve">were </w:t>
      </w:r>
      <w:r w:rsidR="00511CE7" w:rsidRPr="00257E36">
        <w:rPr>
          <w:sz w:val="21"/>
        </w:rPr>
        <w:t xml:space="preserve">identified as among the most important </w:t>
      </w:r>
      <w:r w:rsidR="003D6C1C" w:rsidRPr="00257E36">
        <w:rPr>
          <w:sz w:val="21"/>
        </w:rPr>
        <w:t xml:space="preserve">appear across the supply chain, as shown in the first column. They were identified </w:t>
      </w:r>
      <w:r w:rsidR="00511CE7" w:rsidRPr="00257E36">
        <w:rPr>
          <w:sz w:val="21"/>
        </w:rPr>
        <w:t>if they explain greater than 5% of the variance in energy production of HTL or total energy, in combination with other factors. The</w:t>
      </w:r>
      <w:r w:rsidR="003D6C1C" w:rsidRPr="00257E36">
        <w:rPr>
          <w:sz w:val="21"/>
        </w:rPr>
        <w:t xml:space="preserve"> </w:t>
      </w:r>
      <w:r w:rsidR="00511CE7" w:rsidRPr="00257E36">
        <w:rPr>
          <w:sz w:val="21"/>
        </w:rPr>
        <w:t xml:space="preserve"> factors (F) that meet this criterion are listed in the </w:t>
      </w:r>
      <w:r w:rsidR="003D6C1C" w:rsidRPr="00257E36">
        <w:rPr>
          <w:sz w:val="21"/>
        </w:rPr>
        <w:t xml:space="preserve">second </w:t>
      </w:r>
      <w:r w:rsidR="00511CE7" w:rsidRPr="00257E36">
        <w:rPr>
          <w:sz w:val="21"/>
        </w:rPr>
        <w:t>column</w:t>
      </w:r>
      <w:r w:rsidR="00783288" w:rsidRPr="00257E36">
        <w:rPr>
          <w:sz w:val="21"/>
        </w:rPr>
        <w:t>, with their default values in parentheses</w:t>
      </w:r>
      <w:r w:rsidR="00511CE7" w:rsidRPr="00257E36">
        <w:rPr>
          <w:sz w:val="21"/>
        </w:rPr>
        <w:t xml:space="preserve">. The mechanisms by which these factors affect energy production are described in the </w:t>
      </w:r>
      <w:r w:rsidR="003D6C1C" w:rsidRPr="00257E36">
        <w:rPr>
          <w:sz w:val="21"/>
        </w:rPr>
        <w:t xml:space="preserve">third </w:t>
      </w:r>
      <w:r w:rsidR="00511CE7" w:rsidRPr="00257E36">
        <w:rPr>
          <w:sz w:val="21"/>
        </w:rPr>
        <w:t xml:space="preserve">column. The </w:t>
      </w:r>
      <w:r w:rsidR="003D6C1C" w:rsidRPr="00257E36">
        <w:rPr>
          <w:sz w:val="21"/>
        </w:rPr>
        <w:t>fourth</w:t>
      </w:r>
      <w:r w:rsidR="00511CE7" w:rsidRPr="00257E36">
        <w:rPr>
          <w:sz w:val="21"/>
        </w:rPr>
        <w:t xml:space="preserve"> column identifies </w:t>
      </w:r>
      <w:r w:rsidR="00DF0D89" w:rsidRPr="00257E36">
        <w:rPr>
          <w:sz w:val="21"/>
        </w:rPr>
        <w:t xml:space="preserve">the </w:t>
      </w:r>
      <w:r w:rsidR="00834EF9" w:rsidRPr="00257E36">
        <w:rPr>
          <w:sz w:val="21"/>
        </w:rPr>
        <w:t>weighting parameters</w:t>
      </w:r>
      <w:r w:rsidR="003D6C1C" w:rsidRPr="00257E36">
        <w:rPr>
          <w:sz w:val="21"/>
        </w:rPr>
        <w:t xml:space="preserve"> (W)</w:t>
      </w:r>
      <w:r w:rsidR="00DF0D89" w:rsidRPr="00257E36">
        <w:rPr>
          <w:sz w:val="21"/>
        </w:rPr>
        <w:t xml:space="preserve"> that </w:t>
      </w:r>
      <w:r w:rsidR="00511CE7" w:rsidRPr="00257E36">
        <w:rPr>
          <w:sz w:val="21"/>
        </w:rPr>
        <w:t xml:space="preserve">mediate the effect of the factor (F) on energy </w:t>
      </w:r>
      <w:r w:rsidR="00834EF9" w:rsidRPr="00257E36">
        <w:rPr>
          <w:sz w:val="21"/>
        </w:rPr>
        <w:t xml:space="preserve">production. </w:t>
      </w:r>
      <w:r w:rsidR="00783288" w:rsidRPr="00257E36">
        <w:rPr>
          <w:sz w:val="21"/>
        </w:rPr>
        <w:t>The default values</w:t>
      </w:r>
      <w:r w:rsidR="00DF0D89" w:rsidRPr="00257E36">
        <w:rPr>
          <w:sz w:val="21"/>
        </w:rPr>
        <w:t xml:space="preserve"> </w:t>
      </w:r>
      <w:r w:rsidR="006F350F" w:rsidRPr="00257E36">
        <w:rPr>
          <w:sz w:val="21"/>
        </w:rPr>
        <w:t xml:space="preserve">of </w:t>
      </w:r>
      <w:r w:rsidR="00DF0D89" w:rsidRPr="00257E36">
        <w:rPr>
          <w:sz w:val="21"/>
        </w:rPr>
        <w:t xml:space="preserve">each W </w:t>
      </w:r>
      <w:r w:rsidR="00783288" w:rsidRPr="00257E36">
        <w:rPr>
          <w:sz w:val="21"/>
        </w:rPr>
        <w:t xml:space="preserve">for each technology are shown in the subsequent columns. </w:t>
      </w:r>
      <w:r w:rsidR="00DF0D89" w:rsidRPr="00257E36">
        <w:rPr>
          <w:sz w:val="21"/>
        </w:rPr>
        <w:t xml:space="preserve">The last column illustrates how the factors interact to impact energy production. </w:t>
      </w:r>
      <w:r w:rsidR="00783288" w:rsidRPr="00257E36">
        <w:rPr>
          <w:sz w:val="21"/>
        </w:rPr>
        <w:t xml:space="preserve">In general, </w:t>
      </w:r>
      <w:r w:rsidR="001963FC" w:rsidRPr="00257E36">
        <w:rPr>
          <w:sz w:val="21"/>
        </w:rPr>
        <w:t xml:space="preserve">our </w:t>
      </w:r>
      <w:r w:rsidR="00783288" w:rsidRPr="00257E36">
        <w:rPr>
          <w:sz w:val="21"/>
        </w:rPr>
        <w:t>analysis does not</w:t>
      </w:r>
      <w:r w:rsidR="001963FC" w:rsidRPr="00257E36">
        <w:rPr>
          <w:sz w:val="21"/>
        </w:rPr>
        <w:t xml:space="preserve"> </w:t>
      </w:r>
      <w:r w:rsidR="00EE3EE9">
        <w:rPr>
          <w:sz w:val="21"/>
        </w:rPr>
        <w:t xml:space="preserve">include </w:t>
      </w:r>
      <w:r w:rsidR="00783288" w:rsidRPr="00257E36">
        <w:rPr>
          <w:sz w:val="21"/>
        </w:rPr>
        <w:t>change</w:t>
      </w:r>
      <w:r w:rsidR="001963FC" w:rsidRPr="00257E36">
        <w:rPr>
          <w:sz w:val="21"/>
        </w:rPr>
        <w:t>s in</w:t>
      </w:r>
      <w:r w:rsidR="00783288" w:rsidRPr="00257E36">
        <w:rPr>
          <w:sz w:val="21"/>
        </w:rPr>
        <w:t xml:space="preserve"> the relative weight across technologies; relative initial commercial maturity is the exception. </w:t>
      </w:r>
      <w:r w:rsidR="00EE3EE9">
        <w:rPr>
          <w:sz w:val="21"/>
        </w:rPr>
        <w:t xml:space="preserve"> </w:t>
      </w:r>
      <w:r w:rsidR="00EE3EE9">
        <w:rPr>
          <w:sz w:val="20"/>
        </w:rPr>
        <w:t xml:space="preserve">Abbreviations: </w:t>
      </w:r>
      <w:r w:rsidR="00377559">
        <w:rPr>
          <w:sz w:val="20"/>
        </w:rPr>
        <w:t xml:space="preserve">WTE = waste-to-energy; </w:t>
      </w:r>
      <w:r w:rsidR="00EE3EE9" w:rsidRPr="00245386">
        <w:rPr>
          <w:sz w:val="20"/>
          <w:szCs w:val="20"/>
        </w:rPr>
        <w:t xml:space="preserve">HTL = hydrothermal liquefaction; RIN = Renewable Identification Number; PTC REC = Production Tax Credit </w:t>
      </w:r>
      <w:r w:rsidR="00EE3EE9">
        <w:rPr>
          <w:sz w:val="20"/>
          <w:szCs w:val="20"/>
        </w:rPr>
        <w:t>R</w:t>
      </w:r>
      <w:r w:rsidR="00EE3EE9" w:rsidRPr="00245386">
        <w:rPr>
          <w:sz w:val="20"/>
          <w:szCs w:val="20"/>
        </w:rPr>
        <w:t xml:space="preserve">enewable </w:t>
      </w:r>
      <w:r w:rsidR="00EE3EE9">
        <w:rPr>
          <w:sz w:val="20"/>
          <w:szCs w:val="20"/>
        </w:rPr>
        <w:t>E</w:t>
      </w:r>
      <w:r w:rsidR="00EE3EE9" w:rsidRPr="00245386">
        <w:rPr>
          <w:sz w:val="20"/>
          <w:szCs w:val="20"/>
        </w:rPr>
        <w:t xml:space="preserve">lectricity </w:t>
      </w:r>
      <w:r w:rsidR="00EE3EE9">
        <w:rPr>
          <w:sz w:val="20"/>
          <w:szCs w:val="20"/>
        </w:rPr>
        <w:t>C</w:t>
      </w:r>
      <w:r w:rsidR="00EE3EE9" w:rsidRPr="00245386">
        <w:rPr>
          <w:sz w:val="20"/>
          <w:szCs w:val="20"/>
        </w:rPr>
        <w:t xml:space="preserve">redit; </w:t>
      </w:r>
      <w:r w:rsidR="00EE3EE9">
        <w:rPr>
          <w:sz w:val="20"/>
          <w:szCs w:val="20"/>
        </w:rPr>
        <w:t>No = No waste-to-energy technology; CF = capture and flare; CHP = Combined Heat and Power; CNG = Compressed Natural Gas; Elec = Electricity; PNG = Pipeline Natural Gas</w:t>
      </w:r>
      <w:r w:rsidR="00620F6D">
        <w:rPr>
          <w:sz w:val="20"/>
          <w:szCs w:val="20"/>
        </w:rPr>
        <w:t>.</w:t>
      </w:r>
    </w:p>
    <w:p w14:paraId="32FDCA08" w14:textId="74FE6085" w:rsidR="00401B56" w:rsidRDefault="00401B56" w:rsidP="00401B56">
      <w:pPr>
        <w:rPr>
          <w:b/>
        </w:rPr>
      </w:pPr>
      <w:r w:rsidRPr="002B1CE6">
        <w:rPr>
          <w:b/>
        </w:rPr>
        <w:lastRenderedPageBreak/>
        <w:t>Insight #</w:t>
      </w:r>
      <w:r w:rsidR="00F16772">
        <w:rPr>
          <w:b/>
        </w:rPr>
        <w:t>4</w:t>
      </w:r>
      <w:r w:rsidRPr="002B1CE6">
        <w:rPr>
          <w:b/>
        </w:rPr>
        <w:t>.</w:t>
      </w:r>
      <w:r w:rsidR="004164F9">
        <w:rPr>
          <w:b/>
        </w:rPr>
        <w:t xml:space="preserve"> </w:t>
      </w:r>
      <w:r w:rsidR="00145231" w:rsidRPr="00145231">
        <w:rPr>
          <w:b/>
        </w:rPr>
        <w:t xml:space="preserve">The relative importance of these factors varies </w:t>
      </w:r>
      <w:r w:rsidR="005A0873">
        <w:rPr>
          <w:b/>
        </w:rPr>
        <w:t>between CAFOs and POTWs</w:t>
      </w:r>
      <w:r w:rsidR="006F350F">
        <w:rPr>
          <w:b/>
        </w:rPr>
        <w:t xml:space="preserve">. </w:t>
      </w:r>
    </w:p>
    <w:p w14:paraId="3D831DC7" w14:textId="2EF89F4A" w:rsidR="00FE57FC" w:rsidRDefault="00CF0BFE" w:rsidP="00677B24">
      <w:r>
        <w:t xml:space="preserve">Among the five factors </w:t>
      </w:r>
      <w:r w:rsidR="00A41001">
        <w:t xml:space="preserve">that were identified as being </w:t>
      </w:r>
      <w:r>
        <w:t xml:space="preserve">important to HTL production, </w:t>
      </w:r>
      <w:r w:rsidR="00A41001">
        <w:t>the relative importance of these factors varies</w:t>
      </w:r>
      <w:r w:rsidR="00831197">
        <w:t xml:space="preserve">, primarily based on </w:t>
      </w:r>
      <w:r w:rsidR="005A0873">
        <w:t xml:space="preserve">CAFO or POTW </w:t>
      </w:r>
      <w:r w:rsidR="00831197">
        <w:t xml:space="preserve">resource. </w:t>
      </w:r>
      <w:r w:rsidR="00F942B4">
        <w:t xml:space="preserve">Table 4 shows the ranking of the most influential factors for </w:t>
      </w:r>
      <w:r w:rsidR="00830A5B">
        <w:t>t</w:t>
      </w:r>
      <w:r w:rsidR="00F942B4">
        <w:t xml:space="preserve">otal </w:t>
      </w:r>
      <w:r w:rsidR="00830A5B">
        <w:t>e</w:t>
      </w:r>
      <w:r w:rsidR="00F942B4">
        <w:t xml:space="preserve">nergy and for HTL production by resource and region. </w:t>
      </w:r>
      <w:r w:rsidR="00DA2CD0">
        <w:t xml:space="preserve">Initial commercial maturity of HTL is the most important factor for HTL production for both CAFO and </w:t>
      </w:r>
      <w:r w:rsidR="000518CD">
        <w:t>POTW</w:t>
      </w:r>
      <w:r w:rsidR="00DA2CD0">
        <w:t xml:space="preserve"> resources. However, for the remaining factors, rank differs between </w:t>
      </w:r>
      <w:r w:rsidR="000518CD">
        <w:t>POTW</w:t>
      </w:r>
      <w:r w:rsidR="00DA2CD0">
        <w:t xml:space="preserve"> and CAFO resources</w:t>
      </w:r>
      <w:r w:rsidR="0006446C">
        <w:t xml:space="preserve">, primarily </w:t>
      </w:r>
      <w:r w:rsidR="001D1EB9">
        <w:t>because of</w:t>
      </w:r>
      <w:r w:rsidR="0006446C">
        <w:t xml:space="preserve"> the assumption that </w:t>
      </w:r>
      <w:r w:rsidR="000518CD">
        <w:t>POTW</w:t>
      </w:r>
      <w:r w:rsidR="0006446C">
        <w:t>s have greater access to end-use markets for CNG</w:t>
      </w:r>
      <w:r w:rsidR="00DA2CD0">
        <w:t xml:space="preserve">. For </w:t>
      </w:r>
      <w:r w:rsidR="000518CD">
        <w:t>POTW</w:t>
      </w:r>
      <w:r w:rsidR="00E87CC7">
        <w:t>s</w:t>
      </w:r>
      <w:r w:rsidR="00DA2CD0">
        <w:t xml:space="preserve">, the remaining factors are RIN </w:t>
      </w:r>
      <w:r w:rsidR="00E87CC7">
        <w:t>m</w:t>
      </w:r>
      <w:r w:rsidR="00DA2CD0">
        <w:t xml:space="preserve">ultiplier, PTC REC </w:t>
      </w:r>
      <w:r w:rsidR="00E87CC7">
        <w:t>m</w:t>
      </w:r>
      <w:r w:rsidR="00DA2CD0">
        <w:t xml:space="preserve">ultiplier, and </w:t>
      </w:r>
      <w:r w:rsidR="00E87CC7">
        <w:t xml:space="preserve">construction duration </w:t>
      </w:r>
      <w:r w:rsidR="00DA2CD0">
        <w:t xml:space="preserve">multiplier, whereas for CAFOs they are </w:t>
      </w:r>
      <w:r w:rsidR="00E87CC7">
        <w:t>construction duration multiplier</w:t>
      </w:r>
      <w:r w:rsidR="00DA2CD0">
        <w:t xml:space="preserve">, RIN </w:t>
      </w:r>
      <w:r w:rsidR="00E87CC7">
        <w:t>m</w:t>
      </w:r>
      <w:r w:rsidR="00DA2CD0">
        <w:t xml:space="preserve">ultiplier, and </w:t>
      </w:r>
      <w:r w:rsidR="00E87CC7">
        <w:t>disposal cost</w:t>
      </w:r>
      <w:r w:rsidR="00DA2CD0">
        <w:t xml:space="preserve">. </w:t>
      </w:r>
      <w:r w:rsidR="00E87CC7">
        <w:t xml:space="preserve">The RIN multiplier is ranked higher at POTWs because RINs provide the strongest incentive for CNG and POTWs have greater CNG production. </w:t>
      </w:r>
    </w:p>
    <w:p w14:paraId="534243C5" w14:textId="4B839D38" w:rsidR="00E87CC7" w:rsidRDefault="00FE57FC" w:rsidP="00FE57FC">
      <w:r>
        <w:t xml:space="preserve">The differences in rank by region for all resources reflects the relative energy shares of the two resources in the two regions. The All Resources, California ranking pattern matches the CAFO pattern because CAFOs are the greater energy resource in California, and the All Resources, </w:t>
      </w:r>
      <w:r w:rsidR="00523492">
        <w:t>rest of the United States</w:t>
      </w:r>
      <w:r>
        <w:t xml:space="preserve"> ranking represents a blend of the two resource patterns. Similarly, the All Resources, US rankings</w:t>
      </w:r>
      <w:r w:rsidR="00720B6E" w:rsidRPr="00720B6E">
        <w:t xml:space="preserve"> </w:t>
      </w:r>
      <w:r w:rsidR="00720B6E">
        <w:t xml:space="preserve">represents a blend of </w:t>
      </w:r>
      <w:r w:rsidR="00523492">
        <w:t>the rest of the United States</w:t>
      </w:r>
      <w:r w:rsidR="00720B6E">
        <w:t xml:space="preserve"> and California resource patterns. </w:t>
      </w:r>
    </w:p>
    <w:p w14:paraId="05849517" w14:textId="77777777" w:rsidR="001A1DFD" w:rsidRDefault="001A1DFD">
      <w:pPr>
        <w:spacing w:after="160" w:line="259" w:lineRule="auto"/>
        <w:rPr>
          <w:rFonts w:eastAsia="Times New Roman"/>
          <w:b/>
        </w:rPr>
      </w:pPr>
      <w:r>
        <w:rPr>
          <w:rFonts w:eastAsia="Times New Roman"/>
          <w:b/>
        </w:rPr>
        <w:br w:type="page"/>
      </w:r>
    </w:p>
    <w:p w14:paraId="35B1C6A0" w14:textId="7BFC3C2E" w:rsidR="00E87CC7" w:rsidRDefault="006F350F" w:rsidP="00401B56">
      <w:r w:rsidRPr="006F350F">
        <w:rPr>
          <w:rFonts w:eastAsia="Times New Roman"/>
          <w:b/>
        </w:rPr>
        <w:lastRenderedPageBreak/>
        <w:t xml:space="preserve">Table </w:t>
      </w:r>
      <w:r w:rsidR="00B14A35">
        <w:rPr>
          <w:rFonts w:eastAsia="Times New Roman"/>
          <w:b/>
        </w:rPr>
        <w:t>4</w:t>
      </w:r>
      <w:r w:rsidRPr="006F350F">
        <w:rPr>
          <w:rFonts w:eastAsia="Times New Roman"/>
          <w:b/>
        </w:rPr>
        <w:t xml:space="preserve">. </w:t>
      </w:r>
      <w:r>
        <w:rPr>
          <w:rFonts w:eastAsia="Times New Roman"/>
          <w:b/>
        </w:rPr>
        <w:t>I</w:t>
      </w:r>
      <w:r w:rsidRPr="006F350F">
        <w:rPr>
          <w:rFonts w:eastAsia="Times New Roman"/>
          <w:b/>
        </w:rPr>
        <w:t>mportance rank</w:t>
      </w:r>
      <w:r>
        <w:rPr>
          <w:rFonts w:eastAsia="Times New Roman"/>
          <w:b/>
        </w:rPr>
        <w:t xml:space="preserve"> for cumulative total energy for all resources and HTL </w:t>
      </w:r>
      <w:r w:rsidRPr="006F350F">
        <w:rPr>
          <w:rFonts w:eastAsia="Times New Roman"/>
          <w:b/>
        </w:rPr>
        <w:t xml:space="preserve"> </w:t>
      </w:r>
      <w:r w:rsidR="00EE3EE9">
        <w:rPr>
          <w:rFonts w:eastAsia="Times New Roman"/>
          <w:b/>
        </w:rPr>
        <w:t xml:space="preserve">energy </w:t>
      </w:r>
      <w:r w:rsidRPr="006F350F">
        <w:rPr>
          <w:rFonts w:eastAsia="Times New Roman"/>
          <w:b/>
        </w:rPr>
        <w:t>by resource and region</w:t>
      </w:r>
      <w:r w:rsidR="007D2C90">
        <w:rPr>
          <w:rFonts w:eastAsia="Times New Roman"/>
          <w:b/>
        </w:rPr>
        <w:t xml:space="preserve"> from 2015 to 2040</w:t>
      </w:r>
      <w:r w:rsidR="00E47347">
        <w:rPr>
          <w:rFonts w:eastAsia="Times New Roman"/>
          <w:b/>
        </w:rPr>
        <w:t xml:space="preserve">. </w:t>
      </w:r>
    </w:p>
    <w:tbl>
      <w:tblPr>
        <w:tblpPr w:leftFromText="180" w:rightFromText="180" w:vertAnchor="page" w:horzAnchor="margin" w:tblpY="2131"/>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2070"/>
        <w:gridCol w:w="540"/>
        <w:gridCol w:w="900"/>
        <w:gridCol w:w="540"/>
        <w:gridCol w:w="900"/>
        <w:gridCol w:w="540"/>
        <w:gridCol w:w="900"/>
        <w:gridCol w:w="540"/>
      </w:tblGrid>
      <w:tr w:rsidR="00720B6E" w:rsidRPr="00EE0851" w14:paraId="3D270788" w14:textId="77777777" w:rsidTr="00720B6E">
        <w:trPr>
          <w:trHeight w:val="300"/>
        </w:trPr>
        <w:tc>
          <w:tcPr>
            <w:tcW w:w="3420" w:type="dxa"/>
            <w:shd w:val="clear" w:color="auto" w:fill="auto"/>
            <w:noWrap/>
            <w:vAlign w:val="bottom"/>
          </w:tcPr>
          <w:p w14:paraId="7F8D870E" w14:textId="77777777" w:rsidR="00720B6E" w:rsidRPr="00EE0851" w:rsidRDefault="00720B6E" w:rsidP="00720B6E">
            <w:pPr>
              <w:spacing w:after="0"/>
              <w:rPr>
                <w:rFonts w:ascii="Calibri" w:eastAsia="Times New Roman" w:hAnsi="Calibri" w:cs="Calibri"/>
                <w:b/>
                <w:color w:val="000000"/>
                <w:szCs w:val="22"/>
              </w:rPr>
            </w:pPr>
          </w:p>
        </w:tc>
        <w:tc>
          <w:tcPr>
            <w:tcW w:w="2070" w:type="dxa"/>
            <w:vAlign w:val="center"/>
          </w:tcPr>
          <w:p w14:paraId="73832C01" w14:textId="77777777" w:rsidR="00720B6E" w:rsidRDefault="00720B6E" w:rsidP="00720B6E">
            <w:pPr>
              <w:spacing w:after="0"/>
              <w:jc w:val="center"/>
              <w:rPr>
                <w:rFonts w:ascii="Calibri" w:eastAsia="Times New Roman" w:hAnsi="Calibri" w:cs="Calibri"/>
                <w:b/>
                <w:color w:val="000000"/>
              </w:rPr>
            </w:pPr>
            <w:r>
              <w:rPr>
                <w:rFonts w:ascii="Calibri" w:eastAsia="Times New Roman" w:hAnsi="Calibri" w:cs="Calibri"/>
                <w:b/>
                <w:color w:val="000000"/>
              </w:rPr>
              <w:t>Total Energy</w:t>
            </w:r>
          </w:p>
        </w:tc>
        <w:tc>
          <w:tcPr>
            <w:tcW w:w="4860" w:type="dxa"/>
            <w:gridSpan w:val="7"/>
            <w:vAlign w:val="center"/>
          </w:tcPr>
          <w:p w14:paraId="0A3C0F63" w14:textId="77777777" w:rsidR="00720B6E" w:rsidRDefault="00720B6E" w:rsidP="00720B6E">
            <w:pPr>
              <w:spacing w:after="0"/>
              <w:jc w:val="center"/>
              <w:rPr>
                <w:rFonts w:ascii="Calibri" w:eastAsia="Times New Roman" w:hAnsi="Calibri" w:cs="Calibri"/>
                <w:b/>
                <w:color w:val="000000"/>
              </w:rPr>
            </w:pPr>
            <w:r>
              <w:rPr>
                <w:rFonts w:ascii="Calibri" w:eastAsia="Times New Roman" w:hAnsi="Calibri" w:cs="Calibri"/>
                <w:b/>
                <w:color w:val="000000"/>
              </w:rPr>
              <w:t>HTL</w:t>
            </w:r>
          </w:p>
        </w:tc>
      </w:tr>
      <w:tr w:rsidR="00720B6E" w:rsidRPr="00EE0851" w14:paraId="1C9F7A0A" w14:textId="77777777" w:rsidTr="00720B6E">
        <w:trPr>
          <w:trHeight w:val="300"/>
        </w:trPr>
        <w:tc>
          <w:tcPr>
            <w:tcW w:w="3420" w:type="dxa"/>
            <w:shd w:val="clear" w:color="auto" w:fill="auto"/>
            <w:noWrap/>
            <w:vAlign w:val="bottom"/>
          </w:tcPr>
          <w:p w14:paraId="1D58B996" w14:textId="77777777" w:rsidR="00720B6E" w:rsidRPr="00EE0851" w:rsidRDefault="00720B6E" w:rsidP="00720B6E">
            <w:pPr>
              <w:spacing w:after="0"/>
              <w:rPr>
                <w:rFonts w:ascii="Calibri" w:eastAsia="Times New Roman" w:hAnsi="Calibri" w:cs="Calibri"/>
                <w:b/>
                <w:color w:val="000000"/>
                <w:szCs w:val="22"/>
              </w:rPr>
            </w:pPr>
            <w:r w:rsidRPr="00EE0851">
              <w:rPr>
                <w:rFonts w:ascii="Calibri" w:eastAsia="Times New Roman" w:hAnsi="Calibri" w:cs="Calibri"/>
                <w:b/>
                <w:color w:val="000000"/>
                <w:szCs w:val="22"/>
              </w:rPr>
              <w:t>Factor</w:t>
            </w:r>
            <w:r>
              <w:rPr>
                <w:rFonts w:ascii="Calibri" w:eastAsia="Times New Roman" w:hAnsi="Calibri" w:cs="Calibri"/>
                <w:b/>
                <w:color w:val="000000"/>
                <w:szCs w:val="22"/>
              </w:rPr>
              <w:t xml:space="preserve"> Name</w:t>
            </w:r>
          </w:p>
        </w:tc>
        <w:tc>
          <w:tcPr>
            <w:tcW w:w="2070" w:type="dxa"/>
            <w:vAlign w:val="center"/>
          </w:tcPr>
          <w:p w14:paraId="6FD46669" w14:textId="77777777" w:rsidR="00720B6E" w:rsidRPr="0050156A" w:rsidRDefault="00720B6E" w:rsidP="00720B6E">
            <w:pPr>
              <w:spacing w:after="0"/>
              <w:jc w:val="center"/>
              <w:rPr>
                <w:rFonts w:ascii="Calibri" w:eastAsia="Times New Roman" w:hAnsi="Calibri" w:cs="Calibri"/>
                <w:i/>
                <w:color w:val="000000"/>
              </w:rPr>
            </w:pPr>
            <w:r w:rsidRPr="0050156A">
              <w:rPr>
                <w:rFonts w:ascii="Calibri" w:eastAsia="Times New Roman" w:hAnsi="Calibri" w:cs="Calibri"/>
                <w:i/>
                <w:color w:val="000000"/>
              </w:rPr>
              <w:t>All Resources</w:t>
            </w:r>
          </w:p>
          <w:p w14:paraId="4269CFD1" w14:textId="77777777" w:rsidR="00720B6E" w:rsidRPr="0050156A" w:rsidRDefault="00720B6E" w:rsidP="00720B6E">
            <w:pPr>
              <w:spacing w:after="0"/>
              <w:jc w:val="center"/>
              <w:rPr>
                <w:rFonts w:ascii="Calibri" w:eastAsia="Times New Roman" w:hAnsi="Calibri" w:cs="Calibri"/>
                <w:i/>
                <w:color w:val="000000"/>
              </w:rPr>
            </w:pPr>
            <w:r w:rsidRPr="0050156A">
              <w:rPr>
                <w:rFonts w:ascii="Calibri" w:eastAsia="Times New Roman" w:hAnsi="Calibri" w:cs="Calibri"/>
                <w:i/>
                <w:color w:val="000000"/>
              </w:rPr>
              <w:t>(CAFO + POTW + LF)</w:t>
            </w:r>
          </w:p>
        </w:tc>
        <w:tc>
          <w:tcPr>
            <w:tcW w:w="1980" w:type="dxa"/>
            <w:gridSpan w:val="3"/>
            <w:vAlign w:val="center"/>
          </w:tcPr>
          <w:p w14:paraId="7056608F" w14:textId="77777777" w:rsidR="00720B6E" w:rsidRPr="0050156A" w:rsidRDefault="00720B6E" w:rsidP="00720B6E">
            <w:pPr>
              <w:spacing w:after="0"/>
              <w:jc w:val="center"/>
              <w:rPr>
                <w:rFonts w:ascii="Calibri" w:eastAsia="Times New Roman" w:hAnsi="Calibri" w:cs="Calibri"/>
                <w:i/>
                <w:color w:val="000000"/>
              </w:rPr>
            </w:pPr>
            <w:r w:rsidRPr="0050156A">
              <w:rPr>
                <w:rFonts w:ascii="Calibri" w:eastAsia="Times New Roman" w:hAnsi="Calibri" w:cs="Calibri"/>
                <w:i/>
                <w:color w:val="000000"/>
              </w:rPr>
              <w:t>All Resources (CAFO + POTW)</w:t>
            </w:r>
          </w:p>
        </w:tc>
        <w:tc>
          <w:tcPr>
            <w:tcW w:w="1440" w:type="dxa"/>
            <w:gridSpan w:val="2"/>
            <w:vAlign w:val="center"/>
          </w:tcPr>
          <w:p w14:paraId="3CC353C6" w14:textId="77777777" w:rsidR="00720B6E" w:rsidRPr="0050156A" w:rsidRDefault="00720B6E" w:rsidP="00720B6E">
            <w:pPr>
              <w:spacing w:after="0"/>
              <w:jc w:val="center"/>
              <w:rPr>
                <w:rFonts w:ascii="Calibri" w:eastAsia="Times New Roman" w:hAnsi="Calibri" w:cs="Calibri"/>
                <w:i/>
                <w:color w:val="000000"/>
              </w:rPr>
            </w:pPr>
            <w:r w:rsidRPr="0050156A">
              <w:rPr>
                <w:rFonts w:ascii="Calibri" w:eastAsia="Times New Roman" w:hAnsi="Calibri" w:cs="Calibri"/>
                <w:i/>
                <w:color w:val="000000"/>
              </w:rPr>
              <w:t>CAFO</w:t>
            </w:r>
          </w:p>
        </w:tc>
        <w:tc>
          <w:tcPr>
            <w:tcW w:w="1440" w:type="dxa"/>
            <w:gridSpan w:val="2"/>
            <w:vAlign w:val="center"/>
          </w:tcPr>
          <w:p w14:paraId="2C71964B" w14:textId="77777777" w:rsidR="00720B6E" w:rsidRPr="0050156A" w:rsidRDefault="00720B6E" w:rsidP="00720B6E">
            <w:pPr>
              <w:spacing w:after="0"/>
              <w:jc w:val="center"/>
              <w:rPr>
                <w:rFonts w:ascii="Calibri" w:eastAsia="Times New Roman" w:hAnsi="Calibri" w:cs="Calibri"/>
                <w:i/>
                <w:color w:val="000000"/>
              </w:rPr>
            </w:pPr>
            <w:r w:rsidRPr="0050156A">
              <w:rPr>
                <w:rFonts w:ascii="Calibri" w:eastAsia="Times New Roman" w:hAnsi="Calibri" w:cs="Calibri"/>
                <w:i/>
                <w:color w:val="000000"/>
              </w:rPr>
              <w:t>POTW</w:t>
            </w:r>
          </w:p>
        </w:tc>
      </w:tr>
      <w:tr w:rsidR="00720B6E" w:rsidRPr="00EE0851" w14:paraId="0C42CFA5" w14:textId="77777777" w:rsidTr="00720B6E">
        <w:trPr>
          <w:trHeight w:val="300"/>
        </w:trPr>
        <w:tc>
          <w:tcPr>
            <w:tcW w:w="3420" w:type="dxa"/>
            <w:shd w:val="clear" w:color="auto" w:fill="auto"/>
            <w:noWrap/>
            <w:vAlign w:val="bottom"/>
          </w:tcPr>
          <w:p w14:paraId="2D198D5A" w14:textId="77777777" w:rsidR="00720B6E" w:rsidRPr="00EE0851" w:rsidRDefault="00720B6E" w:rsidP="00720B6E">
            <w:pPr>
              <w:spacing w:after="0"/>
              <w:rPr>
                <w:rFonts w:ascii="Calibri" w:eastAsia="Times New Roman" w:hAnsi="Calibri" w:cs="Calibri"/>
                <w:b/>
                <w:color w:val="000000"/>
                <w:szCs w:val="22"/>
              </w:rPr>
            </w:pPr>
          </w:p>
        </w:tc>
        <w:tc>
          <w:tcPr>
            <w:tcW w:w="2070" w:type="dxa"/>
          </w:tcPr>
          <w:p w14:paraId="4850869E" w14:textId="77777777" w:rsidR="00720B6E" w:rsidRDefault="00720B6E" w:rsidP="00720B6E">
            <w:pPr>
              <w:spacing w:after="0"/>
              <w:jc w:val="center"/>
              <w:rPr>
                <w:rFonts w:ascii="Calibri" w:eastAsia="Times New Roman" w:hAnsi="Calibri" w:cs="Calibri"/>
                <w:b/>
                <w:color w:val="000000"/>
              </w:rPr>
            </w:pPr>
            <w:r>
              <w:rPr>
                <w:rFonts w:ascii="Calibri" w:eastAsia="Times New Roman" w:hAnsi="Calibri" w:cs="Calibri"/>
                <w:b/>
                <w:color w:val="000000"/>
              </w:rPr>
              <w:t>US</w:t>
            </w:r>
          </w:p>
        </w:tc>
        <w:tc>
          <w:tcPr>
            <w:tcW w:w="540" w:type="dxa"/>
          </w:tcPr>
          <w:p w14:paraId="54493BD5" w14:textId="77777777" w:rsidR="00720B6E" w:rsidRPr="00B02515" w:rsidRDefault="00720B6E" w:rsidP="00720B6E">
            <w:pPr>
              <w:spacing w:after="0"/>
              <w:jc w:val="center"/>
              <w:rPr>
                <w:rFonts w:ascii="Calibri" w:eastAsia="Times New Roman" w:hAnsi="Calibri" w:cs="Calibri"/>
                <w:b/>
                <w:color w:val="000000"/>
              </w:rPr>
            </w:pPr>
            <w:r w:rsidRPr="00B02515">
              <w:rPr>
                <w:rFonts w:ascii="Calibri" w:eastAsia="Times New Roman" w:hAnsi="Calibri" w:cs="Calibri"/>
                <w:b/>
                <w:color w:val="000000"/>
              </w:rPr>
              <w:t>US</w:t>
            </w:r>
          </w:p>
        </w:tc>
        <w:tc>
          <w:tcPr>
            <w:tcW w:w="900" w:type="dxa"/>
          </w:tcPr>
          <w:p w14:paraId="18892B74" w14:textId="77777777" w:rsidR="00720B6E" w:rsidRPr="00B02515" w:rsidRDefault="00720B6E" w:rsidP="00720B6E">
            <w:pPr>
              <w:spacing w:after="0"/>
              <w:jc w:val="center"/>
              <w:rPr>
                <w:rFonts w:ascii="Calibri" w:eastAsia="Times New Roman" w:hAnsi="Calibri" w:cs="Calibri"/>
                <w:b/>
                <w:color w:val="000000"/>
              </w:rPr>
            </w:pPr>
            <w:r w:rsidRPr="00B02515">
              <w:rPr>
                <w:rFonts w:ascii="Calibri" w:eastAsia="Times New Roman" w:hAnsi="Calibri" w:cs="Calibri"/>
                <w:b/>
                <w:color w:val="000000"/>
              </w:rPr>
              <w:t>ROTUS</w:t>
            </w:r>
          </w:p>
        </w:tc>
        <w:tc>
          <w:tcPr>
            <w:tcW w:w="540" w:type="dxa"/>
          </w:tcPr>
          <w:p w14:paraId="6154C925" w14:textId="77777777" w:rsidR="00720B6E" w:rsidRPr="00B02515" w:rsidRDefault="00720B6E" w:rsidP="00720B6E">
            <w:pPr>
              <w:spacing w:after="0"/>
              <w:jc w:val="center"/>
              <w:rPr>
                <w:rFonts w:ascii="Calibri" w:eastAsia="Times New Roman" w:hAnsi="Calibri" w:cs="Calibri"/>
                <w:b/>
                <w:color w:val="000000"/>
              </w:rPr>
            </w:pPr>
            <w:r w:rsidRPr="00B02515">
              <w:rPr>
                <w:rFonts w:ascii="Calibri" w:eastAsia="Times New Roman" w:hAnsi="Calibri" w:cs="Calibri"/>
                <w:b/>
                <w:color w:val="000000"/>
              </w:rPr>
              <w:t>CA</w:t>
            </w:r>
          </w:p>
        </w:tc>
        <w:tc>
          <w:tcPr>
            <w:tcW w:w="900" w:type="dxa"/>
          </w:tcPr>
          <w:p w14:paraId="0CB57FA3" w14:textId="77777777" w:rsidR="00720B6E" w:rsidRPr="00B02515" w:rsidRDefault="00720B6E" w:rsidP="00720B6E">
            <w:pPr>
              <w:spacing w:after="0"/>
              <w:jc w:val="center"/>
              <w:rPr>
                <w:rFonts w:ascii="Calibri" w:eastAsia="Times New Roman" w:hAnsi="Calibri" w:cs="Calibri"/>
                <w:b/>
                <w:color w:val="000000"/>
              </w:rPr>
            </w:pPr>
            <w:r w:rsidRPr="00B02515">
              <w:rPr>
                <w:rFonts w:ascii="Calibri" w:eastAsia="Times New Roman" w:hAnsi="Calibri" w:cs="Calibri"/>
                <w:b/>
                <w:color w:val="000000"/>
              </w:rPr>
              <w:t>ROTUS</w:t>
            </w:r>
          </w:p>
        </w:tc>
        <w:tc>
          <w:tcPr>
            <w:tcW w:w="540" w:type="dxa"/>
          </w:tcPr>
          <w:p w14:paraId="29EE58F9" w14:textId="77777777" w:rsidR="00720B6E" w:rsidRPr="00B02515" w:rsidRDefault="00720B6E" w:rsidP="00720B6E">
            <w:pPr>
              <w:spacing w:after="0"/>
              <w:jc w:val="center"/>
              <w:rPr>
                <w:rFonts w:ascii="Calibri" w:eastAsia="Times New Roman" w:hAnsi="Calibri" w:cs="Calibri"/>
                <w:b/>
                <w:color w:val="000000"/>
              </w:rPr>
            </w:pPr>
            <w:r w:rsidRPr="00B02515">
              <w:rPr>
                <w:rFonts w:ascii="Calibri" w:eastAsia="Times New Roman" w:hAnsi="Calibri" w:cs="Calibri"/>
                <w:b/>
                <w:color w:val="000000"/>
              </w:rPr>
              <w:t>CA</w:t>
            </w:r>
          </w:p>
        </w:tc>
        <w:tc>
          <w:tcPr>
            <w:tcW w:w="900" w:type="dxa"/>
          </w:tcPr>
          <w:p w14:paraId="37D80A3F" w14:textId="77777777" w:rsidR="00720B6E" w:rsidRPr="00B02515" w:rsidRDefault="00720B6E" w:rsidP="00720B6E">
            <w:pPr>
              <w:spacing w:after="0"/>
              <w:jc w:val="center"/>
              <w:rPr>
                <w:rFonts w:ascii="Calibri" w:eastAsia="Times New Roman" w:hAnsi="Calibri" w:cs="Calibri"/>
                <w:b/>
                <w:color w:val="000000"/>
              </w:rPr>
            </w:pPr>
            <w:r w:rsidRPr="00B02515">
              <w:rPr>
                <w:rFonts w:ascii="Calibri" w:eastAsia="Times New Roman" w:hAnsi="Calibri" w:cs="Calibri"/>
                <w:b/>
                <w:color w:val="000000"/>
              </w:rPr>
              <w:t>ROTUS</w:t>
            </w:r>
          </w:p>
        </w:tc>
        <w:tc>
          <w:tcPr>
            <w:tcW w:w="540" w:type="dxa"/>
          </w:tcPr>
          <w:p w14:paraId="760DD8CB" w14:textId="77777777" w:rsidR="00720B6E" w:rsidRPr="00B02515" w:rsidRDefault="00720B6E" w:rsidP="00720B6E">
            <w:pPr>
              <w:spacing w:after="0"/>
              <w:jc w:val="center"/>
              <w:rPr>
                <w:rFonts w:ascii="Calibri" w:eastAsia="Times New Roman" w:hAnsi="Calibri" w:cs="Calibri"/>
                <w:b/>
                <w:color w:val="000000"/>
              </w:rPr>
            </w:pPr>
            <w:r w:rsidRPr="00B02515">
              <w:rPr>
                <w:rFonts w:ascii="Calibri" w:eastAsia="Times New Roman" w:hAnsi="Calibri" w:cs="Calibri"/>
                <w:b/>
                <w:color w:val="000000"/>
              </w:rPr>
              <w:t>CA</w:t>
            </w:r>
          </w:p>
        </w:tc>
      </w:tr>
      <w:tr w:rsidR="00720B6E" w:rsidRPr="00EE0851" w14:paraId="019633B7" w14:textId="77777777" w:rsidTr="00720B6E">
        <w:trPr>
          <w:trHeight w:val="300"/>
        </w:trPr>
        <w:tc>
          <w:tcPr>
            <w:tcW w:w="3420" w:type="dxa"/>
            <w:shd w:val="clear" w:color="auto" w:fill="auto"/>
            <w:noWrap/>
            <w:vAlign w:val="bottom"/>
          </w:tcPr>
          <w:p w14:paraId="7A24B5FE" w14:textId="77777777" w:rsidR="00720B6E" w:rsidRPr="00EE0851" w:rsidRDefault="00720B6E" w:rsidP="00720B6E">
            <w:pPr>
              <w:spacing w:after="0"/>
              <w:rPr>
                <w:rFonts w:ascii="Calibri" w:eastAsia="Times New Roman" w:hAnsi="Calibri" w:cs="Calibri"/>
                <w:b/>
                <w:color w:val="000000"/>
                <w:szCs w:val="22"/>
              </w:rPr>
            </w:pPr>
            <w:r w:rsidRPr="00866D4B">
              <w:rPr>
                <w:rFonts w:ascii="Calibri" w:eastAsia="Times New Roman" w:hAnsi="Calibri" w:cs="Calibri"/>
                <w:color w:val="000000"/>
                <w:szCs w:val="22"/>
              </w:rPr>
              <w:t xml:space="preserve">Initial </w:t>
            </w:r>
            <w:r>
              <w:rPr>
                <w:rFonts w:ascii="Calibri" w:eastAsia="Times New Roman" w:hAnsi="Calibri" w:cs="Calibri"/>
                <w:color w:val="000000"/>
                <w:szCs w:val="22"/>
              </w:rPr>
              <w:t>commercial</w:t>
            </w:r>
            <w:r w:rsidRPr="00866D4B">
              <w:rPr>
                <w:rFonts w:ascii="Calibri" w:eastAsia="Times New Roman" w:hAnsi="Calibri" w:cs="Calibri"/>
                <w:color w:val="000000"/>
                <w:szCs w:val="22"/>
              </w:rPr>
              <w:t xml:space="preserve"> </w:t>
            </w:r>
            <w:r>
              <w:rPr>
                <w:rFonts w:ascii="Calibri" w:eastAsia="Times New Roman" w:hAnsi="Calibri" w:cs="Calibri"/>
                <w:color w:val="000000"/>
                <w:szCs w:val="22"/>
              </w:rPr>
              <w:t>m</w:t>
            </w:r>
            <w:r w:rsidRPr="00866D4B">
              <w:rPr>
                <w:rFonts w:ascii="Calibri" w:eastAsia="Times New Roman" w:hAnsi="Calibri" w:cs="Calibri"/>
                <w:color w:val="000000"/>
                <w:szCs w:val="22"/>
              </w:rPr>
              <w:t>aturity</w:t>
            </w:r>
            <w:r>
              <w:rPr>
                <w:rFonts w:ascii="Calibri" w:eastAsia="Times New Roman" w:hAnsi="Calibri" w:cs="Calibri"/>
                <w:color w:val="000000"/>
                <w:szCs w:val="22"/>
              </w:rPr>
              <w:t xml:space="preserve"> of HTL</w:t>
            </w:r>
          </w:p>
        </w:tc>
        <w:tc>
          <w:tcPr>
            <w:tcW w:w="2070" w:type="dxa"/>
            <w:vAlign w:val="center"/>
          </w:tcPr>
          <w:p w14:paraId="6D66D54B" w14:textId="77777777" w:rsidR="00720B6E" w:rsidRDefault="00720B6E" w:rsidP="00720B6E">
            <w:pPr>
              <w:spacing w:after="0"/>
              <w:jc w:val="center"/>
              <w:rPr>
                <w:rFonts w:ascii="Calibri" w:eastAsia="Times New Roman" w:hAnsi="Calibri" w:cs="Calibri"/>
                <w:b/>
                <w:color w:val="000000"/>
              </w:rPr>
            </w:pPr>
          </w:p>
        </w:tc>
        <w:tc>
          <w:tcPr>
            <w:tcW w:w="540" w:type="dxa"/>
            <w:shd w:val="clear" w:color="auto" w:fill="FFF2CC" w:themeFill="accent4" w:themeFillTint="33"/>
            <w:vAlign w:val="center"/>
          </w:tcPr>
          <w:p w14:paraId="1D11A08D"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1</w:t>
            </w:r>
          </w:p>
        </w:tc>
        <w:tc>
          <w:tcPr>
            <w:tcW w:w="900" w:type="dxa"/>
            <w:shd w:val="clear" w:color="auto" w:fill="FFF2CC" w:themeFill="accent4" w:themeFillTint="33"/>
            <w:vAlign w:val="center"/>
          </w:tcPr>
          <w:p w14:paraId="4848EFE7"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1</w:t>
            </w:r>
          </w:p>
        </w:tc>
        <w:tc>
          <w:tcPr>
            <w:tcW w:w="540" w:type="dxa"/>
            <w:shd w:val="clear" w:color="auto" w:fill="FFF2CC" w:themeFill="accent4" w:themeFillTint="33"/>
            <w:vAlign w:val="center"/>
          </w:tcPr>
          <w:p w14:paraId="312850FA"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1</w:t>
            </w:r>
          </w:p>
        </w:tc>
        <w:tc>
          <w:tcPr>
            <w:tcW w:w="900" w:type="dxa"/>
            <w:shd w:val="clear" w:color="auto" w:fill="FFF2CC" w:themeFill="accent4" w:themeFillTint="33"/>
            <w:vAlign w:val="center"/>
          </w:tcPr>
          <w:p w14:paraId="72B75B69"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1</w:t>
            </w:r>
          </w:p>
        </w:tc>
        <w:tc>
          <w:tcPr>
            <w:tcW w:w="540" w:type="dxa"/>
            <w:shd w:val="clear" w:color="auto" w:fill="FFF2CC" w:themeFill="accent4" w:themeFillTint="33"/>
            <w:vAlign w:val="center"/>
          </w:tcPr>
          <w:p w14:paraId="7F3ACE1E"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1</w:t>
            </w:r>
          </w:p>
        </w:tc>
        <w:tc>
          <w:tcPr>
            <w:tcW w:w="900" w:type="dxa"/>
            <w:shd w:val="clear" w:color="auto" w:fill="FFF2CC" w:themeFill="accent4" w:themeFillTint="33"/>
            <w:vAlign w:val="center"/>
          </w:tcPr>
          <w:p w14:paraId="0E024239"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1</w:t>
            </w:r>
          </w:p>
        </w:tc>
        <w:tc>
          <w:tcPr>
            <w:tcW w:w="540" w:type="dxa"/>
            <w:shd w:val="clear" w:color="auto" w:fill="FFF2CC" w:themeFill="accent4" w:themeFillTint="33"/>
            <w:vAlign w:val="center"/>
          </w:tcPr>
          <w:p w14:paraId="07B338C9"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1</w:t>
            </w:r>
          </w:p>
        </w:tc>
      </w:tr>
      <w:tr w:rsidR="00720B6E" w:rsidRPr="00EE0851" w14:paraId="15B6C728" w14:textId="77777777" w:rsidTr="00720B6E">
        <w:trPr>
          <w:trHeight w:val="300"/>
        </w:trPr>
        <w:tc>
          <w:tcPr>
            <w:tcW w:w="3420" w:type="dxa"/>
            <w:shd w:val="clear" w:color="auto" w:fill="auto"/>
            <w:noWrap/>
            <w:vAlign w:val="bottom"/>
          </w:tcPr>
          <w:p w14:paraId="7A4AABE6" w14:textId="77777777" w:rsidR="00720B6E" w:rsidRPr="00866D4B" w:rsidRDefault="00720B6E" w:rsidP="00720B6E">
            <w:pPr>
              <w:spacing w:after="0"/>
              <w:rPr>
                <w:rFonts w:ascii="Calibri" w:eastAsia="Times New Roman" w:hAnsi="Calibri" w:cs="Calibri"/>
                <w:color w:val="000000"/>
                <w:szCs w:val="22"/>
              </w:rPr>
            </w:pPr>
            <w:r w:rsidRPr="00866D4B">
              <w:rPr>
                <w:rFonts w:ascii="Calibri" w:eastAsia="Times New Roman" w:hAnsi="Calibri" w:cs="Calibri"/>
                <w:color w:val="000000"/>
                <w:szCs w:val="22"/>
              </w:rPr>
              <w:t xml:space="preserve">RIN </w:t>
            </w:r>
            <w:r>
              <w:rPr>
                <w:rFonts w:ascii="Calibri" w:eastAsia="Times New Roman" w:hAnsi="Calibri" w:cs="Calibri"/>
                <w:color w:val="000000"/>
                <w:szCs w:val="22"/>
              </w:rPr>
              <w:t>m</w:t>
            </w:r>
            <w:r w:rsidRPr="00866D4B">
              <w:rPr>
                <w:rFonts w:ascii="Calibri" w:eastAsia="Times New Roman" w:hAnsi="Calibri" w:cs="Calibri"/>
                <w:color w:val="000000"/>
                <w:szCs w:val="22"/>
              </w:rPr>
              <w:t>ultiplier</w:t>
            </w:r>
          </w:p>
        </w:tc>
        <w:tc>
          <w:tcPr>
            <w:tcW w:w="2070" w:type="dxa"/>
          </w:tcPr>
          <w:p w14:paraId="1DB18E25" w14:textId="77777777" w:rsidR="00720B6E" w:rsidRDefault="00720B6E" w:rsidP="00720B6E">
            <w:pPr>
              <w:spacing w:after="0"/>
              <w:jc w:val="center"/>
              <w:rPr>
                <w:rFonts w:ascii="Calibri" w:eastAsia="Times New Roman" w:hAnsi="Calibri" w:cs="Calibri"/>
                <w:b/>
                <w:color w:val="000000"/>
              </w:rPr>
            </w:pPr>
          </w:p>
        </w:tc>
        <w:tc>
          <w:tcPr>
            <w:tcW w:w="540" w:type="dxa"/>
            <w:shd w:val="clear" w:color="auto" w:fill="FFD966" w:themeFill="accent4" w:themeFillTint="99"/>
            <w:vAlign w:val="center"/>
          </w:tcPr>
          <w:p w14:paraId="3FA6DC8F"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2</w:t>
            </w:r>
          </w:p>
        </w:tc>
        <w:tc>
          <w:tcPr>
            <w:tcW w:w="900" w:type="dxa"/>
            <w:shd w:val="clear" w:color="auto" w:fill="FFD966" w:themeFill="accent4" w:themeFillTint="99"/>
            <w:vAlign w:val="center"/>
          </w:tcPr>
          <w:p w14:paraId="7F683FD9"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2</w:t>
            </w:r>
          </w:p>
        </w:tc>
        <w:tc>
          <w:tcPr>
            <w:tcW w:w="540" w:type="dxa"/>
            <w:shd w:val="clear" w:color="auto" w:fill="FFC000"/>
            <w:vAlign w:val="center"/>
          </w:tcPr>
          <w:p w14:paraId="5D66693B"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3</w:t>
            </w:r>
          </w:p>
        </w:tc>
        <w:tc>
          <w:tcPr>
            <w:tcW w:w="900" w:type="dxa"/>
            <w:shd w:val="clear" w:color="auto" w:fill="FFC000"/>
            <w:vAlign w:val="center"/>
          </w:tcPr>
          <w:p w14:paraId="3CDFF0F3"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3</w:t>
            </w:r>
          </w:p>
        </w:tc>
        <w:tc>
          <w:tcPr>
            <w:tcW w:w="540" w:type="dxa"/>
            <w:shd w:val="clear" w:color="auto" w:fill="FFC000"/>
            <w:vAlign w:val="center"/>
          </w:tcPr>
          <w:p w14:paraId="762B5F0F"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3</w:t>
            </w:r>
          </w:p>
        </w:tc>
        <w:tc>
          <w:tcPr>
            <w:tcW w:w="900" w:type="dxa"/>
            <w:shd w:val="clear" w:color="auto" w:fill="FFD966" w:themeFill="accent4" w:themeFillTint="99"/>
            <w:vAlign w:val="center"/>
          </w:tcPr>
          <w:p w14:paraId="78EAB8E8"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2</w:t>
            </w:r>
          </w:p>
        </w:tc>
        <w:tc>
          <w:tcPr>
            <w:tcW w:w="540" w:type="dxa"/>
            <w:shd w:val="clear" w:color="auto" w:fill="FFD966" w:themeFill="accent4" w:themeFillTint="99"/>
            <w:vAlign w:val="center"/>
          </w:tcPr>
          <w:p w14:paraId="5FC4A33A"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2</w:t>
            </w:r>
          </w:p>
        </w:tc>
      </w:tr>
      <w:tr w:rsidR="00720B6E" w:rsidRPr="00EE0851" w14:paraId="2B57A50A" w14:textId="77777777" w:rsidTr="00720B6E">
        <w:trPr>
          <w:trHeight w:val="300"/>
        </w:trPr>
        <w:tc>
          <w:tcPr>
            <w:tcW w:w="3420" w:type="dxa"/>
            <w:shd w:val="clear" w:color="auto" w:fill="auto"/>
            <w:noWrap/>
            <w:vAlign w:val="bottom"/>
          </w:tcPr>
          <w:p w14:paraId="20031044" w14:textId="77777777" w:rsidR="00720B6E" w:rsidRPr="00866D4B" w:rsidRDefault="00720B6E" w:rsidP="00720B6E">
            <w:pPr>
              <w:spacing w:after="0"/>
              <w:rPr>
                <w:rFonts w:ascii="Calibri" w:eastAsia="Times New Roman" w:hAnsi="Calibri" w:cs="Calibri"/>
                <w:color w:val="000000"/>
                <w:szCs w:val="22"/>
              </w:rPr>
            </w:pPr>
            <w:r>
              <w:rPr>
                <w:rFonts w:ascii="Calibri" w:eastAsia="Times New Roman" w:hAnsi="Calibri" w:cs="Calibri"/>
                <w:color w:val="000000"/>
                <w:szCs w:val="22"/>
              </w:rPr>
              <w:t>Construction duration multiplier</w:t>
            </w:r>
          </w:p>
        </w:tc>
        <w:tc>
          <w:tcPr>
            <w:tcW w:w="2070" w:type="dxa"/>
            <w:shd w:val="clear" w:color="auto" w:fill="FFE599" w:themeFill="accent4" w:themeFillTint="66"/>
            <w:vAlign w:val="center"/>
          </w:tcPr>
          <w:p w14:paraId="3093C62A" w14:textId="77777777" w:rsidR="00720B6E" w:rsidRDefault="00720B6E" w:rsidP="00720B6E">
            <w:pPr>
              <w:spacing w:after="0"/>
              <w:jc w:val="center"/>
              <w:rPr>
                <w:rFonts w:ascii="Calibri" w:eastAsia="Times New Roman" w:hAnsi="Calibri" w:cs="Calibri"/>
                <w:b/>
                <w:color w:val="000000"/>
              </w:rPr>
            </w:pPr>
            <w:r>
              <w:rPr>
                <w:rFonts w:ascii="Calibri" w:eastAsia="Times New Roman" w:hAnsi="Calibri" w:cs="Calibri"/>
                <w:color w:val="000000"/>
                <w:szCs w:val="22"/>
              </w:rPr>
              <w:t>2</w:t>
            </w:r>
          </w:p>
        </w:tc>
        <w:tc>
          <w:tcPr>
            <w:tcW w:w="540" w:type="dxa"/>
            <w:shd w:val="clear" w:color="auto" w:fill="FFC000"/>
            <w:vAlign w:val="center"/>
          </w:tcPr>
          <w:p w14:paraId="3025FB59"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3</w:t>
            </w:r>
          </w:p>
        </w:tc>
        <w:tc>
          <w:tcPr>
            <w:tcW w:w="900" w:type="dxa"/>
            <w:shd w:val="clear" w:color="auto" w:fill="FFC000"/>
            <w:vAlign w:val="center"/>
          </w:tcPr>
          <w:p w14:paraId="3C2840C0"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3</w:t>
            </w:r>
          </w:p>
        </w:tc>
        <w:tc>
          <w:tcPr>
            <w:tcW w:w="540" w:type="dxa"/>
            <w:shd w:val="clear" w:color="auto" w:fill="FFD966" w:themeFill="accent4" w:themeFillTint="99"/>
            <w:vAlign w:val="center"/>
          </w:tcPr>
          <w:p w14:paraId="6F48E129"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2</w:t>
            </w:r>
          </w:p>
        </w:tc>
        <w:tc>
          <w:tcPr>
            <w:tcW w:w="900" w:type="dxa"/>
            <w:shd w:val="clear" w:color="auto" w:fill="FFD966" w:themeFill="accent4" w:themeFillTint="99"/>
            <w:vAlign w:val="center"/>
          </w:tcPr>
          <w:p w14:paraId="59F2D2CF"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2</w:t>
            </w:r>
          </w:p>
        </w:tc>
        <w:tc>
          <w:tcPr>
            <w:tcW w:w="540" w:type="dxa"/>
            <w:shd w:val="clear" w:color="auto" w:fill="FFD966" w:themeFill="accent4" w:themeFillTint="99"/>
            <w:vAlign w:val="center"/>
          </w:tcPr>
          <w:p w14:paraId="538E4536"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2</w:t>
            </w:r>
          </w:p>
        </w:tc>
        <w:tc>
          <w:tcPr>
            <w:tcW w:w="900" w:type="dxa"/>
            <w:shd w:val="clear" w:color="auto" w:fill="BF8F00" w:themeFill="accent4" w:themeFillShade="BF"/>
            <w:vAlign w:val="center"/>
          </w:tcPr>
          <w:p w14:paraId="140205AE"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4</w:t>
            </w:r>
          </w:p>
        </w:tc>
        <w:tc>
          <w:tcPr>
            <w:tcW w:w="540" w:type="dxa"/>
            <w:shd w:val="clear" w:color="auto" w:fill="BF8F00" w:themeFill="accent4" w:themeFillShade="BF"/>
            <w:vAlign w:val="center"/>
          </w:tcPr>
          <w:p w14:paraId="2CA0AE9E"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4</w:t>
            </w:r>
          </w:p>
        </w:tc>
      </w:tr>
      <w:tr w:rsidR="00720B6E" w14:paraId="74505A3D" w14:textId="77777777" w:rsidTr="00720B6E">
        <w:trPr>
          <w:trHeight w:val="300"/>
        </w:trPr>
        <w:tc>
          <w:tcPr>
            <w:tcW w:w="3420" w:type="dxa"/>
            <w:shd w:val="clear" w:color="auto" w:fill="auto"/>
            <w:noWrap/>
            <w:vAlign w:val="bottom"/>
          </w:tcPr>
          <w:p w14:paraId="5C63289A" w14:textId="77777777" w:rsidR="00720B6E" w:rsidRPr="00866D4B" w:rsidRDefault="00720B6E" w:rsidP="00720B6E">
            <w:pPr>
              <w:spacing w:after="0"/>
              <w:rPr>
                <w:rFonts w:ascii="Calibri" w:eastAsia="Times New Roman" w:hAnsi="Calibri" w:cs="Calibri"/>
                <w:color w:val="000000"/>
                <w:szCs w:val="22"/>
              </w:rPr>
            </w:pPr>
            <w:r>
              <w:rPr>
                <w:rFonts w:ascii="Calibri" w:eastAsia="Times New Roman" w:hAnsi="Calibri" w:cs="Calibri"/>
                <w:color w:val="000000"/>
                <w:szCs w:val="22"/>
              </w:rPr>
              <w:t>Disposal cost</w:t>
            </w:r>
          </w:p>
        </w:tc>
        <w:tc>
          <w:tcPr>
            <w:tcW w:w="2070" w:type="dxa"/>
            <w:shd w:val="clear" w:color="auto" w:fill="auto"/>
            <w:vAlign w:val="center"/>
          </w:tcPr>
          <w:p w14:paraId="63199015" w14:textId="77777777" w:rsidR="00720B6E" w:rsidRDefault="00720B6E" w:rsidP="00720B6E">
            <w:pPr>
              <w:spacing w:after="0"/>
              <w:jc w:val="center"/>
              <w:rPr>
                <w:rFonts w:ascii="Calibri" w:eastAsia="Times New Roman" w:hAnsi="Calibri" w:cs="Calibri"/>
                <w:color w:val="000000"/>
                <w:szCs w:val="22"/>
              </w:rPr>
            </w:pPr>
          </w:p>
        </w:tc>
        <w:tc>
          <w:tcPr>
            <w:tcW w:w="540" w:type="dxa"/>
            <w:shd w:val="clear" w:color="auto" w:fill="BF8F00" w:themeFill="accent4" w:themeFillShade="BF"/>
            <w:vAlign w:val="center"/>
          </w:tcPr>
          <w:p w14:paraId="66B9644C"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4</w:t>
            </w:r>
          </w:p>
        </w:tc>
        <w:tc>
          <w:tcPr>
            <w:tcW w:w="900" w:type="dxa"/>
            <w:shd w:val="clear" w:color="auto" w:fill="FFFFFF" w:themeFill="background1"/>
            <w:vAlign w:val="center"/>
          </w:tcPr>
          <w:p w14:paraId="71499C4F" w14:textId="77777777" w:rsidR="00720B6E" w:rsidRPr="00B02515" w:rsidRDefault="00720B6E" w:rsidP="00720B6E">
            <w:pPr>
              <w:spacing w:after="0"/>
              <w:jc w:val="center"/>
              <w:rPr>
                <w:rFonts w:ascii="Calibri" w:eastAsia="Times New Roman" w:hAnsi="Calibri" w:cs="Calibri"/>
                <w:color w:val="000000"/>
                <w:szCs w:val="22"/>
              </w:rPr>
            </w:pPr>
          </w:p>
        </w:tc>
        <w:tc>
          <w:tcPr>
            <w:tcW w:w="540" w:type="dxa"/>
            <w:shd w:val="clear" w:color="auto" w:fill="BF8F00" w:themeFill="accent4" w:themeFillShade="BF"/>
            <w:vAlign w:val="center"/>
          </w:tcPr>
          <w:p w14:paraId="2FFE87B3"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4</w:t>
            </w:r>
          </w:p>
        </w:tc>
        <w:tc>
          <w:tcPr>
            <w:tcW w:w="900" w:type="dxa"/>
            <w:shd w:val="clear" w:color="auto" w:fill="BF8F00" w:themeFill="accent4" w:themeFillShade="BF"/>
            <w:vAlign w:val="center"/>
          </w:tcPr>
          <w:p w14:paraId="52A8A163"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4</w:t>
            </w:r>
          </w:p>
        </w:tc>
        <w:tc>
          <w:tcPr>
            <w:tcW w:w="540" w:type="dxa"/>
            <w:shd w:val="clear" w:color="auto" w:fill="BF8F00" w:themeFill="accent4" w:themeFillShade="BF"/>
            <w:vAlign w:val="center"/>
          </w:tcPr>
          <w:p w14:paraId="2A44381F"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4</w:t>
            </w:r>
          </w:p>
        </w:tc>
        <w:tc>
          <w:tcPr>
            <w:tcW w:w="900" w:type="dxa"/>
            <w:shd w:val="clear" w:color="auto" w:fill="auto"/>
            <w:vAlign w:val="center"/>
          </w:tcPr>
          <w:p w14:paraId="1629B8FC" w14:textId="77777777" w:rsidR="00720B6E" w:rsidRPr="00B02515" w:rsidRDefault="00720B6E" w:rsidP="00720B6E">
            <w:pPr>
              <w:spacing w:after="0"/>
              <w:jc w:val="center"/>
              <w:rPr>
                <w:rFonts w:ascii="Calibri" w:eastAsia="Times New Roman" w:hAnsi="Calibri" w:cs="Calibri"/>
                <w:color w:val="000000"/>
                <w:szCs w:val="22"/>
              </w:rPr>
            </w:pPr>
          </w:p>
        </w:tc>
        <w:tc>
          <w:tcPr>
            <w:tcW w:w="540" w:type="dxa"/>
            <w:shd w:val="clear" w:color="auto" w:fill="auto"/>
            <w:vAlign w:val="center"/>
          </w:tcPr>
          <w:p w14:paraId="59AA461B" w14:textId="77777777" w:rsidR="00720B6E" w:rsidRPr="00B02515" w:rsidRDefault="00720B6E" w:rsidP="00720B6E">
            <w:pPr>
              <w:spacing w:after="0"/>
              <w:jc w:val="center"/>
              <w:rPr>
                <w:rFonts w:ascii="Calibri" w:eastAsia="Times New Roman" w:hAnsi="Calibri" w:cs="Calibri"/>
                <w:color w:val="000000"/>
                <w:szCs w:val="22"/>
              </w:rPr>
            </w:pPr>
          </w:p>
        </w:tc>
      </w:tr>
      <w:tr w:rsidR="00720B6E" w14:paraId="533EA000" w14:textId="77777777" w:rsidTr="00720B6E">
        <w:trPr>
          <w:trHeight w:val="300"/>
        </w:trPr>
        <w:tc>
          <w:tcPr>
            <w:tcW w:w="3420" w:type="dxa"/>
            <w:shd w:val="clear" w:color="auto" w:fill="auto"/>
            <w:noWrap/>
            <w:vAlign w:val="bottom"/>
          </w:tcPr>
          <w:p w14:paraId="49A2CD98" w14:textId="77777777" w:rsidR="00720B6E" w:rsidRDefault="00720B6E" w:rsidP="00720B6E">
            <w:pPr>
              <w:spacing w:after="0"/>
              <w:rPr>
                <w:rFonts w:ascii="Calibri" w:eastAsia="Times New Roman" w:hAnsi="Calibri" w:cs="Calibri"/>
                <w:color w:val="000000"/>
                <w:szCs w:val="22"/>
              </w:rPr>
            </w:pPr>
            <w:r w:rsidRPr="00866D4B">
              <w:rPr>
                <w:rFonts w:ascii="Calibri" w:eastAsia="Times New Roman" w:hAnsi="Calibri" w:cs="Calibri"/>
                <w:color w:val="000000"/>
                <w:szCs w:val="22"/>
              </w:rPr>
              <w:t xml:space="preserve">PTC REC </w:t>
            </w:r>
            <w:r>
              <w:rPr>
                <w:rFonts w:ascii="Calibri" w:eastAsia="Times New Roman" w:hAnsi="Calibri" w:cs="Calibri"/>
                <w:color w:val="000000"/>
                <w:szCs w:val="22"/>
              </w:rPr>
              <w:t>m</w:t>
            </w:r>
            <w:r w:rsidRPr="00866D4B">
              <w:rPr>
                <w:rFonts w:ascii="Calibri" w:eastAsia="Times New Roman" w:hAnsi="Calibri" w:cs="Calibri"/>
                <w:color w:val="000000"/>
                <w:szCs w:val="22"/>
              </w:rPr>
              <w:t>ultiplier</w:t>
            </w:r>
          </w:p>
        </w:tc>
        <w:tc>
          <w:tcPr>
            <w:tcW w:w="2070" w:type="dxa"/>
            <w:shd w:val="clear" w:color="auto" w:fill="FFF2CC" w:themeFill="accent4" w:themeFillTint="33"/>
            <w:vAlign w:val="center"/>
          </w:tcPr>
          <w:p w14:paraId="05B62EBE" w14:textId="77777777" w:rsidR="00720B6E" w:rsidRDefault="00720B6E" w:rsidP="00720B6E">
            <w:pPr>
              <w:spacing w:after="0"/>
              <w:jc w:val="center"/>
              <w:rPr>
                <w:rFonts w:ascii="Calibri" w:eastAsia="Times New Roman" w:hAnsi="Calibri" w:cs="Calibri"/>
                <w:color w:val="000000"/>
                <w:szCs w:val="22"/>
              </w:rPr>
            </w:pPr>
            <w:r>
              <w:rPr>
                <w:rFonts w:ascii="Calibri" w:eastAsia="Times New Roman" w:hAnsi="Calibri" w:cs="Calibri"/>
                <w:color w:val="000000"/>
                <w:szCs w:val="22"/>
              </w:rPr>
              <w:t>1</w:t>
            </w:r>
          </w:p>
        </w:tc>
        <w:tc>
          <w:tcPr>
            <w:tcW w:w="540" w:type="dxa"/>
            <w:shd w:val="clear" w:color="auto" w:fill="806000" w:themeFill="accent4" w:themeFillShade="80"/>
            <w:vAlign w:val="center"/>
          </w:tcPr>
          <w:p w14:paraId="392BDF6E"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5</w:t>
            </w:r>
          </w:p>
        </w:tc>
        <w:tc>
          <w:tcPr>
            <w:tcW w:w="900" w:type="dxa"/>
            <w:shd w:val="clear" w:color="auto" w:fill="BF8F00" w:themeFill="accent4" w:themeFillShade="BF"/>
            <w:vAlign w:val="center"/>
          </w:tcPr>
          <w:p w14:paraId="63273F79"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4</w:t>
            </w:r>
          </w:p>
        </w:tc>
        <w:tc>
          <w:tcPr>
            <w:tcW w:w="540" w:type="dxa"/>
            <w:shd w:val="clear" w:color="auto" w:fill="FFFFFF" w:themeFill="background1"/>
            <w:vAlign w:val="center"/>
          </w:tcPr>
          <w:p w14:paraId="73BAEDDB" w14:textId="77777777" w:rsidR="00720B6E" w:rsidRPr="00B02515" w:rsidRDefault="00720B6E" w:rsidP="00720B6E">
            <w:pPr>
              <w:spacing w:after="0"/>
              <w:jc w:val="center"/>
              <w:rPr>
                <w:rFonts w:ascii="Calibri" w:eastAsia="Times New Roman" w:hAnsi="Calibri" w:cs="Calibri"/>
                <w:color w:val="000000"/>
                <w:szCs w:val="22"/>
              </w:rPr>
            </w:pPr>
          </w:p>
        </w:tc>
        <w:tc>
          <w:tcPr>
            <w:tcW w:w="900" w:type="dxa"/>
            <w:shd w:val="clear" w:color="auto" w:fill="FFFFFF" w:themeFill="background1"/>
            <w:vAlign w:val="center"/>
          </w:tcPr>
          <w:p w14:paraId="6543CFC9" w14:textId="77777777" w:rsidR="00720B6E" w:rsidRPr="00B02515" w:rsidRDefault="00720B6E" w:rsidP="00720B6E">
            <w:pPr>
              <w:spacing w:after="0"/>
              <w:jc w:val="center"/>
              <w:rPr>
                <w:rFonts w:ascii="Calibri" w:eastAsia="Times New Roman" w:hAnsi="Calibri" w:cs="Calibri"/>
                <w:color w:val="000000"/>
                <w:szCs w:val="22"/>
              </w:rPr>
            </w:pPr>
          </w:p>
        </w:tc>
        <w:tc>
          <w:tcPr>
            <w:tcW w:w="540" w:type="dxa"/>
            <w:shd w:val="clear" w:color="auto" w:fill="FFFFFF" w:themeFill="background1"/>
            <w:vAlign w:val="center"/>
          </w:tcPr>
          <w:p w14:paraId="75873B24" w14:textId="77777777" w:rsidR="00720B6E" w:rsidRPr="00B02515" w:rsidRDefault="00720B6E" w:rsidP="00720B6E">
            <w:pPr>
              <w:spacing w:after="0"/>
              <w:jc w:val="center"/>
              <w:rPr>
                <w:rFonts w:ascii="Calibri" w:eastAsia="Times New Roman" w:hAnsi="Calibri" w:cs="Calibri"/>
                <w:color w:val="000000"/>
                <w:szCs w:val="22"/>
              </w:rPr>
            </w:pPr>
          </w:p>
        </w:tc>
        <w:tc>
          <w:tcPr>
            <w:tcW w:w="900" w:type="dxa"/>
            <w:shd w:val="clear" w:color="auto" w:fill="FFC000"/>
            <w:vAlign w:val="center"/>
          </w:tcPr>
          <w:p w14:paraId="5FF4CE36"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3</w:t>
            </w:r>
          </w:p>
        </w:tc>
        <w:tc>
          <w:tcPr>
            <w:tcW w:w="540" w:type="dxa"/>
            <w:shd w:val="clear" w:color="auto" w:fill="FFC000"/>
            <w:vAlign w:val="center"/>
          </w:tcPr>
          <w:p w14:paraId="4D97CA74" w14:textId="77777777" w:rsidR="00720B6E" w:rsidRPr="00B02515" w:rsidRDefault="00720B6E" w:rsidP="00720B6E">
            <w:pPr>
              <w:spacing w:after="0"/>
              <w:jc w:val="center"/>
              <w:rPr>
                <w:rFonts w:ascii="Calibri" w:eastAsia="Times New Roman" w:hAnsi="Calibri" w:cs="Calibri"/>
                <w:color w:val="000000"/>
                <w:szCs w:val="22"/>
              </w:rPr>
            </w:pPr>
            <w:r w:rsidRPr="00B02515">
              <w:rPr>
                <w:rFonts w:ascii="Calibri" w:eastAsia="Times New Roman" w:hAnsi="Calibri" w:cs="Calibri"/>
                <w:color w:val="000000"/>
                <w:szCs w:val="22"/>
              </w:rPr>
              <w:t>3</w:t>
            </w:r>
          </w:p>
        </w:tc>
      </w:tr>
    </w:tbl>
    <w:p w14:paraId="513AF2D3" w14:textId="3426D28D" w:rsidR="00207905" w:rsidRDefault="00E47347" w:rsidP="00401B56">
      <w:r w:rsidRPr="00257E36">
        <w:rPr>
          <w:rFonts w:eastAsia="Times New Roman"/>
          <w:sz w:val="21"/>
        </w:rPr>
        <w:t>Abbreviations: CAFO = concentrated animal feeding operation; POTW = publicly owned treatment work</w:t>
      </w:r>
      <w:r w:rsidR="00B01061">
        <w:rPr>
          <w:rFonts w:eastAsia="Times New Roman"/>
          <w:sz w:val="21"/>
        </w:rPr>
        <w:t>s</w:t>
      </w:r>
      <w:r w:rsidRPr="00257E36">
        <w:rPr>
          <w:rFonts w:eastAsia="Times New Roman"/>
          <w:sz w:val="21"/>
        </w:rPr>
        <w:t>; LF = landfill; US = entire U.S.; CA = California; ROTUS = rest of the U.S. [everything except CA].</w:t>
      </w:r>
    </w:p>
    <w:p w14:paraId="05ECF987" w14:textId="28BB98DA" w:rsidR="00B255C5" w:rsidRDefault="002B1CE6" w:rsidP="00720B6E">
      <w:pPr>
        <w:spacing w:after="160" w:line="259" w:lineRule="auto"/>
        <w:rPr>
          <w:b/>
        </w:rPr>
      </w:pPr>
      <w:r w:rsidRPr="002B1CE6">
        <w:rPr>
          <w:b/>
        </w:rPr>
        <w:t>Insight #</w:t>
      </w:r>
      <w:r w:rsidR="00377459">
        <w:rPr>
          <w:b/>
        </w:rPr>
        <w:t>5</w:t>
      </w:r>
      <w:r w:rsidRPr="002B1CE6">
        <w:rPr>
          <w:b/>
        </w:rPr>
        <w:t xml:space="preserve">. </w:t>
      </w:r>
      <w:r w:rsidR="00B255C5" w:rsidRPr="00B255C5">
        <w:rPr>
          <w:b/>
        </w:rPr>
        <w:t xml:space="preserve">Simulations with higher HTL </w:t>
      </w:r>
      <w:r w:rsidR="00B255C5" w:rsidRPr="00620F6D">
        <w:rPr>
          <w:b/>
        </w:rPr>
        <w:t xml:space="preserve">production </w:t>
      </w:r>
      <w:r w:rsidR="004164F9" w:rsidRPr="00620F6D">
        <w:rPr>
          <w:b/>
        </w:rPr>
        <w:t xml:space="preserve">have higher </w:t>
      </w:r>
      <w:r w:rsidR="00C85233" w:rsidRPr="00620F6D">
        <w:rPr>
          <w:b/>
        </w:rPr>
        <w:t xml:space="preserve">initial commercial maturity of </w:t>
      </w:r>
      <w:r w:rsidR="004164F9" w:rsidRPr="00620F6D">
        <w:rPr>
          <w:b/>
        </w:rPr>
        <w:t xml:space="preserve">HTL </w:t>
      </w:r>
      <w:r w:rsidR="004164F9" w:rsidRPr="00620F6D">
        <w:rPr>
          <w:b/>
          <w:i/>
        </w:rPr>
        <w:t>and</w:t>
      </w:r>
      <w:r w:rsidR="004164F9" w:rsidRPr="00620F6D">
        <w:rPr>
          <w:b/>
        </w:rPr>
        <w:t xml:space="preserve"> external conditions that favor HTL</w:t>
      </w:r>
      <w:r w:rsidR="004164F9" w:rsidRPr="00B255C5" w:rsidDel="004164F9">
        <w:rPr>
          <w:b/>
        </w:rPr>
        <w:t xml:space="preserve"> </w:t>
      </w:r>
      <w:r w:rsidR="00B255C5" w:rsidRPr="00B255C5">
        <w:rPr>
          <w:b/>
        </w:rPr>
        <w:t>relative to other investment options</w:t>
      </w:r>
      <w:r w:rsidR="00B255C5">
        <w:rPr>
          <w:b/>
        </w:rPr>
        <w:t xml:space="preserve">. </w:t>
      </w:r>
    </w:p>
    <w:p w14:paraId="37641752" w14:textId="4482DBAB" w:rsidR="00BE5C4F" w:rsidRDefault="004D1370" w:rsidP="002B1CE6">
      <w:r>
        <w:t xml:space="preserve">Figure </w:t>
      </w:r>
      <w:r w:rsidR="00F942B4">
        <w:t>3</w:t>
      </w:r>
      <w:r>
        <w:t xml:space="preserve"> shows a regression tree generated for total energy production from HTL and </w:t>
      </w:r>
      <w:r w:rsidRPr="00E52611">
        <w:t xml:space="preserve">indicates how the </w:t>
      </w:r>
      <w:r w:rsidR="00B255C5">
        <w:t xml:space="preserve">values of </w:t>
      </w:r>
      <w:r w:rsidRPr="00E52611">
        <w:t xml:space="preserve">important factors </w:t>
      </w:r>
      <w:r w:rsidR="00B255C5">
        <w:t xml:space="preserve">are </w:t>
      </w:r>
      <w:r w:rsidRPr="00E52611">
        <w:t>distinguish</w:t>
      </w:r>
      <w:r w:rsidR="00B255C5">
        <w:t>ed</w:t>
      </w:r>
      <w:r w:rsidRPr="00E52611">
        <w:t xml:space="preserve"> </w:t>
      </w:r>
      <w:r w:rsidR="00B255C5">
        <w:t xml:space="preserve">for </w:t>
      </w:r>
      <w:r w:rsidRPr="00E52611">
        <w:t>simulations with the greatest HTL production</w:t>
      </w:r>
      <w:r w:rsidRPr="004D1370">
        <w:t>. Each bo</w:t>
      </w:r>
      <w:r>
        <w:t xml:space="preserve">x in the figure </w:t>
      </w:r>
      <w:r w:rsidR="00620F6D">
        <w:t xml:space="preserve">quantifies </w:t>
      </w:r>
      <w:r>
        <w:t>the average HTL production and number of simulations in a particular set of the simulations from the study. The boxes that are farthest to the right in each row represent the simulations with greater HTL production.</w:t>
      </w:r>
      <w:r w:rsidR="00BE5C4F" w:rsidRPr="00BE5C4F">
        <w:t xml:space="preserve"> </w:t>
      </w:r>
      <w:r w:rsidR="00620F6D">
        <w:t xml:space="preserve">The factors highest in the figure are most important to HTL energy production. For example, </w:t>
      </w:r>
      <w:r w:rsidR="00BE5C4F">
        <w:t xml:space="preserve">initial commercial maturity of HTL is the highest ranked factor </w:t>
      </w:r>
      <w:r w:rsidR="00620F6D">
        <w:t xml:space="preserve">because it is the criterion </w:t>
      </w:r>
      <w:r w:rsidR="00BE5C4F">
        <w:t xml:space="preserve"> </w:t>
      </w:r>
      <w:r w:rsidR="00902240">
        <w:t>at</w:t>
      </w:r>
      <w:r w:rsidR="00620F6D">
        <w:t xml:space="preserve"> </w:t>
      </w:r>
      <w:r w:rsidR="00BE5C4F">
        <w:t xml:space="preserve">the first split of the simulations </w:t>
      </w:r>
      <w:r w:rsidR="00620F6D">
        <w:t>into two groups</w:t>
      </w:r>
      <w:r w:rsidR="00902240">
        <w:t>. The right hand branch has</w:t>
      </w:r>
      <w:r w:rsidR="00BE5C4F">
        <w:t xml:space="preserve"> higher initial commercial maturity</w:t>
      </w:r>
      <w:r w:rsidR="00902240">
        <w:t xml:space="preserve"> and therefore more favorable conditions for HTL and greater HTL production</w:t>
      </w:r>
      <w:r w:rsidR="00BE5C4F">
        <w:t xml:space="preserve">. </w:t>
      </w:r>
    </w:p>
    <w:p w14:paraId="15DF78A3" w14:textId="77777777" w:rsidR="00BE5C4F" w:rsidRDefault="00BE5C4F" w:rsidP="00BE5C4F">
      <w:pPr>
        <w:rPr>
          <w:b/>
        </w:rPr>
      </w:pPr>
      <w:r>
        <w:rPr>
          <w:b/>
          <w:noProof/>
        </w:rPr>
        <w:lastRenderedPageBreak/>
        <w:drawing>
          <wp:inline distT="0" distB="0" distL="0" distR="0" wp14:anchorId="2BE9BF08" wp14:editId="41526C86">
            <wp:extent cx="6560457" cy="492034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l.cart.pdf"/>
                    <pic:cNvPicPr/>
                  </pic:nvPicPr>
                  <pic:blipFill>
                    <a:blip r:embed="rId11">
                      <a:extLst>
                        <a:ext uri="{28A0092B-C50C-407E-A947-70E740481C1C}">
                          <a14:useLocalDpi xmlns:a14="http://schemas.microsoft.com/office/drawing/2010/main" val="0"/>
                        </a:ext>
                      </a:extLst>
                    </a:blip>
                    <a:stretch>
                      <a:fillRect/>
                    </a:stretch>
                  </pic:blipFill>
                  <pic:spPr>
                    <a:xfrm>
                      <a:off x="0" y="0"/>
                      <a:ext cx="6583597" cy="4937698"/>
                    </a:xfrm>
                    <a:prstGeom prst="rect">
                      <a:avLst/>
                    </a:prstGeom>
                  </pic:spPr>
                </pic:pic>
              </a:graphicData>
            </a:graphic>
          </wp:inline>
        </w:drawing>
      </w:r>
    </w:p>
    <w:p w14:paraId="2E087843" w14:textId="56880813" w:rsidR="00E01A86" w:rsidRDefault="00BE5C4F" w:rsidP="0047533D">
      <w:r w:rsidRPr="00B14A35">
        <w:rPr>
          <w:b/>
        </w:rPr>
        <w:t xml:space="preserve">Figure </w:t>
      </w:r>
      <w:r w:rsidR="00F942B4">
        <w:rPr>
          <w:b/>
        </w:rPr>
        <w:t>3</w:t>
      </w:r>
      <w:r w:rsidRPr="00B14A35">
        <w:rPr>
          <w:b/>
        </w:rPr>
        <w:t xml:space="preserve">. </w:t>
      </w:r>
      <w:r>
        <w:rPr>
          <w:b/>
        </w:rPr>
        <w:t xml:space="preserve">Regression tree for total energy production from </w:t>
      </w:r>
      <w:r w:rsidRPr="00B14A35">
        <w:rPr>
          <w:b/>
        </w:rPr>
        <w:t>HTL</w:t>
      </w:r>
      <w:r>
        <w:rPr>
          <w:b/>
        </w:rPr>
        <w:t xml:space="preserve"> (o</w:t>
      </w:r>
      <w:r w:rsidRPr="00944116">
        <w:rPr>
          <w:b/>
        </w:rPr>
        <w:t>nly factors that explain &gt; 5% of the variance</w:t>
      </w:r>
      <w:r>
        <w:rPr>
          <w:b/>
        </w:rPr>
        <w:t xml:space="preserve"> in total HTL production</w:t>
      </w:r>
      <w:r w:rsidRPr="00944116">
        <w:rPr>
          <w:b/>
        </w:rPr>
        <w:t xml:space="preserve"> are included</w:t>
      </w:r>
      <w:r>
        <w:rPr>
          <w:b/>
        </w:rPr>
        <w:t>)</w:t>
      </w:r>
      <w:r w:rsidRPr="00B14A35">
        <w:rPr>
          <w:b/>
        </w:rPr>
        <w:t>.</w:t>
      </w:r>
      <w:r>
        <w:rPr>
          <w:b/>
        </w:rPr>
        <w:t xml:space="preserve"> </w:t>
      </w:r>
      <w:r w:rsidRPr="00E52611">
        <w:t xml:space="preserve">Values inside the </w:t>
      </w:r>
      <w:r w:rsidR="00B255C5" w:rsidRPr="00E52611">
        <w:t>boxes</w:t>
      </w:r>
      <w:r w:rsidRPr="00E52611">
        <w:t xml:space="preserve"> indicate the average energy production from HTL (Avg. G</w:t>
      </w:r>
      <w:r w:rsidR="00E52611">
        <w:t>J</w:t>
      </w:r>
      <w:r w:rsidRPr="00E52611">
        <w:t xml:space="preserve"> HTL) and the total number of samples (n) for all of the simulations within that part of the tree. </w:t>
      </w:r>
      <w:r w:rsidR="00B255C5" w:rsidRPr="00E52611">
        <w:t xml:space="preserve">Under each box is a criterion that is applied to divide its set of simulations into two groups. </w:t>
      </w:r>
      <w:r w:rsidRPr="00E52611">
        <w:t xml:space="preserve">Coloring </w:t>
      </w:r>
      <w:r w:rsidR="00902240">
        <w:t>shows</w:t>
      </w:r>
      <w:r w:rsidR="00902240" w:rsidRPr="00E52611">
        <w:t xml:space="preserve"> </w:t>
      </w:r>
      <w:r w:rsidRPr="00E52611">
        <w:t>the average energy production from HTL (red = low; yellow = moderate; green = high</w:t>
      </w:r>
      <w:r w:rsidR="00E47347">
        <w:t>)</w:t>
      </w:r>
      <w:r w:rsidRPr="00E52611">
        <w:t>.</w:t>
      </w:r>
    </w:p>
    <w:p w14:paraId="2B94903E" w14:textId="77777777" w:rsidR="00F942B4" w:rsidRDefault="00F942B4" w:rsidP="0047533D">
      <w:pPr>
        <w:rPr>
          <w:b/>
        </w:rPr>
      </w:pPr>
    </w:p>
    <w:p w14:paraId="0FE5B42D" w14:textId="63A8500F" w:rsidR="004A7545" w:rsidRDefault="00E72F99" w:rsidP="0047533D">
      <w:r>
        <w:t>In addition</w:t>
      </w:r>
      <w:r w:rsidR="00811197">
        <w:t xml:space="preserve"> </w:t>
      </w:r>
      <w:r w:rsidR="00902240">
        <w:t>to</w:t>
      </w:r>
      <w:r w:rsidR="00811197">
        <w:t xml:space="preserve"> </w:t>
      </w:r>
      <w:r w:rsidR="00E52611">
        <w:t xml:space="preserve">having a </w:t>
      </w:r>
      <w:r w:rsidR="00811197">
        <w:t xml:space="preserve">higher initial commercial maturity of HTL, cases with high total HTL production </w:t>
      </w:r>
      <w:r w:rsidR="00902240">
        <w:t>occur when HTL</w:t>
      </w:r>
      <w:r w:rsidR="00811197">
        <w:t xml:space="preserve"> investment conditions are favorable relative to other options. </w:t>
      </w:r>
      <w:r w:rsidR="00E01A86">
        <w:t xml:space="preserve">The left panel of </w:t>
      </w:r>
      <w:r w:rsidR="009C1E9F" w:rsidRPr="009C1E9F">
        <w:t xml:space="preserve">Figure </w:t>
      </w:r>
      <w:r w:rsidR="00F942B4">
        <w:t>4</w:t>
      </w:r>
      <w:r w:rsidR="009C1E9F">
        <w:t xml:space="preserve"> shows the relative contribution to total energy production for each of the five </w:t>
      </w:r>
      <w:r w:rsidR="005B167C">
        <w:t>WTE</w:t>
      </w:r>
      <w:r w:rsidR="009C1E9F">
        <w:t xml:space="preserve"> technologies</w:t>
      </w:r>
      <w:r w:rsidR="0047533D">
        <w:t xml:space="preserve">. </w:t>
      </w:r>
      <w:r w:rsidR="0047533D" w:rsidRPr="0047533D">
        <w:t xml:space="preserve">Simulations where HTL contributes to more than 2% of total energy production </w:t>
      </w:r>
      <w:r w:rsidR="0047533D">
        <w:t xml:space="preserve">are </w:t>
      </w:r>
      <w:r w:rsidR="0047533D" w:rsidRPr="0047533D">
        <w:t>labeled High HTL</w:t>
      </w:r>
      <w:r w:rsidR="0047533D">
        <w:t xml:space="preserve"> and</w:t>
      </w:r>
      <w:r w:rsidR="0047533D" w:rsidRPr="0047533D">
        <w:t xml:space="preserve"> have lower production of CHP and PNG and higher production of CNG than cases where HTL produces less than or equal to 2% of total energy (labeled Other</w:t>
      </w:r>
      <w:r w:rsidR="0047533D">
        <w:t xml:space="preserve">). </w:t>
      </w:r>
      <w:r w:rsidR="00E01A86">
        <w:t xml:space="preserve">The right panel of </w:t>
      </w:r>
      <w:r w:rsidR="0047533D">
        <w:t xml:space="preserve">Figure </w:t>
      </w:r>
      <w:r w:rsidR="00F942B4">
        <w:t>4</w:t>
      </w:r>
      <w:r w:rsidR="0047533D">
        <w:t xml:space="preserve"> illustrates how the distribution</w:t>
      </w:r>
      <w:r w:rsidR="0047533D" w:rsidRPr="0047533D">
        <w:t xml:space="preserve"> of factor values</w:t>
      </w:r>
      <w:r w:rsidR="0047533D">
        <w:t xml:space="preserve"> varies between</w:t>
      </w:r>
      <w:r w:rsidR="0047533D" w:rsidRPr="0047533D">
        <w:t xml:space="preserve"> </w:t>
      </w:r>
      <w:r w:rsidR="0047533D">
        <w:t>the</w:t>
      </w:r>
      <w:r w:rsidR="0047533D" w:rsidRPr="0047533D">
        <w:t xml:space="preserve"> High HTL </w:t>
      </w:r>
      <w:r w:rsidR="0047533D">
        <w:t>and</w:t>
      </w:r>
      <w:r w:rsidR="0047533D" w:rsidRPr="0047533D">
        <w:t xml:space="preserve"> Other</w:t>
      </w:r>
      <w:r w:rsidR="0047533D">
        <w:t xml:space="preserve"> cases</w:t>
      </w:r>
      <w:r w:rsidR="0047533D" w:rsidRPr="0047533D">
        <w:t>.</w:t>
      </w:r>
      <w:r w:rsidR="0047533D">
        <w:t xml:space="preserve"> </w:t>
      </w:r>
    </w:p>
    <w:p w14:paraId="6C9A248D" w14:textId="5FFF47DD" w:rsidR="00E47347" w:rsidRDefault="00E52611" w:rsidP="002B1CE6">
      <w:r>
        <w:t>Consistent</w:t>
      </w:r>
      <w:r w:rsidR="0047533D">
        <w:t xml:space="preserve"> with the regression tree in Figure </w:t>
      </w:r>
      <w:r w:rsidR="00F942B4">
        <w:t>3</w:t>
      </w:r>
      <w:r w:rsidR="0047533D">
        <w:t>,</w:t>
      </w:r>
      <w:r w:rsidR="00E01A86">
        <w:t xml:space="preserve"> the right panel of</w:t>
      </w:r>
      <w:r w:rsidR="0047533D">
        <w:t xml:space="preserve"> </w:t>
      </w:r>
      <w:r w:rsidR="004A7545">
        <w:t xml:space="preserve">Figure </w:t>
      </w:r>
      <w:r w:rsidR="00F942B4">
        <w:t>4</w:t>
      </w:r>
      <w:r w:rsidR="004A7545">
        <w:t xml:space="preserve"> shows</w:t>
      </w:r>
      <w:r w:rsidR="0047533D">
        <w:t xml:space="preserve"> that the High HTL cases correspond with simulations that have </w:t>
      </w:r>
      <w:r w:rsidR="004A7545">
        <w:t xml:space="preserve">very high initial commercial maturities for HTL, along with </w:t>
      </w:r>
      <w:r w:rsidR="0047533D">
        <w:t xml:space="preserve">higher RIN multipliers and disposal costs and lower </w:t>
      </w:r>
      <w:r w:rsidR="00B93A06">
        <w:t xml:space="preserve">construction duration multipliers and </w:t>
      </w:r>
      <w:r w:rsidR="0047533D">
        <w:t xml:space="preserve">PTC REC multipliers </w:t>
      </w:r>
      <w:r w:rsidR="004A7545">
        <w:lastRenderedPageBreak/>
        <w:t>than the Other cases</w:t>
      </w:r>
      <w:r w:rsidR="0047533D">
        <w:t xml:space="preserve">. </w:t>
      </w:r>
      <w:r w:rsidR="004A7545">
        <w:t xml:space="preserve">These </w:t>
      </w:r>
      <w:r w:rsidR="00C51F27">
        <w:t xml:space="preserve">conditions </w:t>
      </w:r>
      <w:r w:rsidR="00E47347">
        <w:t xml:space="preserve">favor </w:t>
      </w:r>
      <w:r w:rsidR="00C51F27">
        <w:t xml:space="preserve">HTL </w:t>
      </w:r>
      <w:r w:rsidR="0047533D">
        <w:t>investment</w:t>
      </w:r>
      <w:r w:rsidR="0022108B">
        <w:t xml:space="preserve"> </w:t>
      </w:r>
      <w:r w:rsidR="0047533D">
        <w:t xml:space="preserve">over </w:t>
      </w:r>
      <w:r w:rsidR="00C51F27">
        <w:t xml:space="preserve">other </w:t>
      </w:r>
      <w:r w:rsidR="004A7545">
        <w:t>technologies</w:t>
      </w:r>
      <w:r w:rsidR="00B93A06">
        <w:t xml:space="preserve"> for several reasons</w:t>
      </w:r>
      <w:r w:rsidR="00C51F27">
        <w:t xml:space="preserve">. </w:t>
      </w:r>
      <w:r w:rsidR="00B93A06">
        <w:t>First,</w:t>
      </w:r>
      <w:r w:rsidR="004A7545">
        <w:t xml:space="preserve"> </w:t>
      </w:r>
      <w:r w:rsidR="00B93A06">
        <w:t xml:space="preserve">because </w:t>
      </w:r>
      <w:r w:rsidR="004A7545">
        <w:t>we assume that</w:t>
      </w:r>
      <w:r w:rsidR="00E47347">
        <w:t xml:space="preserve"> </w:t>
      </w:r>
      <w:r w:rsidR="00C51F27">
        <w:t>CNG, Electricity, and HTL all receive RIN credit</w:t>
      </w:r>
      <w:r w:rsidR="004A7545">
        <w:t>s (even though HTL has not yet been approved to receive RIN credit</w:t>
      </w:r>
      <w:r w:rsidR="00B93A06">
        <w:t>s</w:t>
      </w:r>
      <w:r w:rsidR="004A7545">
        <w:t xml:space="preserve">), </w:t>
      </w:r>
      <w:r w:rsidR="00C51F27">
        <w:t>higher RIN values favor CNG and Electricity as well as HTL</w:t>
      </w:r>
      <w:r w:rsidR="004A7545">
        <w:t xml:space="preserve"> and </w:t>
      </w:r>
      <w:r w:rsidR="00E47347">
        <w:t>decrease the relative investment attractiveness of CHP and PNG</w:t>
      </w:r>
      <w:r w:rsidR="00C51F27">
        <w:t xml:space="preserve">. </w:t>
      </w:r>
      <w:r w:rsidR="004A7545">
        <w:t xml:space="preserve">Accordingly, CNG and Electricity do not have lower median production in high HTL cases, while CHP and PNG do. </w:t>
      </w:r>
      <w:r w:rsidR="00A70C85">
        <w:t>Second</w:t>
      </w:r>
      <w:r w:rsidR="004A7545">
        <w:t>,</w:t>
      </w:r>
      <w:r w:rsidR="00A70C85">
        <w:t xml:space="preserve"> lower construction durations favor investment in technologies with higher capital costs, such as HTL. Third</w:t>
      </w:r>
      <w:r w:rsidR="004A7545">
        <w:t xml:space="preserve">, higher disposal costs favor HTL because it has the highest </w:t>
      </w:r>
      <w:r w:rsidR="005B167C">
        <w:t>WTE</w:t>
      </w:r>
      <w:r w:rsidR="004A7545">
        <w:t xml:space="preserve"> conversion rate and therefore has the greatest advantage when disposal costs increase. </w:t>
      </w:r>
      <w:r w:rsidR="00A70C85">
        <w:t xml:space="preserve">Finally, lower PTC REC values in the High HTL cases decrease the relative investment attractiveness of Electricity. </w:t>
      </w:r>
      <w:r w:rsidR="004A7545">
        <w:t xml:space="preserve">Thus, the High HTL cases </w:t>
      </w:r>
      <w:r w:rsidR="00E01A86">
        <w:t>appear</w:t>
      </w:r>
      <w:r w:rsidR="004A7545">
        <w:t xml:space="preserve"> to occur when </w:t>
      </w:r>
      <w:r w:rsidR="004A7545" w:rsidRPr="004A7545">
        <w:t>favorable investment conditions</w:t>
      </w:r>
      <w:r w:rsidR="004A7545">
        <w:t xml:space="preserve"> exist</w:t>
      </w:r>
      <w:r w:rsidR="004A7545" w:rsidRPr="004A7545">
        <w:t xml:space="preserve"> for HTL—</w:t>
      </w:r>
      <w:r w:rsidR="00F942B4">
        <w:t>intrinsically</w:t>
      </w:r>
      <w:r w:rsidR="004A7545">
        <w:t xml:space="preserve"> (higher initial commercial maturity</w:t>
      </w:r>
      <w:r w:rsidR="00C85233">
        <w:t xml:space="preserve"> of HTL</w:t>
      </w:r>
      <w:r w:rsidR="004A7545">
        <w:t>)</w:t>
      </w:r>
      <w:r w:rsidR="004A7545" w:rsidRPr="004A7545">
        <w:t xml:space="preserve"> and relative to other investment options</w:t>
      </w:r>
      <w:r w:rsidR="00E01A86">
        <w:t xml:space="preserve"> (</w:t>
      </w:r>
      <w:r w:rsidR="00A70C85">
        <w:t>as summarized in the “Mechanism” column of Table 3</w:t>
      </w:r>
      <w:r w:rsidR="00E01A86">
        <w:t xml:space="preserve">). </w:t>
      </w:r>
    </w:p>
    <w:p w14:paraId="34B4143F" w14:textId="77777777" w:rsidR="00E01A86" w:rsidRDefault="00E01A86" w:rsidP="00E01A86"/>
    <w:p w14:paraId="259A6034" w14:textId="20835E10" w:rsidR="00534D21" w:rsidRDefault="00E01A86" w:rsidP="00E01A86">
      <w:pPr>
        <w:rPr>
          <w:b/>
          <w:noProof/>
        </w:rPr>
      </w:pPr>
      <w:commentRangeStart w:id="7"/>
      <w:commentRangeEnd w:id="7"/>
      <w:r w:rsidRPr="00E01A86">
        <w:rPr>
          <w:b/>
          <w:noProof/>
        </w:rPr>
        <w:t xml:space="preserve"> </w:t>
      </w:r>
      <w:r w:rsidR="0082679C">
        <w:rPr>
          <w:noProof/>
        </w:rPr>
        <w:drawing>
          <wp:inline distT="0" distB="0" distL="0" distR="0" wp14:anchorId="29B12492" wp14:editId="7EAE23A7">
            <wp:extent cx="4105674" cy="3070483"/>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5874" cy="3093068"/>
                    </a:xfrm>
                    <a:prstGeom prst="rect">
                      <a:avLst/>
                    </a:prstGeom>
                  </pic:spPr>
                </pic:pic>
              </a:graphicData>
            </a:graphic>
          </wp:inline>
        </w:drawing>
      </w:r>
      <w:r w:rsidR="00927631">
        <w:rPr>
          <w:noProof/>
        </w:rPr>
        <w:drawing>
          <wp:inline distT="0" distB="0" distL="0" distR="0" wp14:anchorId="6ABC49ED" wp14:editId="3C7FEBFE">
            <wp:extent cx="1414780" cy="3062722"/>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1033" cy="3162851"/>
                    </a:xfrm>
                    <a:prstGeom prst="rect">
                      <a:avLst/>
                    </a:prstGeom>
                  </pic:spPr>
                </pic:pic>
              </a:graphicData>
            </a:graphic>
          </wp:inline>
        </w:drawing>
      </w:r>
    </w:p>
    <w:p w14:paraId="7E182D43" w14:textId="3C691012" w:rsidR="00E01A86" w:rsidRDefault="00E01A86" w:rsidP="00E01A86">
      <w:r w:rsidRPr="00944116">
        <w:rPr>
          <w:b/>
        </w:rPr>
        <w:t xml:space="preserve">Figure </w:t>
      </w:r>
      <w:r w:rsidR="00F942B4">
        <w:rPr>
          <w:b/>
        </w:rPr>
        <w:t>4</w:t>
      </w:r>
      <w:r w:rsidRPr="00944116">
        <w:rPr>
          <w:b/>
        </w:rPr>
        <w:t xml:space="preserve">. Simulations where HTL contributes to more than 2% of total energy production (labeled High HTL) have lower production of CHP and PNG </w:t>
      </w:r>
      <w:r>
        <w:rPr>
          <w:b/>
        </w:rPr>
        <w:t xml:space="preserve">and higher production of CNG </w:t>
      </w:r>
      <w:r w:rsidRPr="00944116">
        <w:rPr>
          <w:b/>
        </w:rPr>
        <w:t>than cases where HTL produces less than or equal to 2% of total energy (labeled</w:t>
      </w:r>
      <w:r w:rsidRPr="00944116" w:rsidDel="007D070B">
        <w:rPr>
          <w:b/>
        </w:rPr>
        <w:t xml:space="preserve"> </w:t>
      </w:r>
      <w:r w:rsidRPr="00944116">
        <w:rPr>
          <w:b/>
        </w:rPr>
        <w:t>Other).</w:t>
      </w:r>
      <w:r w:rsidRPr="00944116" w:rsidDel="007D070B">
        <w:rPr>
          <w:b/>
        </w:rPr>
        <w:t xml:space="preserve"> </w:t>
      </w:r>
      <w:r w:rsidRPr="00944116">
        <w:t xml:space="preserve">Each </w:t>
      </w:r>
      <w:r w:rsidR="005A0873">
        <w:t>vertical line consists dots, each of which</w:t>
      </w:r>
      <w:r w:rsidRPr="00944116">
        <w:t xml:space="preserve"> represents a single simulation from a 1% sample of the simulation results. The gray shading shows the middle two quartiles, with the median falling on the dividing line between the two shades. The other two bars show the 5</w:t>
      </w:r>
      <w:r w:rsidRPr="00944116">
        <w:rPr>
          <w:vertAlign w:val="superscript"/>
        </w:rPr>
        <w:t>th</w:t>
      </w:r>
      <w:r w:rsidRPr="00944116">
        <w:t xml:space="preserve"> and 95</w:t>
      </w:r>
      <w:r w:rsidRPr="00944116">
        <w:rPr>
          <w:vertAlign w:val="superscript"/>
        </w:rPr>
        <w:t>th</w:t>
      </w:r>
      <w:r w:rsidRPr="00944116">
        <w:t xml:space="preserve"> percentiles. </w:t>
      </w:r>
      <w:r w:rsidR="00DE0B84">
        <w:t>The l</w:t>
      </w:r>
      <w:r>
        <w:t>eft panel shows</w:t>
      </w:r>
      <w:r w:rsidR="00DE0B84">
        <w:t xml:space="preserve"> the</w:t>
      </w:r>
      <w:r>
        <w:t xml:space="preserve"> relative contribution to total energy; </w:t>
      </w:r>
      <w:r w:rsidR="00DE0B84">
        <w:t xml:space="preserve">the </w:t>
      </w:r>
      <w:r>
        <w:t>right panel indicates how the d</w:t>
      </w:r>
      <w:r w:rsidRPr="00E01A86">
        <w:t xml:space="preserve">istribution of factor values </w:t>
      </w:r>
      <w:r>
        <w:t>varies between the</w:t>
      </w:r>
      <w:r w:rsidRPr="00E01A86">
        <w:t xml:space="preserve"> High HTL</w:t>
      </w:r>
      <w:r>
        <w:t xml:space="preserve"> an</w:t>
      </w:r>
      <w:r w:rsidRPr="00E01A86">
        <w:t>d Other</w:t>
      </w:r>
      <w:r>
        <w:t xml:space="preserve"> cases</w:t>
      </w:r>
      <w:r w:rsidRPr="00E01A86">
        <w:t>.</w:t>
      </w:r>
    </w:p>
    <w:p w14:paraId="55291DA1" w14:textId="1BAA5702" w:rsidR="00EE0E06" w:rsidRDefault="00EE0E06" w:rsidP="00602D46">
      <w:pPr>
        <w:pStyle w:val="ListParagraph"/>
        <w:ind w:left="0"/>
      </w:pPr>
    </w:p>
    <w:p w14:paraId="15BE6111" w14:textId="77777777" w:rsidR="00720B6E" w:rsidRPr="00720B6E" w:rsidRDefault="00DE0B84" w:rsidP="00720B6E">
      <w:pPr>
        <w:rPr>
          <w:b/>
        </w:rPr>
      </w:pPr>
      <w:r w:rsidRPr="00720B6E">
        <w:rPr>
          <w:b/>
        </w:rPr>
        <w:t xml:space="preserve">Insight #6. </w:t>
      </w:r>
      <w:r w:rsidR="00720B6E" w:rsidRPr="00720B6E">
        <w:rPr>
          <w:b/>
        </w:rPr>
        <w:t xml:space="preserve">Based on the limited factors and ranges explored, this study did not find evidence of inter-regional policy impacts on growth in HTL production. </w:t>
      </w:r>
    </w:p>
    <w:p w14:paraId="70D8BA4B" w14:textId="78CBA941" w:rsidR="00DE0B84" w:rsidRDefault="00DE0B84" w:rsidP="006A75DA">
      <w:r>
        <w:t xml:space="preserve">One initial hypothesis was that regional policies in California might be important to overall growth in HTL production. California policies (LCFS, SB1383) did not rank among those explaining 5% or more of the variance along with other factors. </w:t>
      </w:r>
    </w:p>
    <w:p w14:paraId="52A4F909" w14:textId="558A912A" w:rsidR="009C1531" w:rsidRDefault="009C1531" w:rsidP="009C1531">
      <w:pPr>
        <w:spacing w:after="160" w:line="259" w:lineRule="auto"/>
        <w:rPr>
          <w:b/>
        </w:rPr>
      </w:pPr>
      <w:r>
        <w:br w:type="page"/>
      </w:r>
      <w:r w:rsidRPr="009C1531">
        <w:rPr>
          <w:b/>
        </w:rPr>
        <w:lastRenderedPageBreak/>
        <w:t>Conclusions</w:t>
      </w:r>
    </w:p>
    <w:p w14:paraId="5D152E2F" w14:textId="33A114F6" w:rsidR="005B167C" w:rsidRDefault="005B167C" w:rsidP="009C1531">
      <w:pPr>
        <w:spacing w:after="160" w:line="259" w:lineRule="auto"/>
        <w:rPr>
          <w:szCs w:val="22"/>
        </w:rPr>
      </w:pPr>
      <w:r>
        <w:rPr>
          <w:szCs w:val="22"/>
        </w:rPr>
        <w:t>This exploration of the</w:t>
      </w:r>
      <w:r w:rsidR="00DF01CE">
        <w:rPr>
          <w:szCs w:val="22"/>
        </w:rPr>
        <w:t xml:space="preserve"> impact of twelve model factors on the adoption of HTL as a WTE technology choice</w:t>
      </w:r>
      <w:r>
        <w:rPr>
          <w:szCs w:val="22"/>
        </w:rPr>
        <w:t xml:space="preserve"> found specific conditions in which HTL gains modest production at</w:t>
      </w:r>
      <w:r w:rsidR="00DF01CE">
        <w:rPr>
          <w:szCs w:val="22"/>
        </w:rPr>
        <w:t xml:space="preserve"> CAFOs and POTWs in California and the rest of the United States. </w:t>
      </w:r>
      <w:r w:rsidR="002A6D5D">
        <w:rPr>
          <w:szCs w:val="22"/>
        </w:rPr>
        <w:t>This analysis informs WTE technology selection at an opportune moment b</w:t>
      </w:r>
      <w:r>
        <w:rPr>
          <w:szCs w:val="22"/>
        </w:rPr>
        <w:t>ecaus</w:t>
      </w:r>
      <w:r w:rsidR="002A6D5D">
        <w:rPr>
          <w:szCs w:val="22"/>
        </w:rPr>
        <w:t>e</w:t>
      </w:r>
      <w:r>
        <w:rPr>
          <w:szCs w:val="22"/>
        </w:rPr>
        <w:t xml:space="preserve"> most at CAFOs and POTWs do not have WTE</w:t>
      </w:r>
      <w:r w:rsidR="002A6D5D">
        <w:rPr>
          <w:szCs w:val="22"/>
        </w:rPr>
        <w:t xml:space="preserve"> and</w:t>
      </w:r>
      <w:r>
        <w:rPr>
          <w:szCs w:val="22"/>
        </w:rPr>
        <w:t xml:space="preserve"> </w:t>
      </w:r>
      <w:r w:rsidR="002A6D5D">
        <w:rPr>
          <w:szCs w:val="22"/>
        </w:rPr>
        <w:t>HTL, despite its pre-commercial status, offers certain technical advantages relative to other candidate technologies.</w:t>
      </w:r>
      <w:r w:rsidR="00A3117F">
        <w:rPr>
          <w:szCs w:val="22"/>
        </w:rPr>
        <w:t xml:space="preserve"> WTE projects are sited over 350 CAFOs and POTWs, a minority of the total facilities, and the technologies used to date (CNG, CHP, electricity, PNG) are favored for selection at the remaining sites. Even so, we have identified scenarios under which HTL achieves modest levels of adoption. </w:t>
      </w:r>
      <w:r w:rsidR="002A6D5D">
        <w:rPr>
          <w:szCs w:val="22"/>
        </w:rPr>
        <w:t xml:space="preserve">WTE technology choice differs from biofuels industry technology choice because waste disposal is obligatory for WTE, but not necessarily required for biofuel production, and </w:t>
      </w:r>
      <w:r w:rsidR="00A3117F">
        <w:rPr>
          <w:szCs w:val="22"/>
        </w:rPr>
        <w:t>fuel production is a secondary objective for CAFOs and POTWs but a primary one for biofuel producers.</w:t>
      </w:r>
    </w:p>
    <w:p w14:paraId="3FEFE1C2" w14:textId="43E17A5E" w:rsidR="009C1531" w:rsidRPr="009C1531" w:rsidRDefault="009C1531" w:rsidP="009C1531">
      <w:pPr>
        <w:spacing w:after="160" w:line="259" w:lineRule="auto"/>
        <w:rPr>
          <w:szCs w:val="22"/>
        </w:rPr>
      </w:pPr>
      <w:r>
        <w:rPr>
          <w:szCs w:val="22"/>
        </w:rPr>
        <w:t xml:space="preserve">The results of </w:t>
      </w:r>
      <w:r w:rsidR="00A41001">
        <w:rPr>
          <w:szCs w:val="22"/>
        </w:rPr>
        <w:t xml:space="preserve">this </w:t>
      </w:r>
      <w:r>
        <w:rPr>
          <w:szCs w:val="22"/>
        </w:rPr>
        <w:t>analysis o</w:t>
      </w:r>
      <w:r w:rsidR="00A011D3">
        <w:rPr>
          <w:szCs w:val="22"/>
        </w:rPr>
        <w:t>f</w:t>
      </w:r>
      <w:r>
        <w:rPr>
          <w:szCs w:val="22"/>
        </w:rPr>
        <w:t xml:space="preserve"> key factors for HTL production indicate a narrow set of conditions that lead to higher HTL production. These conditions </w:t>
      </w:r>
      <w:r w:rsidR="00981058">
        <w:rPr>
          <w:szCs w:val="22"/>
        </w:rPr>
        <w:t xml:space="preserve">target HTL specifically </w:t>
      </w:r>
      <w:r w:rsidR="00C85233">
        <w:rPr>
          <w:szCs w:val="22"/>
        </w:rPr>
        <w:t xml:space="preserve">by </w:t>
      </w:r>
      <w:r w:rsidR="00C85233">
        <w:t xml:space="preserve">increasing the initial </w:t>
      </w:r>
      <w:r w:rsidR="00981058">
        <w:t xml:space="preserve">commercial maturity for HTL, </w:t>
      </w:r>
      <w:proofErr w:type="gramStart"/>
      <w:r w:rsidR="00981058">
        <w:t>and also</w:t>
      </w:r>
      <w:proofErr w:type="gramEnd"/>
      <w:r w:rsidR="00981058">
        <w:t xml:space="preserve"> shape background conditions that affect other </w:t>
      </w:r>
      <w:r w:rsidR="005A314B">
        <w:t>WTE</w:t>
      </w:r>
      <w:r w:rsidR="00981058">
        <w:t xml:space="preserve"> pathways to favor HTL relative to the others. The direct </w:t>
      </w:r>
      <w:r w:rsidR="004C11A8">
        <w:t>increase in initial</w:t>
      </w:r>
      <w:r w:rsidR="00981058">
        <w:t xml:space="preserve"> commercial maturity of HTL results in the greatest gains for that technology. Considering the background conditions, there is a tradeoff between maximizing total energy produced via WTE and total energy produced via HTL, because of the relative immaturity of HTL and competition with other technologies. </w:t>
      </w:r>
      <w:r w:rsidR="009E2852">
        <w:rPr>
          <w:szCs w:val="22"/>
        </w:rPr>
        <w:t>The highest</w:t>
      </w:r>
      <w:r w:rsidR="00A41001">
        <w:rPr>
          <w:szCs w:val="22"/>
        </w:rPr>
        <w:t>-</w:t>
      </w:r>
      <w:r w:rsidR="009E2852">
        <w:rPr>
          <w:szCs w:val="22"/>
        </w:rPr>
        <w:t>ranking factor that is important for HTL production is its initial commercial maturity, indicating the paramount importance of greater technology maturity.</w:t>
      </w:r>
      <w:r>
        <w:rPr>
          <w:szCs w:val="22"/>
        </w:rPr>
        <w:t xml:space="preserve"> The </w:t>
      </w:r>
      <w:r w:rsidR="009E2852">
        <w:rPr>
          <w:szCs w:val="22"/>
        </w:rPr>
        <w:t xml:space="preserve">ranking of </w:t>
      </w:r>
      <w:r>
        <w:rPr>
          <w:szCs w:val="22"/>
        </w:rPr>
        <w:t xml:space="preserve">factors that are most important for HTL production </w:t>
      </w:r>
      <w:r w:rsidR="009E2852">
        <w:rPr>
          <w:szCs w:val="22"/>
        </w:rPr>
        <w:t>is</w:t>
      </w:r>
      <w:r>
        <w:rPr>
          <w:szCs w:val="22"/>
        </w:rPr>
        <w:t xml:space="preserve"> different </w:t>
      </w:r>
      <w:r w:rsidR="009E2852">
        <w:rPr>
          <w:szCs w:val="22"/>
        </w:rPr>
        <w:t xml:space="preserve">from the ranking of factors most important for total energy production, with PTC REC values ranking most important for total energy due to the large predominance of electricity production from landfill gas. </w:t>
      </w:r>
    </w:p>
    <w:p w14:paraId="4C6E493D" w14:textId="77777777" w:rsidR="00EE0E06" w:rsidRDefault="00EE0E06" w:rsidP="00F50C34">
      <w:pPr>
        <w:pStyle w:val="ListParagraph"/>
        <w:ind w:left="1440"/>
      </w:pPr>
    </w:p>
    <w:sectPr w:rsidR="00EE0E06" w:rsidSect="005131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Vimmerstedt, Laura" w:date="2018-12-27T16:39:00Z" w:initials="VL">
    <w:p w14:paraId="1303B3CD" w14:textId="0F25A4D0" w:rsidR="005A0873" w:rsidRDefault="005A0873">
      <w:pPr>
        <w:pStyle w:val="CommentText"/>
      </w:pPr>
      <w:r>
        <w:rPr>
          <w:rStyle w:val="CommentReference"/>
        </w:rPr>
        <w:annotationRef/>
      </w:r>
      <w:r>
        <w:t>Do you think this shorthand is clear, or should we say HTL energy production or something else everywhere?</w:t>
      </w:r>
    </w:p>
  </w:comment>
  <w:comment w:id="3" w:author="Steve Peterson" w:date="2018-12-27T11:50:00Z" w:initials="SP">
    <w:p w14:paraId="4A783A0A" w14:textId="3618CB10" w:rsidR="000B3F13" w:rsidRDefault="000B3F13">
      <w:pPr>
        <w:pStyle w:val="CommentText"/>
      </w:pPr>
      <w:r>
        <w:rPr>
          <w:rStyle w:val="CommentReference"/>
        </w:rPr>
        <w:annotationRef/>
      </w:r>
      <w:r>
        <w:t xml:space="preserve">Any chance we can make the text in this figure </w:t>
      </w:r>
      <w:proofErr w:type="gramStart"/>
      <w:r>
        <w:t>more clear</w:t>
      </w:r>
      <w:proofErr w:type="gramEnd"/>
      <w:r>
        <w:t>—it is really tough to read when I print it out or when I view it at 100% on my laptop.</w:t>
      </w:r>
    </w:p>
  </w:comment>
  <w:comment w:id="4" w:author="Vimmerstedt, Laura" w:date="2018-12-28T14:23:00Z" w:initials="VL">
    <w:p w14:paraId="44F31D3A" w14:textId="2C89FBCE" w:rsidR="004D11D4" w:rsidRDefault="004D11D4">
      <w:pPr>
        <w:pStyle w:val="CommentText"/>
      </w:pPr>
      <w:r>
        <w:rPr>
          <w:rStyle w:val="CommentReference"/>
        </w:rPr>
        <w:annotationRef/>
      </w:r>
      <w:r>
        <w:t>I made all the fonts bigger. Other suggestions?</w:t>
      </w:r>
    </w:p>
  </w:comment>
  <w:comment w:id="5" w:author="Steve Peterson" w:date="2018-12-27T11:48:00Z" w:initials="SP">
    <w:p w14:paraId="5FBB5BC1" w14:textId="33652639" w:rsidR="000B3F13" w:rsidRDefault="000B3F13">
      <w:pPr>
        <w:pStyle w:val="CommentText"/>
      </w:pPr>
      <w:r>
        <w:rPr>
          <w:rStyle w:val="CommentReference"/>
        </w:rPr>
        <w:annotationRef/>
      </w:r>
      <w:r>
        <w:t>This column continues not to do much for me. Consider making it go away—I am not sure it adds any information that is not in the other columns.</w:t>
      </w:r>
    </w:p>
  </w:comment>
  <w:comment w:id="6" w:author="Vimmerstedt, Laura" w:date="2018-12-27T16:39:00Z" w:initials="VL">
    <w:p w14:paraId="323074EA" w14:textId="54C26006" w:rsidR="005A0873" w:rsidRDefault="005A0873">
      <w:pPr>
        <w:pStyle w:val="CommentText"/>
      </w:pPr>
      <w:r>
        <w:rPr>
          <w:rStyle w:val="CommentReference"/>
        </w:rPr>
        <w:annotationRef/>
      </w:r>
      <w:r>
        <w:t>I disagree, but I’m biased. Other thoughts?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03B3CD" w15:done="0"/>
  <w15:commentEx w15:paraId="4A783A0A" w15:done="0"/>
  <w15:commentEx w15:paraId="44F31D3A" w15:paraIdParent="4A783A0A" w15:done="0"/>
  <w15:commentEx w15:paraId="5FBB5BC1" w15:done="0"/>
  <w15:commentEx w15:paraId="323074EA" w15:paraIdParent="5FBB5B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03B3CD" w16cid:durableId="1FCF7EA7"/>
  <w16cid:commentId w16cid:paraId="4A783A0A" w16cid:durableId="1FCF3B1A"/>
  <w16cid:commentId w16cid:paraId="44F31D3A" w16cid:durableId="1FD0B056"/>
  <w16cid:commentId w16cid:paraId="5FBB5BC1" w16cid:durableId="1FCF3AA9"/>
  <w16cid:commentId w16cid:paraId="323074EA" w16cid:durableId="1FCF7E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D5DBE"/>
    <w:multiLevelType w:val="hybridMultilevel"/>
    <w:tmpl w:val="5254C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328F5"/>
    <w:multiLevelType w:val="hybridMultilevel"/>
    <w:tmpl w:val="0E74B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06FEB"/>
    <w:multiLevelType w:val="hybridMultilevel"/>
    <w:tmpl w:val="8E3AB5FE"/>
    <w:lvl w:ilvl="0" w:tplc="70E0DD2A">
      <w:start w:val="1"/>
      <w:numFmt w:val="bullet"/>
      <w:lvlText w:val="•"/>
      <w:lvlJc w:val="left"/>
      <w:pPr>
        <w:tabs>
          <w:tab w:val="num" w:pos="720"/>
        </w:tabs>
        <w:ind w:left="720" w:hanging="360"/>
      </w:pPr>
      <w:rPr>
        <w:rFonts w:ascii="Arial" w:hAnsi="Arial" w:hint="default"/>
      </w:rPr>
    </w:lvl>
    <w:lvl w:ilvl="1" w:tplc="32A8C3B8">
      <w:start w:val="278"/>
      <w:numFmt w:val="bullet"/>
      <w:lvlText w:val="–"/>
      <w:lvlJc w:val="left"/>
      <w:pPr>
        <w:tabs>
          <w:tab w:val="num" w:pos="1440"/>
        </w:tabs>
        <w:ind w:left="1440" w:hanging="360"/>
      </w:pPr>
      <w:rPr>
        <w:rFonts w:ascii="Arial" w:hAnsi="Arial" w:hint="default"/>
      </w:rPr>
    </w:lvl>
    <w:lvl w:ilvl="2" w:tplc="EA94F7FA" w:tentative="1">
      <w:start w:val="1"/>
      <w:numFmt w:val="bullet"/>
      <w:lvlText w:val="•"/>
      <w:lvlJc w:val="left"/>
      <w:pPr>
        <w:tabs>
          <w:tab w:val="num" w:pos="2160"/>
        </w:tabs>
        <w:ind w:left="2160" w:hanging="360"/>
      </w:pPr>
      <w:rPr>
        <w:rFonts w:ascii="Arial" w:hAnsi="Arial" w:hint="default"/>
      </w:rPr>
    </w:lvl>
    <w:lvl w:ilvl="3" w:tplc="B5FE7DB4" w:tentative="1">
      <w:start w:val="1"/>
      <w:numFmt w:val="bullet"/>
      <w:lvlText w:val="•"/>
      <w:lvlJc w:val="left"/>
      <w:pPr>
        <w:tabs>
          <w:tab w:val="num" w:pos="2880"/>
        </w:tabs>
        <w:ind w:left="2880" w:hanging="360"/>
      </w:pPr>
      <w:rPr>
        <w:rFonts w:ascii="Arial" w:hAnsi="Arial" w:hint="default"/>
      </w:rPr>
    </w:lvl>
    <w:lvl w:ilvl="4" w:tplc="D82A6CD8" w:tentative="1">
      <w:start w:val="1"/>
      <w:numFmt w:val="bullet"/>
      <w:lvlText w:val="•"/>
      <w:lvlJc w:val="left"/>
      <w:pPr>
        <w:tabs>
          <w:tab w:val="num" w:pos="3600"/>
        </w:tabs>
        <w:ind w:left="3600" w:hanging="360"/>
      </w:pPr>
      <w:rPr>
        <w:rFonts w:ascii="Arial" w:hAnsi="Arial" w:hint="default"/>
      </w:rPr>
    </w:lvl>
    <w:lvl w:ilvl="5" w:tplc="1F729C04" w:tentative="1">
      <w:start w:val="1"/>
      <w:numFmt w:val="bullet"/>
      <w:lvlText w:val="•"/>
      <w:lvlJc w:val="left"/>
      <w:pPr>
        <w:tabs>
          <w:tab w:val="num" w:pos="4320"/>
        </w:tabs>
        <w:ind w:left="4320" w:hanging="360"/>
      </w:pPr>
      <w:rPr>
        <w:rFonts w:ascii="Arial" w:hAnsi="Arial" w:hint="default"/>
      </w:rPr>
    </w:lvl>
    <w:lvl w:ilvl="6" w:tplc="D4927862" w:tentative="1">
      <w:start w:val="1"/>
      <w:numFmt w:val="bullet"/>
      <w:lvlText w:val="•"/>
      <w:lvlJc w:val="left"/>
      <w:pPr>
        <w:tabs>
          <w:tab w:val="num" w:pos="5040"/>
        </w:tabs>
        <w:ind w:left="5040" w:hanging="360"/>
      </w:pPr>
      <w:rPr>
        <w:rFonts w:ascii="Arial" w:hAnsi="Arial" w:hint="default"/>
      </w:rPr>
    </w:lvl>
    <w:lvl w:ilvl="7" w:tplc="B920A1E4" w:tentative="1">
      <w:start w:val="1"/>
      <w:numFmt w:val="bullet"/>
      <w:lvlText w:val="•"/>
      <w:lvlJc w:val="left"/>
      <w:pPr>
        <w:tabs>
          <w:tab w:val="num" w:pos="5760"/>
        </w:tabs>
        <w:ind w:left="5760" w:hanging="360"/>
      </w:pPr>
      <w:rPr>
        <w:rFonts w:ascii="Arial" w:hAnsi="Arial" w:hint="default"/>
      </w:rPr>
    </w:lvl>
    <w:lvl w:ilvl="8" w:tplc="404284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5C2688"/>
    <w:multiLevelType w:val="hybridMultilevel"/>
    <w:tmpl w:val="96AA64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4520ADB"/>
    <w:multiLevelType w:val="hybridMultilevel"/>
    <w:tmpl w:val="95043F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A5A88"/>
    <w:multiLevelType w:val="hybridMultilevel"/>
    <w:tmpl w:val="C18A5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2C642B"/>
    <w:multiLevelType w:val="hybridMultilevel"/>
    <w:tmpl w:val="3174BC8A"/>
    <w:lvl w:ilvl="0" w:tplc="85DEF528">
      <w:start w:val="1"/>
      <w:numFmt w:val="bullet"/>
      <w:lvlText w:val="•"/>
      <w:lvlJc w:val="left"/>
      <w:pPr>
        <w:tabs>
          <w:tab w:val="num" w:pos="720"/>
        </w:tabs>
        <w:ind w:left="720" w:hanging="360"/>
      </w:pPr>
      <w:rPr>
        <w:rFonts w:ascii="Arial" w:hAnsi="Arial" w:hint="default"/>
      </w:rPr>
    </w:lvl>
    <w:lvl w:ilvl="1" w:tplc="991A21B4" w:tentative="1">
      <w:start w:val="1"/>
      <w:numFmt w:val="bullet"/>
      <w:lvlText w:val="•"/>
      <w:lvlJc w:val="left"/>
      <w:pPr>
        <w:tabs>
          <w:tab w:val="num" w:pos="1440"/>
        </w:tabs>
        <w:ind w:left="1440" w:hanging="360"/>
      </w:pPr>
      <w:rPr>
        <w:rFonts w:ascii="Arial" w:hAnsi="Arial" w:hint="default"/>
      </w:rPr>
    </w:lvl>
    <w:lvl w:ilvl="2" w:tplc="61D465E6" w:tentative="1">
      <w:start w:val="1"/>
      <w:numFmt w:val="bullet"/>
      <w:lvlText w:val="•"/>
      <w:lvlJc w:val="left"/>
      <w:pPr>
        <w:tabs>
          <w:tab w:val="num" w:pos="2160"/>
        </w:tabs>
        <w:ind w:left="2160" w:hanging="360"/>
      </w:pPr>
      <w:rPr>
        <w:rFonts w:ascii="Arial" w:hAnsi="Arial" w:hint="default"/>
      </w:rPr>
    </w:lvl>
    <w:lvl w:ilvl="3" w:tplc="C54A3BB0" w:tentative="1">
      <w:start w:val="1"/>
      <w:numFmt w:val="bullet"/>
      <w:lvlText w:val="•"/>
      <w:lvlJc w:val="left"/>
      <w:pPr>
        <w:tabs>
          <w:tab w:val="num" w:pos="2880"/>
        </w:tabs>
        <w:ind w:left="2880" w:hanging="360"/>
      </w:pPr>
      <w:rPr>
        <w:rFonts w:ascii="Arial" w:hAnsi="Arial" w:hint="default"/>
      </w:rPr>
    </w:lvl>
    <w:lvl w:ilvl="4" w:tplc="502E447C" w:tentative="1">
      <w:start w:val="1"/>
      <w:numFmt w:val="bullet"/>
      <w:lvlText w:val="•"/>
      <w:lvlJc w:val="left"/>
      <w:pPr>
        <w:tabs>
          <w:tab w:val="num" w:pos="3600"/>
        </w:tabs>
        <w:ind w:left="3600" w:hanging="360"/>
      </w:pPr>
      <w:rPr>
        <w:rFonts w:ascii="Arial" w:hAnsi="Arial" w:hint="default"/>
      </w:rPr>
    </w:lvl>
    <w:lvl w:ilvl="5" w:tplc="CEBA34B6" w:tentative="1">
      <w:start w:val="1"/>
      <w:numFmt w:val="bullet"/>
      <w:lvlText w:val="•"/>
      <w:lvlJc w:val="left"/>
      <w:pPr>
        <w:tabs>
          <w:tab w:val="num" w:pos="4320"/>
        </w:tabs>
        <w:ind w:left="4320" w:hanging="360"/>
      </w:pPr>
      <w:rPr>
        <w:rFonts w:ascii="Arial" w:hAnsi="Arial" w:hint="default"/>
      </w:rPr>
    </w:lvl>
    <w:lvl w:ilvl="6" w:tplc="7B90D2F8" w:tentative="1">
      <w:start w:val="1"/>
      <w:numFmt w:val="bullet"/>
      <w:lvlText w:val="•"/>
      <w:lvlJc w:val="left"/>
      <w:pPr>
        <w:tabs>
          <w:tab w:val="num" w:pos="5040"/>
        </w:tabs>
        <w:ind w:left="5040" w:hanging="360"/>
      </w:pPr>
      <w:rPr>
        <w:rFonts w:ascii="Arial" w:hAnsi="Arial" w:hint="default"/>
      </w:rPr>
    </w:lvl>
    <w:lvl w:ilvl="7" w:tplc="2FA664F8" w:tentative="1">
      <w:start w:val="1"/>
      <w:numFmt w:val="bullet"/>
      <w:lvlText w:val="•"/>
      <w:lvlJc w:val="left"/>
      <w:pPr>
        <w:tabs>
          <w:tab w:val="num" w:pos="5760"/>
        </w:tabs>
        <w:ind w:left="5760" w:hanging="360"/>
      </w:pPr>
      <w:rPr>
        <w:rFonts w:ascii="Arial" w:hAnsi="Arial" w:hint="default"/>
      </w:rPr>
    </w:lvl>
    <w:lvl w:ilvl="8" w:tplc="E994761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0736C7"/>
    <w:multiLevelType w:val="hybridMultilevel"/>
    <w:tmpl w:val="DA466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53DBB"/>
    <w:multiLevelType w:val="hybridMultilevel"/>
    <w:tmpl w:val="C3FC3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E34EC"/>
    <w:multiLevelType w:val="hybridMultilevel"/>
    <w:tmpl w:val="0E74B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095640"/>
    <w:multiLevelType w:val="hybridMultilevel"/>
    <w:tmpl w:val="BD0AB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4799"/>
    <w:multiLevelType w:val="hybridMultilevel"/>
    <w:tmpl w:val="9A460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5E2761"/>
    <w:multiLevelType w:val="hybridMultilevel"/>
    <w:tmpl w:val="0E74B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A50D76"/>
    <w:multiLevelType w:val="hybridMultilevel"/>
    <w:tmpl w:val="0E74B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823B57"/>
    <w:multiLevelType w:val="hybridMultilevel"/>
    <w:tmpl w:val="0E74B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6D585C"/>
    <w:multiLevelType w:val="hybridMultilevel"/>
    <w:tmpl w:val="BF8CEF0E"/>
    <w:lvl w:ilvl="0" w:tplc="303A9CE6">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1F7A47"/>
    <w:multiLevelType w:val="hybridMultilevel"/>
    <w:tmpl w:val="0E74B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AC0D54"/>
    <w:multiLevelType w:val="hybridMultilevel"/>
    <w:tmpl w:val="2308578A"/>
    <w:lvl w:ilvl="0" w:tplc="C5A4AC44">
      <w:start w:val="2"/>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8"/>
  </w:num>
  <w:num w:numId="4">
    <w:abstractNumId w:val="2"/>
  </w:num>
  <w:num w:numId="5">
    <w:abstractNumId w:val="15"/>
  </w:num>
  <w:num w:numId="6">
    <w:abstractNumId w:val="4"/>
  </w:num>
  <w:num w:numId="7">
    <w:abstractNumId w:val="7"/>
  </w:num>
  <w:num w:numId="8">
    <w:abstractNumId w:val="10"/>
  </w:num>
  <w:num w:numId="9">
    <w:abstractNumId w:val="17"/>
  </w:num>
  <w:num w:numId="10">
    <w:abstractNumId w:val="1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5"/>
  </w:num>
  <w:num w:numId="14">
    <w:abstractNumId w:val="13"/>
  </w:num>
  <w:num w:numId="15">
    <w:abstractNumId w:val="12"/>
  </w:num>
  <w:num w:numId="16">
    <w:abstractNumId w:val="16"/>
  </w:num>
  <w:num w:numId="17">
    <w:abstractNumId w:val="1"/>
  </w:num>
  <w:num w:numId="1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mmerstedt, Laura">
    <w15:presenceInfo w15:providerId="AD" w15:userId="S::lvimmers@nrel.gov::2371a4db-1ab2-467f-ab07-2f59eeacd731"/>
  </w15:person>
  <w15:person w15:author="Steve Peterson">
    <w15:presenceInfo w15:providerId="Windows Live" w15:userId="49aa1ee5fa43d2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97"/>
    <w:rsid w:val="00007A01"/>
    <w:rsid w:val="00015130"/>
    <w:rsid w:val="00043F42"/>
    <w:rsid w:val="000518CD"/>
    <w:rsid w:val="00060280"/>
    <w:rsid w:val="00062FB1"/>
    <w:rsid w:val="0006446C"/>
    <w:rsid w:val="00072B5A"/>
    <w:rsid w:val="00090CE0"/>
    <w:rsid w:val="000A7049"/>
    <w:rsid w:val="000B1848"/>
    <w:rsid w:val="000B3F13"/>
    <w:rsid w:val="000B6562"/>
    <w:rsid w:val="000B7600"/>
    <w:rsid w:val="000D1D76"/>
    <w:rsid w:val="001012FA"/>
    <w:rsid w:val="0011568F"/>
    <w:rsid w:val="001332E0"/>
    <w:rsid w:val="00145231"/>
    <w:rsid w:val="00174E22"/>
    <w:rsid w:val="001776E1"/>
    <w:rsid w:val="00180242"/>
    <w:rsid w:val="0019031E"/>
    <w:rsid w:val="001963FC"/>
    <w:rsid w:val="001A1DFD"/>
    <w:rsid w:val="001A7175"/>
    <w:rsid w:val="001B07E1"/>
    <w:rsid w:val="001D1EB9"/>
    <w:rsid w:val="001D2806"/>
    <w:rsid w:val="001D5D49"/>
    <w:rsid w:val="001F6171"/>
    <w:rsid w:val="00207905"/>
    <w:rsid w:val="002158BE"/>
    <w:rsid w:val="0022108B"/>
    <w:rsid w:val="00244D91"/>
    <w:rsid w:val="00245386"/>
    <w:rsid w:val="00245985"/>
    <w:rsid w:val="00257E36"/>
    <w:rsid w:val="00274850"/>
    <w:rsid w:val="002A2F12"/>
    <w:rsid w:val="002A520F"/>
    <w:rsid w:val="002A6D5D"/>
    <w:rsid w:val="002B1CE6"/>
    <w:rsid w:val="002B2B76"/>
    <w:rsid w:val="002C3DEF"/>
    <w:rsid w:val="002D3E77"/>
    <w:rsid w:val="002D672E"/>
    <w:rsid w:val="00304A0A"/>
    <w:rsid w:val="00314B27"/>
    <w:rsid w:val="00342806"/>
    <w:rsid w:val="00356511"/>
    <w:rsid w:val="0036334B"/>
    <w:rsid w:val="00377459"/>
    <w:rsid w:val="00377559"/>
    <w:rsid w:val="00387687"/>
    <w:rsid w:val="003920EA"/>
    <w:rsid w:val="003A238C"/>
    <w:rsid w:val="003A3DA2"/>
    <w:rsid w:val="003C1297"/>
    <w:rsid w:val="003C6EA1"/>
    <w:rsid w:val="003D6C1C"/>
    <w:rsid w:val="003F4A42"/>
    <w:rsid w:val="003F6A23"/>
    <w:rsid w:val="00401B56"/>
    <w:rsid w:val="004164F9"/>
    <w:rsid w:val="00442DE1"/>
    <w:rsid w:val="0047533D"/>
    <w:rsid w:val="00476F13"/>
    <w:rsid w:val="00485DEF"/>
    <w:rsid w:val="00497093"/>
    <w:rsid w:val="004A7545"/>
    <w:rsid w:val="004C11A8"/>
    <w:rsid w:val="004D11D4"/>
    <w:rsid w:val="004D1370"/>
    <w:rsid w:val="004D2497"/>
    <w:rsid w:val="004E3ACA"/>
    <w:rsid w:val="005029D5"/>
    <w:rsid w:val="00505BCC"/>
    <w:rsid w:val="005069D5"/>
    <w:rsid w:val="00511CE7"/>
    <w:rsid w:val="005131F0"/>
    <w:rsid w:val="00523492"/>
    <w:rsid w:val="00534D21"/>
    <w:rsid w:val="00536C03"/>
    <w:rsid w:val="005A0873"/>
    <w:rsid w:val="005A1DCD"/>
    <w:rsid w:val="005A2A1D"/>
    <w:rsid w:val="005A314B"/>
    <w:rsid w:val="005B167C"/>
    <w:rsid w:val="005B2BF8"/>
    <w:rsid w:val="005E5779"/>
    <w:rsid w:val="005F0DD3"/>
    <w:rsid w:val="00602D46"/>
    <w:rsid w:val="00604AED"/>
    <w:rsid w:val="00604E8A"/>
    <w:rsid w:val="00611A44"/>
    <w:rsid w:val="00620F6D"/>
    <w:rsid w:val="00642CDD"/>
    <w:rsid w:val="00677B24"/>
    <w:rsid w:val="00685F18"/>
    <w:rsid w:val="006A75DA"/>
    <w:rsid w:val="006A76FC"/>
    <w:rsid w:val="006C201B"/>
    <w:rsid w:val="006C5F8D"/>
    <w:rsid w:val="006F350F"/>
    <w:rsid w:val="0070737C"/>
    <w:rsid w:val="00720B6E"/>
    <w:rsid w:val="0072100A"/>
    <w:rsid w:val="007344CF"/>
    <w:rsid w:val="0075413C"/>
    <w:rsid w:val="0075573E"/>
    <w:rsid w:val="00766B1B"/>
    <w:rsid w:val="00780478"/>
    <w:rsid w:val="00783288"/>
    <w:rsid w:val="0079339F"/>
    <w:rsid w:val="007A1375"/>
    <w:rsid w:val="007C0260"/>
    <w:rsid w:val="007C47E1"/>
    <w:rsid w:val="007D070B"/>
    <w:rsid w:val="007D084A"/>
    <w:rsid w:val="007D12C6"/>
    <w:rsid w:val="007D2C90"/>
    <w:rsid w:val="00811197"/>
    <w:rsid w:val="00812DF3"/>
    <w:rsid w:val="0082679C"/>
    <w:rsid w:val="008300E2"/>
    <w:rsid w:val="00830A5B"/>
    <w:rsid w:val="00831197"/>
    <w:rsid w:val="00834EF9"/>
    <w:rsid w:val="00866D4B"/>
    <w:rsid w:val="00883BD6"/>
    <w:rsid w:val="00895104"/>
    <w:rsid w:val="008B67E8"/>
    <w:rsid w:val="008D255A"/>
    <w:rsid w:val="008D5E72"/>
    <w:rsid w:val="008E1F37"/>
    <w:rsid w:val="008F07A1"/>
    <w:rsid w:val="008F1C57"/>
    <w:rsid w:val="008F5BB1"/>
    <w:rsid w:val="00900999"/>
    <w:rsid w:val="00902240"/>
    <w:rsid w:val="00927631"/>
    <w:rsid w:val="00932B3C"/>
    <w:rsid w:val="00933B52"/>
    <w:rsid w:val="00936096"/>
    <w:rsid w:val="0096314C"/>
    <w:rsid w:val="00964173"/>
    <w:rsid w:val="00973AE8"/>
    <w:rsid w:val="00980097"/>
    <w:rsid w:val="009804F1"/>
    <w:rsid w:val="00981058"/>
    <w:rsid w:val="00981FE3"/>
    <w:rsid w:val="00991643"/>
    <w:rsid w:val="009A6E48"/>
    <w:rsid w:val="009B627E"/>
    <w:rsid w:val="009C1531"/>
    <w:rsid w:val="009C1E9F"/>
    <w:rsid w:val="009D76EB"/>
    <w:rsid w:val="009E2852"/>
    <w:rsid w:val="009F760D"/>
    <w:rsid w:val="00A011D3"/>
    <w:rsid w:val="00A04012"/>
    <w:rsid w:val="00A25551"/>
    <w:rsid w:val="00A258D9"/>
    <w:rsid w:val="00A3117F"/>
    <w:rsid w:val="00A33643"/>
    <w:rsid w:val="00A40D2B"/>
    <w:rsid w:val="00A41001"/>
    <w:rsid w:val="00A47494"/>
    <w:rsid w:val="00A63E82"/>
    <w:rsid w:val="00A70C85"/>
    <w:rsid w:val="00A90810"/>
    <w:rsid w:val="00A93B98"/>
    <w:rsid w:val="00AD0264"/>
    <w:rsid w:val="00AE69B5"/>
    <w:rsid w:val="00AF3A24"/>
    <w:rsid w:val="00AF560D"/>
    <w:rsid w:val="00AF6797"/>
    <w:rsid w:val="00B00D49"/>
    <w:rsid w:val="00B01061"/>
    <w:rsid w:val="00B059B3"/>
    <w:rsid w:val="00B05D60"/>
    <w:rsid w:val="00B13B22"/>
    <w:rsid w:val="00B14A35"/>
    <w:rsid w:val="00B255C5"/>
    <w:rsid w:val="00B342E3"/>
    <w:rsid w:val="00B60496"/>
    <w:rsid w:val="00B70097"/>
    <w:rsid w:val="00B742B6"/>
    <w:rsid w:val="00B74536"/>
    <w:rsid w:val="00B77249"/>
    <w:rsid w:val="00B81D52"/>
    <w:rsid w:val="00B91900"/>
    <w:rsid w:val="00B93A06"/>
    <w:rsid w:val="00BA277F"/>
    <w:rsid w:val="00BC3139"/>
    <w:rsid w:val="00BD600D"/>
    <w:rsid w:val="00BD6261"/>
    <w:rsid w:val="00BE2279"/>
    <w:rsid w:val="00BE5C4F"/>
    <w:rsid w:val="00BF570F"/>
    <w:rsid w:val="00C130CB"/>
    <w:rsid w:val="00C225AF"/>
    <w:rsid w:val="00C23633"/>
    <w:rsid w:val="00C37959"/>
    <w:rsid w:val="00C51F27"/>
    <w:rsid w:val="00C72FD1"/>
    <w:rsid w:val="00C85233"/>
    <w:rsid w:val="00C91DCA"/>
    <w:rsid w:val="00CA5F9B"/>
    <w:rsid w:val="00CC08ED"/>
    <w:rsid w:val="00CC2FE9"/>
    <w:rsid w:val="00CC7F1C"/>
    <w:rsid w:val="00CD227B"/>
    <w:rsid w:val="00CF0361"/>
    <w:rsid w:val="00CF0BFE"/>
    <w:rsid w:val="00CF6BD9"/>
    <w:rsid w:val="00CF7D61"/>
    <w:rsid w:val="00D11931"/>
    <w:rsid w:val="00D17E9E"/>
    <w:rsid w:val="00D52D66"/>
    <w:rsid w:val="00D63ED3"/>
    <w:rsid w:val="00D70651"/>
    <w:rsid w:val="00D7162A"/>
    <w:rsid w:val="00D80756"/>
    <w:rsid w:val="00DA2CD0"/>
    <w:rsid w:val="00DA5779"/>
    <w:rsid w:val="00DC123A"/>
    <w:rsid w:val="00DE0B84"/>
    <w:rsid w:val="00DF01CE"/>
    <w:rsid w:val="00DF0D89"/>
    <w:rsid w:val="00DF75A2"/>
    <w:rsid w:val="00E01A86"/>
    <w:rsid w:val="00E06D61"/>
    <w:rsid w:val="00E24A2C"/>
    <w:rsid w:val="00E25EF5"/>
    <w:rsid w:val="00E31765"/>
    <w:rsid w:val="00E36A68"/>
    <w:rsid w:val="00E47347"/>
    <w:rsid w:val="00E52611"/>
    <w:rsid w:val="00E52846"/>
    <w:rsid w:val="00E72F99"/>
    <w:rsid w:val="00E74E8B"/>
    <w:rsid w:val="00E81C3C"/>
    <w:rsid w:val="00E87CC7"/>
    <w:rsid w:val="00E954EA"/>
    <w:rsid w:val="00EC2D26"/>
    <w:rsid w:val="00ED269C"/>
    <w:rsid w:val="00EE0851"/>
    <w:rsid w:val="00EE0E06"/>
    <w:rsid w:val="00EE3EE9"/>
    <w:rsid w:val="00EF3849"/>
    <w:rsid w:val="00F16772"/>
    <w:rsid w:val="00F178E8"/>
    <w:rsid w:val="00F20F6C"/>
    <w:rsid w:val="00F23222"/>
    <w:rsid w:val="00F33454"/>
    <w:rsid w:val="00F50C34"/>
    <w:rsid w:val="00F659F7"/>
    <w:rsid w:val="00F71586"/>
    <w:rsid w:val="00F842E6"/>
    <w:rsid w:val="00F942B4"/>
    <w:rsid w:val="00FA025D"/>
    <w:rsid w:val="00FA475C"/>
    <w:rsid w:val="00FD0F8D"/>
    <w:rsid w:val="00FD4A6B"/>
    <w:rsid w:val="00FE57FC"/>
    <w:rsid w:val="00FF1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EC091"/>
  <w15:docId w15:val="{630E18BA-D121-41CE-A6C8-ACA821E7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097"/>
    <w:pPr>
      <w:spacing w:after="120" w:line="240" w:lineRule="auto"/>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4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3DA2"/>
    <w:rPr>
      <w:sz w:val="16"/>
      <w:szCs w:val="16"/>
    </w:rPr>
  </w:style>
  <w:style w:type="paragraph" w:styleId="CommentText">
    <w:name w:val="annotation text"/>
    <w:basedOn w:val="Normal"/>
    <w:link w:val="CommentTextChar"/>
    <w:uiPriority w:val="99"/>
    <w:semiHidden/>
    <w:unhideWhenUsed/>
    <w:rsid w:val="003A3DA2"/>
    <w:rPr>
      <w:sz w:val="20"/>
      <w:szCs w:val="20"/>
    </w:rPr>
  </w:style>
  <w:style w:type="character" w:customStyle="1" w:styleId="CommentTextChar">
    <w:name w:val="Comment Text Char"/>
    <w:basedOn w:val="DefaultParagraphFont"/>
    <w:link w:val="CommentText"/>
    <w:uiPriority w:val="99"/>
    <w:semiHidden/>
    <w:rsid w:val="003A3DA2"/>
    <w:rPr>
      <w:sz w:val="20"/>
      <w:szCs w:val="20"/>
    </w:rPr>
  </w:style>
  <w:style w:type="paragraph" w:styleId="CommentSubject">
    <w:name w:val="annotation subject"/>
    <w:basedOn w:val="CommentText"/>
    <w:next w:val="CommentText"/>
    <w:link w:val="CommentSubjectChar"/>
    <w:uiPriority w:val="99"/>
    <w:semiHidden/>
    <w:unhideWhenUsed/>
    <w:rsid w:val="003A3DA2"/>
    <w:rPr>
      <w:b/>
      <w:bCs/>
    </w:rPr>
  </w:style>
  <w:style w:type="character" w:customStyle="1" w:styleId="CommentSubjectChar">
    <w:name w:val="Comment Subject Char"/>
    <w:basedOn w:val="CommentTextChar"/>
    <w:link w:val="CommentSubject"/>
    <w:uiPriority w:val="99"/>
    <w:semiHidden/>
    <w:rsid w:val="003A3DA2"/>
    <w:rPr>
      <w:b/>
      <w:bCs/>
      <w:sz w:val="20"/>
      <w:szCs w:val="20"/>
    </w:rPr>
  </w:style>
  <w:style w:type="paragraph" w:styleId="BalloonText">
    <w:name w:val="Balloon Text"/>
    <w:basedOn w:val="Normal"/>
    <w:link w:val="BalloonTextChar"/>
    <w:uiPriority w:val="99"/>
    <w:semiHidden/>
    <w:unhideWhenUsed/>
    <w:rsid w:val="003A3DA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DA2"/>
    <w:rPr>
      <w:rFonts w:ascii="Segoe UI" w:hAnsi="Segoe UI" w:cs="Segoe UI"/>
      <w:sz w:val="18"/>
      <w:szCs w:val="18"/>
    </w:rPr>
  </w:style>
  <w:style w:type="paragraph" w:styleId="ListParagraph">
    <w:name w:val="List Paragraph"/>
    <w:basedOn w:val="Normal"/>
    <w:uiPriority w:val="34"/>
    <w:qFormat/>
    <w:rsid w:val="00F50C34"/>
    <w:pPr>
      <w:spacing w:after="160" w:line="259" w:lineRule="auto"/>
      <w:ind w:left="720"/>
      <w:contextualSpacing/>
    </w:pPr>
    <w:rPr>
      <w:szCs w:val="22"/>
    </w:rPr>
  </w:style>
  <w:style w:type="paragraph" w:styleId="Revision">
    <w:name w:val="Revision"/>
    <w:hidden/>
    <w:uiPriority w:val="99"/>
    <w:semiHidden/>
    <w:rsid w:val="002B2B76"/>
    <w:pPr>
      <w:spacing w:after="0" w:line="240"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1009">
      <w:bodyDiv w:val="1"/>
      <w:marLeft w:val="0"/>
      <w:marRight w:val="0"/>
      <w:marTop w:val="0"/>
      <w:marBottom w:val="0"/>
      <w:divBdr>
        <w:top w:val="none" w:sz="0" w:space="0" w:color="auto"/>
        <w:left w:val="none" w:sz="0" w:space="0" w:color="auto"/>
        <w:bottom w:val="none" w:sz="0" w:space="0" w:color="auto"/>
        <w:right w:val="none" w:sz="0" w:space="0" w:color="auto"/>
      </w:divBdr>
      <w:divsChild>
        <w:div w:id="1398015196">
          <w:marLeft w:val="547"/>
          <w:marRight w:val="0"/>
          <w:marTop w:val="86"/>
          <w:marBottom w:val="0"/>
          <w:divBdr>
            <w:top w:val="none" w:sz="0" w:space="0" w:color="auto"/>
            <w:left w:val="none" w:sz="0" w:space="0" w:color="auto"/>
            <w:bottom w:val="none" w:sz="0" w:space="0" w:color="auto"/>
            <w:right w:val="none" w:sz="0" w:space="0" w:color="auto"/>
          </w:divBdr>
        </w:div>
      </w:divsChild>
    </w:div>
    <w:div w:id="216402194">
      <w:bodyDiv w:val="1"/>
      <w:marLeft w:val="0"/>
      <w:marRight w:val="0"/>
      <w:marTop w:val="0"/>
      <w:marBottom w:val="0"/>
      <w:divBdr>
        <w:top w:val="none" w:sz="0" w:space="0" w:color="auto"/>
        <w:left w:val="none" w:sz="0" w:space="0" w:color="auto"/>
        <w:bottom w:val="none" w:sz="0" w:space="0" w:color="auto"/>
        <w:right w:val="none" w:sz="0" w:space="0" w:color="auto"/>
      </w:divBdr>
    </w:div>
    <w:div w:id="240260530">
      <w:bodyDiv w:val="1"/>
      <w:marLeft w:val="0"/>
      <w:marRight w:val="0"/>
      <w:marTop w:val="0"/>
      <w:marBottom w:val="0"/>
      <w:divBdr>
        <w:top w:val="none" w:sz="0" w:space="0" w:color="auto"/>
        <w:left w:val="none" w:sz="0" w:space="0" w:color="auto"/>
        <w:bottom w:val="none" w:sz="0" w:space="0" w:color="auto"/>
        <w:right w:val="none" w:sz="0" w:space="0" w:color="auto"/>
      </w:divBdr>
      <w:divsChild>
        <w:div w:id="226965701">
          <w:marLeft w:val="1166"/>
          <w:marRight w:val="0"/>
          <w:marTop w:val="72"/>
          <w:marBottom w:val="0"/>
          <w:divBdr>
            <w:top w:val="none" w:sz="0" w:space="0" w:color="auto"/>
            <w:left w:val="none" w:sz="0" w:space="0" w:color="auto"/>
            <w:bottom w:val="none" w:sz="0" w:space="0" w:color="auto"/>
            <w:right w:val="none" w:sz="0" w:space="0" w:color="auto"/>
          </w:divBdr>
        </w:div>
        <w:div w:id="735323222">
          <w:marLeft w:val="1166"/>
          <w:marRight w:val="0"/>
          <w:marTop w:val="72"/>
          <w:marBottom w:val="0"/>
          <w:divBdr>
            <w:top w:val="none" w:sz="0" w:space="0" w:color="auto"/>
            <w:left w:val="none" w:sz="0" w:space="0" w:color="auto"/>
            <w:bottom w:val="none" w:sz="0" w:space="0" w:color="auto"/>
            <w:right w:val="none" w:sz="0" w:space="0" w:color="auto"/>
          </w:divBdr>
        </w:div>
        <w:div w:id="1017274238">
          <w:marLeft w:val="1166"/>
          <w:marRight w:val="0"/>
          <w:marTop w:val="72"/>
          <w:marBottom w:val="0"/>
          <w:divBdr>
            <w:top w:val="none" w:sz="0" w:space="0" w:color="auto"/>
            <w:left w:val="none" w:sz="0" w:space="0" w:color="auto"/>
            <w:bottom w:val="none" w:sz="0" w:space="0" w:color="auto"/>
            <w:right w:val="none" w:sz="0" w:space="0" w:color="auto"/>
          </w:divBdr>
        </w:div>
        <w:div w:id="1441533474">
          <w:marLeft w:val="1166"/>
          <w:marRight w:val="0"/>
          <w:marTop w:val="72"/>
          <w:marBottom w:val="0"/>
          <w:divBdr>
            <w:top w:val="none" w:sz="0" w:space="0" w:color="auto"/>
            <w:left w:val="none" w:sz="0" w:space="0" w:color="auto"/>
            <w:bottom w:val="none" w:sz="0" w:space="0" w:color="auto"/>
            <w:right w:val="none" w:sz="0" w:space="0" w:color="auto"/>
          </w:divBdr>
        </w:div>
        <w:div w:id="1575968986">
          <w:marLeft w:val="1166"/>
          <w:marRight w:val="0"/>
          <w:marTop w:val="72"/>
          <w:marBottom w:val="0"/>
          <w:divBdr>
            <w:top w:val="none" w:sz="0" w:space="0" w:color="auto"/>
            <w:left w:val="none" w:sz="0" w:space="0" w:color="auto"/>
            <w:bottom w:val="none" w:sz="0" w:space="0" w:color="auto"/>
            <w:right w:val="none" w:sz="0" w:space="0" w:color="auto"/>
          </w:divBdr>
        </w:div>
        <w:div w:id="1622372270">
          <w:marLeft w:val="1166"/>
          <w:marRight w:val="0"/>
          <w:marTop w:val="72"/>
          <w:marBottom w:val="0"/>
          <w:divBdr>
            <w:top w:val="none" w:sz="0" w:space="0" w:color="auto"/>
            <w:left w:val="none" w:sz="0" w:space="0" w:color="auto"/>
            <w:bottom w:val="none" w:sz="0" w:space="0" w:color="auto"/>
            <w:right w:val="none" w:sz="0" w:space="0" w:color="auto"/>
          </w:divBdr>
        </w:div>
        <w:div w:id="1782842260">
          <w:marLeft w:val="547"/>
          <w:marRight w:val="0"/>
          <w:marTop w:val="72"/>
          <w:marBottom w:val="0"/>
          <w:divBdr>
            <w:top w:val="none" w:sz="0" w:space="0" w:color="auto"/>
            <w:left w:val="none" w:sz="0" w:space="0" w:color="auto"/>
            <w:bottom w:val="none" w:sz="0" w:space="0" w:color="auto"/>
            <w:right w:val="none" w:sz="0" w:space="0" w:color="auto"/>
          </w:divBdr>
        </w:div>
        <w:div w:id="2036300108">
          <w:marLeft w:val="1166"/>
          <w:marRight w:val="0"/>
          <w:marTop w:val="72"/>
          <w:marBottom w:val="0"/>
          <w:divBdr>
            <w:top w:val="none" w:sz="0" w:space="0" w:color="auto"/>
            <w:left w:val="none" w:sz="0" w:space="0" w:color="auto"/>
            <w:bottom w:val="none" w:sz="0" w:space="0" w:color="auto"/>
            <w:right w:val="none" w:sz="0" w:space="0" w:color="auto"/>
          </w:divBdr>
        </w:div>
      </w:divsChild>
    </w:div>
    <w:div w:id="705760605">
      <w:bodyDiv w:val="1"/>
      <w:marLeft w:val="0"/>
      <w:marRight w:val="0"/>
      <w:marTop w:val="0"/>
      <w:marBottom w:val="0"/>
      <w:divBdr>
        <w:top w:val="none" w:sz="0" w:space="0" w:color="auto"/>
        <w:left w:val="none" w:sz="0" w:space="0" w:color="auto"/>
        <w:bottom w:val="none" w:sz="0" w:space="0" w:color="auto"/>
        <w:right w:val="none" w:sz="0" w:space="0" w:color="auto"/>
      </w:divBdr>
    </w:div>
    <w:div w:id="749692817">
      <w:bodyDiv w:val="1"/>
      <w:marLeft w:val="0"/>
      <w:marRight w:val="0"/>
      <w:marTop w:val="0"/>
      <w:marBottom w:val="0"/>
      <w:divBdr>
        <w:top w:val="none" w:sz="0" w:space="0" w:color="auto"/>
        <w:left w:val="none" w:sz="0" w:space="0" w:color="auto"/>
        <w:bottom w:val="none" w:sz="0" w:space="0" w:color="auto"/>
        <w:right w:val="none" w:sz="0" w:space="0" w:color="auto"/>
      </w:divBdr>
    </w:div>
    <w:div w:id="907765191">
      <w:bodyDiv w:val="1"/>
      <w:marLeft w:val="0"/>
      <w:marRight w:val="0"/>
      <w:marTop w:val="0"/>
      <w:marBottom w:val="0"/>
      <w:divBdr>
        <w:top w:val="none" w:sz="0" w:space="0" w:color="auto"/>
        <w:left w:val="none" w:sz="0" w:space="0" w:color="auto"/>
        <w:bottom w:val="none" w:sz="0" w:space="0" w:color="auto"/>
        <w:right w:val="none" w:sz="0" w:space="0" w:color="auto"/>
      </w:divBdr>
    </w:div>
    <w:div w:id="937835614">
      <w:bodyDiv w:val="1"/>
      <w:marLeft w:val="0"/>
      <w:marRight w:val="0"/>
      <w:marTop w:val="0"/>
      <w:marBottom w:val="0"/>
      <w:divBdr>
        <w:top w:val="none" w:sz="0" w:space="0" w:color="auto"/>
        <w:left w:val="none" w:sz="0" w:space="0" w:color="auto"/>
        <w:bottom w:val="none" w:sz="0" w:space="0" w:color="auto"/>
        <w:right w:val="none" w:sz="0" w:space="0" w:color="auto"/>
      </w:divBdr>
    </w:div>
    <w:div w:id="1474906906">
      <w:bodyDiv w:val="1"/>
      <w:marLeft w:val="0"/>
      <w:marRight w:val="0"/>
      <w:marTop w:val="0"/>
      <w:marBottom w:val="0"/>
      <w:divBdr>
        <w:top w:val="none" w:sz="0" w:space="0" w:color="auto"/>
        <w:left w:val="none" w:sz="0" w:space="0" w:color="auto"/>
        <w:bottom w:val="none" w:sz="0" w:space="0" w:color="auto"/>
        <w:right w:val="none" w:sz="0" w:space="0" w:color="auto"/>
      </w:divBdr>
    </w:div>
    <w:div w:id="1559122217">
      <w:bodyDiv w:val="1"/>
      <w:marLeft w:val="0"/>
      <w:marRight w:val="0"/>
      <w:marTop w:val="0"/>
      <w:marBottom w:val="0"/>
      <w:divBdr>
        <w:top w:val="none" w:sz="0" w:space="0" w:color="auto"/>
        <w:left w:val="none" w:sz="0" w:space="0" w:color="auto"/>
        <w:bottom w:val="none" w:sz="0" w:space="0" w:color="auto"/>
        <w:right w:val="none" w:sz="0" w:space="0" w:color="auto"/>
      </w:divBdr>
      <w:divsChild>
        <w:div w:id="253788051">
          <w:marLeft w:val="0"/>
          <w:marRight w:val="0"/>
          <w:marTop w:val="0"/>
          <w:marBottom w:val="0"/>
          <w:divBdr>
            <w:top w:val="none" w:sz="0" w:space="0" w:color="auto"/>
            <w:left w:val="none" w:sz="0" w:space="0" w:color="auto"/>
            <w:bottom w:val="none" w:sz="0" w:space="0" w:color="auto"/>
            <w:right w:val="none" w:sz="0" w:space="0" w:color="auto"/>
          </w:divBdr>
          <w:divsChild>
            <w:div w:id="1894534360">
              <w:marLeft w:val="0"/>
              <w:marRight w:val="0"/>
              <w:marTop w:val="0"/>
              <w:marBottom w:val="0"/>
              <w:divBdr>
                <w:top w:val="none" w:sz="0" w:space="0" w:color="auto"/>
                <w:left w:val="none" w:sz="0" w:space="0" w:color="auto"/>
                <w:bottom w:val="none" w:sz="0" w:space="0" w:color="auto"/>
                <w:right w:val="none" w:sz="0" w:space="0" w:color="auto"/>
              </w:divBdr>
              <w:divsChild>
                <w:div w:id="7780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emf"/><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3828</Words>
  <Characters>21825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Vimmerstedt, Laura</dc:creator>
  <cp:lastModifiedBy>Vimmerstedt, Laura</cp:lastModifiedBy>
  <cp:revision>2</cp:revision>
  <cp:lastPrinted>2018-12-27T16:00:00Z</cp:lastPrinted>
  <dcterms:created xsi:type="dcterms:W3CDTF">2018-12-28T22:25:00Z</dcterms:created>
  <dcterms:modified xsi:type="dcterms:W3CDTF">2018-12-28T22:25:00Z</dcterms:modified>
</cp:coreProperties>
</file>