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49755" w14:textId="65C41280" w:rsidR="00AD587C" w:rsidRDefault="00AD587C">
      <w:pPr>
        <w:rPr>
          <w:rFonts w:ascii="Gibson Book" w:hAnsi="Gibson Book"/>
          <w:b/>
          <w:bCs/>
          <w:color w:val="CEA845"/>
          <w:sz w:val="36"/>
          <w:szCs w:val="36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CB8FBC" wp14:editId="5F9170B3">
                <wp:simplePos x="0" y="0"/>
                <wp:positionH relativeFrom="margin">
                  <wp:posOffset>1212654</wp:posOffset>
                </wp:positionH>
                <wp:positionV relativeFrom="page">
                  <wp:posOffset>1251829</wp:posOffset>
                </wp:positionV>
                <wp:extent cx="3500511" cy="390965"/>
                <wp:effectExtent l="0" t="0" r="5080" b="1587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0511" cy="390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C43550" w14:textId="77777777" w:rsidR="003C5439" w:rsidRPr="00C33FDC" w:rsidRDefault="003C5439" w:rsidP="00AD587C">
                            <w:pPr>
                              <w:rPr>
                                <w:rFonts w:ascii="Aller" w:hAnsi="Aller"/>
                                <w:b/>
                                <w:color w:val="0090A4"/>
                                <w:sz w:val="40"/>
                                <w:szCs w:val="40"/>
                              </w:rPr>
                            </w:pPr>
                            <w:r w:rsidRPr="00C33FDC">
                              <w:rPr>
                                <w:rFonts w:ascii="Aller" w:hAnsi="Aller"/>
                                <w:b/>
                                <w:color w:val="0090A4"/>
                                <w:sz w:val="40"/>
                                <w:szCs w:val="40"/>
                              </w:rPr>
                              <w:t>Mtra. Erandi  Martinez Barajas</w:t>
                            </w:r>
                          </w:p>
                          <w:p w14:paraId="143E0120" w14:textId="77777777" w:rsidR="003C5439" w:rsidRPr="0063342E" w:rsidRDefault="003C5439" w:rsidP="00AD587C">
                            <w:pPr>
                              <w:rPr>
                                <w:rFonts w:ascii="Aller" w:hAnsi="Aller"/>
                                <w:b/>
                                <w:color w:val="0090A4"/>
                                <w:sz w:val="56"/>
                                <w:szCs w:val="10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" o:spid="_x0000_s1026" type="#_x0000_t202" style="position:absolute;margin-left:95.5pt;margin-top:98.55pt;width:275.65pt;height:30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" filled="f" stroked="f">
                <v:textbox inset="0,0,0,0">
                  <w:txbxContent>
                    <w:p w14:paraId="3AC43550" w14:textId="77777777" w:rsidR="003C5439" w:rsidRPr="00C33FDC" w:rsidRDefault="003C5439" w:rsidP="00AD587C">
                      <w:pPr>
                        <w:rPr>
                          <w:rFonts w:ascii="Aller" w:hAnsi="Aller"/>
                          <w:b/>
                          <w:color w:val="0090A4"/>
                          <w:sz w:val="40"/>
                          <w:szCs w:val="40"/>
                        </w:rPr>
                      </w:pPr>
                      <w:r w:rsidRPr="00C33FDC">
                        <w:rPr>
                          <w:rFonts w:ascii="Aller" w:hAnsi="Aller"/>
                          <w:b/>
                          <w:color w:val="0090A4"/>
                          <w:sz w:val="40"/>
                          <w:szCs w:val="40"/>
                        </w:rPr>
                        <w:t>Mtra. Erandi  Martinez Barajas</w:t>
                      </w:r>
                    </w:p>
                    <w:p w14:paraId="143E0120" w14:textId="77777777" w:rsidR="003C5439" w:rsidRPr="0063342E" w:rsidRDefault="003C5439" w:rsidP="00AD587C">
                      <w:pPr>
                        <w:rPr>
                          <w:rFonts w:ascii="Aller" w:hAnsi="Aller"/>
                          <w:b/>
                          <w:color w:val="0090A4"/>
                          <w:sz w:val="56"/>
                          <w:szCs w:val="10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B1E8799" w14:textId="37E6863D" w:rsidR="00AD587C" w:rsidRDefault="00AD587C">
      <w:pPr>
        <w:rPr>
          <w:rFonts w:ascii="Gibson Book" w:hAnsi="Gibson Book"/>
          <w:b/>
          <w:bCs/>
          <w:color w:val="CEA845"/>
          <w:sz w:val="36"/>
          <w:szCs w:val="36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60C6A0" wp14:editId="21B8AC00">
                <wp:simplePos x="0" y="0"/>
                <wp:positionH relativeFrom="page">
                  <wp:posOffset>2052955</wp:posOffset>
                </wp:positionH>
                <wp:positionV relativeFrom="page">
                  <wp:posOffset>1838960</wp:posOffset>
                </wp:positionV>
                <wp:extent cx="5221605" cy="361950"/>
                <wp:effectExtent l="0" t="0" r="10795" b="19050"/>
                <wp:wrapThrough wrapText="bothSides">
                  <wp:wrapPolygon edited="0">
                    <wp:start x="0" y="0"/>
                    <wp:lineTo x="0" y="21221"/>
                    <wp:lineTo x="21540" y="21221"/>
                    <wp:lineTo x="21540" y="0"/>
                    <wp:lineTo x="0" y="0"/>
                  </wp:wrapPolygon>
                </wp:wrapThrough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2160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6F61D7B" w14:textId="77777777" w:rsidR="003C5439" w:rsidRPr="000B71EA" w:rsidRDefault="003C5439" w:rsidP="00AD587C">
                            <w:pPr>
                              <w:pStyle w:val="Encabezado"/>
                              <w:rPr>
                                <w:rFonts w:ascii="Aller Light" w:hAnsi="Aller Light"/>
                                <w:i/>
                                <w:color w:val="808080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Aller Light" w:hAnsi="Aller Light"/>
                                <w:i/>
                                <w:color w:val="808080"/>
                                <w:sz w:val="36"/>
                                <w:szCs w:val="36"/>
                                <w:lang w:val="es-ES"/>
                              </w:rPr>
                              <w:t>MTRA. DERECHO PROCESAL CONSTITUCIONAL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161.65pt;margin-top:144.8pt;width:411.1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" filled="f" stroked="f">
                <v:path arrowok="t"/>
                <v:textbox inset="0,0,0,0">
                  <w:txbxContent>
                    <w:p w14:paraId="76F61D7B" w14:textId="77777777" w:rsidR="003C5439" w:rsidRPr="000B71EA" w:rsidRDefault="003C5439" w:rsidP="00AD587C">
                      <w:pPr>
                        <w:pStyle w:val="Encabezado"/>
                        <w:rPr>
                          <w:rFonts w:ascii="Aller Light" w:hAnsi="Aller Light"/>
                          <w:i/>
                          <w:color w:val="808080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Aller Light" w:hAnsi="Aller Light"/>
                          <w:i/>
                          <w:color w:val="808080"/>
                          <w:sz w:val="36"/>
                          <w:szCs w:val="36"/>
                          <w:lang w:val="es-ES"/>
                        </w:rPr>
                        <w:t>MTRA. DERECHO PROCESAL CONSTITUCIONAL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75FB7200" w14:textId="52CB0415" w:rsidR="0012302C" w:rsidRPr="003C5439" w:rsidRDefault="0012302C" w:rsidP="003C5439">
      <w:pPr>
        <w:rPr>
          <w:rFonts w:ascii="Gibson Book" w:hAnsi="Gibson Book"/>
          <w:b/>
          <w:bCs/>
          <w:color w:val="CEA845"/>
          <w:sz w:val="36"/>
          <w:szCs w:val="36"/>
        </w:rPr>
      </w:pPr>
      <w:r w:rsidRPr="00BF0F3B"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 wp14:anchorId="64D37C76" wp14:editId="210B3CBA">
            <wp:simplePos x="0" y="0"/>
            <wp:positionH relativeFrom="margin">
              <wp:posOffset>3800475</wp:posOffset>
            </wp:positionH>
            <wp:positionV relativeFrom="paragraph">
              <wp:posOffset>297815</wp:posOffset>
            </wp:positionV>
            <wp:extent cx="1617980" cy="1466850"/>
            <wp:effectExtent l="0" t="0" r="7620" b="6350"/>
            <wp:wrapSquare wrapText="bothSides"/>
            <wp:docPr id="7" name="Imagen 7" descr="C:\Users\Areli\Downloads\22886252_10214924202884481_583205192193587095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reli\Downloads\22886252_10214924202884481_5832051921935870956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87C">
        <w:rPr>
          <w:rFonts w:ascii="Gibson Book" w:hAnsi="Gibson Book"/>
          <w:b/>
          <w:bCs/>
          <w:color w:val="CEA845"/>
          <w:sz w:val="36"/>
          <w:szCs w:val="36"/>
        </w:rPr>
        <w:t>Perfil</w:t>
      </w:r>
    </w:p>
    <w:p w14:paraId="4A516016" w14:textId="77777777" w:rsidR="0012302C" w:rsidRDefault="0012302C" w:rsidP="00C33FDC">
      <w:pPr>
        <w:spacing w:after="0" w:line="240" w:lineRule="auto"/>
        <w:jc w:val="both"/>
        <w:rPr>
          <w:rFonts w:ascii="Arial Narrow" w:hAnsi="Arial Narrow"/>
          <w:b/>
          <w:sz w:val="24"/>
          <w:szCs w:val="24"/>
        </w:rPr>
      </w:pPr>
    </w:p>
    <w:p w14:paraId="51687737" w14:textId="0C55A7C0" w:rsidR="003C5439" w:rsidRDefault="00AD587C" w:rsidP="00C33FDC">
      <w:pPr>
        <w:spacing w:after="0" w:line="24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Nombre: Erandi Martínez Barajas</w:t>
      </w:r>
    </w:p>
    <w:p w14:paraId="2FB24DCD" w14:textId="77777777" w:rsidR="003C5439" w:rsidRDefault="00AD587C" w:rsidP="00C33FDC">
      <w:pPr>
        <w:pBdr>
          <w:bottom w:val="single" w:sz="6" w:space="1" w:color="auto"/>
        </w:pBdr>
        <w:spacing w:after="0" w:line="24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Grado de Estudios: Maestra en Derecho </w:t>
      </w:r>
    </w:p>
    <w:p w14:paraId="6740D229" w14:textId="665F7CA0" w:rsidR="00AD587C" w:rsidRDefault="00AD587C" w:rsidP="00C33FDC">
      <w:pPr>
        <w:pBdr>
          <w:bottom w:val="single" w:sz="6" w:space="1" w:color="auto"/>
        </w:pBdr>
        <w:spacing w:after="0" w:line="24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Con opción terminal en Derecho Procesal Constitucional. </w:t>
      </w:r>
    </w:p>
    <w:p w14:paraId="2440368F" w14:textId="77777777" w:rsidR="003C5439" w:rsidRDefault="003C5439" w:rsidP="00C33FDC">
      <w:pPr>
        <w:pBdr>
          <w:bottom w:val="single" w:sz="6" w:space="1" w:color="auto"/>
        </w:pBdr>
        <w:spacing w:after="0" w:line="240" w:lineRule="auto"/>
        <w:jc w:val="both"/>
        <w:rPr>
          <w:rFonts w:ascii="Arial Narrow" w:hAnsi="Arial Narrow"/>
          <w:b/>
          <w:sz w:val="24"/>
          <w:szCs w:val="24"/>
        </w:rPr>
      </w:pPr>
    </w:p>
    <w:p w14:paraId="783CE714" w14:textId="77777777" w:rsidR="003C5439" w:rsidRDefault="003C5439" w:rsidP="00C33FDC">
      <w:pPr>
        <w:pBdr>
          <w:bottom w:val="single" w:sz="6" w:space="1" w:color="auto"/>
        </w:pBdr>
        <w:spacing w:after="0" w:line="240" w:lineRule="auto"/>
        <w:jc w:val="both"/>
        <w:rPr>
          <w:rFonts w:ascii="Arial Narrow" w:hAnsi="Arial Narrow"/>
          <w:b/>
          <w:sz w:val="24"/>
          <w:szCs w:val="24"/>
        </w:rPr>
      </w:pPr>
    </w:p>
    <w:p w14:paraId="5379EC1E" w14:textId="77777777" w:rsidR="003C5439" w:rsidRDefault="003C5439" w:rsidP="00C33FDC">
      <w:pPr>
        <w:pBdr>
          <w:bottom w:val="single" w:sz="6" w:space="1" w:color="auto"/>
        </w:pBdr>
        <w:spacing w:after="0" w:line="240" w:lineRule="auto"/>
        <w:jc w:val="both"/>
        <w:rPr>
          <w:rFonts w:ascii="Arial Narrow" w:hAnsi="Arial Narrow"/>
          <w:b/>
          <w:sz w:val="24"/>
          <w:szCs w:val="24"/>
        </w:rPr>
      </w:pPr>
    </w:p>
    <w:p w14:paraId="3CCB5805" w14:textId="77777777" w:rsidR="00AD587C" w:rsidRDefault="00AD587C" w:rsidP="00AD587C">
      <w:pPr>
        <w:jc w:val="both"/>
        <w:rPr>
          <w:rFonts w:ascii="Arial Narrow" w:hAnsi="Arial Narrow"/>
          <w:sz w:val="24"/>
          <w:szCs w:val="24"/>
        </w:rPr>
      </w:pPr>
    </w:p>
    <w:p w14:paraId="5FFC8B96" w14:textId="4D11384E" w:rsidR="00AD587C" w:rsidRDefault="00AD587C" w:rsidP="00AD587C">
      <w:pPr>
        <w:jc w:val="both"/>
        <w:rPr>
          <w:rFonts w:ascii="Arial Narrow" w:hAnsi="Arial Narrow"/>
          <w:b/>
        </w:rPr>
      </w:pPr>
      <w:r w:rsidRPr="00106658">
        <w:rPr>
          <w:rFonts w:ascii="Arial Narrow" w:hAnsi="Arial Narrow"/>
          <w:b/>
        </w:rPr>
        <w:t>EXPERIENCIA EN DERECHOS HUMANOS, DERECHO CONSTITU</w:t>
      </w:r>
      <w:r w:rsidR="00505553">
        <w:rPr>
          <w:rFonts w:ascii="Arial Narrow" w:hAnsi="Arial Narrow"/>
          <w:b/>
        </w:rPr>
        <w:t xml:space="preserve">CIONAL, AMPARO, TRANSPARENCIA, </w:t>
      </w:r>
      <w:r w:rsidRPr="00106658">
        <w:rPr>
          <w:rFonts w:ascii="Arial Narrow" w:hAnsi="Arial Narrow"/>
          <w:b/>
        </w:rPr>
        <w:t xml:space="preserve">ACCESO A LA INFORMACIÓN PÚBLICA, </w:t>
      </w:r>
      <w:r w:rsidR="007059E5">
        <w:rPr>
          <w:rFonts w:ascii="Arial Narrow" w:hAnsi="Arial Narrow"/>
          <w:b/>
        </w:rPr>
        <w:t xml:space="preserve">DATOS PERSONALES </w:t>
      </w:r>
      <w:r w:rsidRPr="00106658">
        <w:rPr>
          <w:rFonts w:ascii="Arial Narrow" w:hAnsi="Arial Narrow"/>
          <w:b/>
        </w:rPr>
        <w:t>Y PERSPECTIVA DE GENERO.</w:t>
      </w:r>
    </w:p>
    <w:p w14:paraId="7683D62D" w14:textId="7F3063E0" w:rsidR="00AD587C" w:rsidRPr="00AD587C" w:rsidRDefault="00AD587C" w:rsidP="00AD587C">
      <w:pPr>
        <w:rPr>
          <w:rFonts w:ascii="Gibson Book" w:hAnsi="Gibson Book"/>
          <w:b/>
          <w:bCs/>
          <w:color w:val="CEA845"/>
          <w:sz w:val="36"/>
          <w:szCs w:val="36"/>
        </w:rPr>
      </w:pPr>
      <w:r>
        <w:rPr>
          <w:rFonts w:ascii="Gibson Book" w:hAnsi="Gibson Book"/>
          <w:b/>
          <w:bCs/>
          <w:color w:val="CEA845"/>
          <w:sz w:val="36"/>
          <w:szCs w:val="36"/>
        </w:rPr>
        <w:t>Formación</w:t>
      </w:r>
      <w:r w:rsidRPr="007D47FF">
        <w:rPr>
          <w:rFonts w:ascii="Gibson Book" w:hAnsi="Gibson Book"/>
          <w:b/>
          <w:bCs/>
          <w:color w:val="CEA845"/>
          <w:sz w:val="36"/>
          <w:szCs w:val="36"/>
        </w:rPr>
        <w:t xml:space="preserve"> académic</w:t>
      </w:r>
      <w:r>
        <w:rPr>
          <w:rFonts w:ascii="Gibson Book" w:hAnsi="Gibson Book"/>
          <w:b/>
          <w:bCs/>
          <w:color w:val="CEA845"/>
          <w:sz w:val="36"/>
          <w:szCs w:val="36"/>
        </w:rPr>
        <w:t>a</w:t>
      </w:r>
    </w:p>
    <w:p w14:paraId="6A39F374" w14:textId="77777777" w:rsidR="00AD587C" w:rsidRDefault="00AD587C" w:rsidP="00AD587C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Cs/>
        </w:rPr>
      </w:pPr>
      <w:r>
        <w:rPr>
          <w:rFonts w:ascii="Arial Narrow" w:hAnsi="Arial Narrow"/>
          <w:b/>
          <w:bCs/>
          <w:sz w:val="24"/>
          <w:szCs w:val="24"/>
        </w:rPr>
        <w:t>Licenciatura en Derecho</w:t>
      </w:r>
      <w:r>
        <w:rPr>
          <w:rFonts w:ascii="Arial Narrow" w:hAnsi="Arial Narrow"/>
          <w:bCs/>
          <w:sz w:val="24"/>
          <w:szCs w:val="24"/>
        </w:rPr>
        <w:t xml:space="preserve">. Facultad de Derecho y Ciencias Sociales (UMSNH). Generación 2004-2009. </w:t>
      </w:r>
      <w:r>
        <w:rPr>
          <w:rFonts w:ascii="Arial Narrow" w:hAnsi="Arial Narrow"/>
          <w:bCs/>
        </w:rPr>
        <w:t>Fecha de Titulación: Julio 2010.</w:t>
      </w:r>
      <w:r>
        <w:rPr>
          <w:rFonts w:ascii="Arial Narrow" w:hAnsi="Arial Narrow"/>
          <w:bCs/>
          <w:sz w:val="24"/>
          <w:szCs w:val="24"/>
        </w:rPr>
        <w:t xml:space="preserve">* A través de la tesis intitulada: </w:t>
      </w:r>
      <w:r>
        <w:rPr>
          <w:rFonts w:ascii="Arial Narrow" w:hAnsi="Arial Narrow"/>
          <w:bCs/>
          <w:i/>
          <w:sz w:val="24"/>
          <w:szCs w:val="24"/>
        </w:rPr>
        <w:t>“El caso Loayza Tamayo como lading Case de la Corte Interamericana y el debido proceso legal”</w:t>
      </w:r>
    </w:p>
    <w:p w14:paraId="0E012C18" w14:textId="74702DF6" w:rsidR="00025A7A" w:rsidRDefault="00AD587C" w:rsidP="00025A7A">
      <w:pPr>
        <w:pStyle w:val="Prrafodelista"/>
        <w:numPr>
          <w:ilvl w:val="0"/>
          <w:numId w:val="10"/>
        </w:numPr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Cedula Profesional: 7704479</w:t>
      </w:r>
    </w:p>
    <w:p w14:paraId="33F26096" w14:textId="77777777" w:rsidR="00025A7A" w:rsidRPr="00025A7A" w:rsidRDefault="00025A7A" w:rsidP="00025A7A">
      <w:pPr>
        <w:pStyle w:val="Prrafodelista"/>
        <w:ind w:left="1004"/>
        <w:jc w:val="both"/>
        <w:rPr>
          <w:rFonts w:ascii="Arial Narrow" w:hAnsi="Arial Narrow"/>
          <w:bCs/>
          <w:sz w:val="24"/>
          <w:szCs w:val="24"/>
        </w:rPr>
      </w:pPr>
    </w:p>
    <w:p w14:paraId="7BABD326" w14:textId="77777777" w:rsidR="00025A7A" w:rsidRPr="00333FEB" w:rsidRDefault="00025A7A" w:rsidP="00025A7A">
      <w:pPr>
        <w:pStyle w:val="Prrafodelista"/>
        <w:numPr>
          <w:ilvl w:val="0"/>
          <w:numId w:val="1"/>
        </w:numPr>
        <w:spacing w:after="0" w:line="259" w:lineRule="auto"/>
        <w:jc w:val="both"/>
        <w:rPr>
          <w:rFonts w:ascii="Arial Narrow" w:hAnsi="Arial Narrow"/>
          <w:bCs/>
          <w:sz w:val="24"/>
          <w:szCs w:val="24"/>
        </w:rPr>
      </w:pPr>
      <w:r w:rsidRPr="00025A7A">
        <w:rPr>
          <w:rFonts w:ascii="Arial Narrow" w:hAnsi="Arial Narrow"/>
          <w:b/>
          <w:bCs/>
          <w:sz w:val="24"/>
          <w:szCs w:val="24"/>
        </w:rPr>
        <w:t>Diplomado en Derechos Humanos y Liibertad de Expresión Acceso la Información Pública y Protección de Periodistas”.</w:t>
      </w:r>
      <w:r w:rsidRPr="00333FEB">
        <w:rPr>
          <w:rFonts w:ascii="Arial Narrow" w:hAnsi="Arial Narrow"/>
          <w:bCs/>
          <w:sz w:val="24"/>
          <w:szCs w:val="24"/>
        </w:rPr>
        <w:t xml:space="preserve"> </w:t>
      </w:r>
      <w:r>
        <w:rPr>
          <w:rFonts w:ascii="Arial Narrow" w:hAnsi="Arial Narrow"/>
          <w:bCs/>
          <w:sz w:val="24"/>
          <w:szCs w:val="24"/>
        </w:rPr>
        <w:t>Journalism in the Americas, Universidad de Texas. UNESCO. 2017.</w:t>
      </w:r>
    </w:p>
    <w:p w14:paraId="2F1E5740" w14:textId="77777777" w:rsidR="00025A7A" w:rsidRPr="00025A7A" w:rsidRDefault="00025A7A" w:rsidP="00025A7A">
      <w:pPr>
        <w:pStyle w:val="Prrafodelista"/>
        <w:spacing w:after="0"/>
        <w:ind w:left="644"/>
        <w:jc w:val="both"/>
        <w:rPr>
          <w:rFonts w:ascii="Arial Narrow" w:hAnsi="Arial Narrow"/>
          <w:bCs/>
        </w:rPr>
      </w:pPr>
    </w:p>
    <w:p w14:paraId="74FB021C" w14:textId="6DB99728" w:rsidR="00AD587C" w:rsidRPr="00025A7A" w:rsidRDefault="00AD587C" w:rsidP="00025A7A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Cs/>
        </w:rPr>
      </w:pPr>
      <w:r w:rsidRPr="00025A7A">
        <w:rPr>
          <w:rFonts w:ascii="Arial Narrow" w:hAnsi="Arial Narrow"/>
          <w:b/>
          <w:bCs/>
          <w:sz w:val="24"/>
          <w:szCs w:val="24"/>
        </w:rPr>
        <w:t>Maestra en Derecho Procesal Constitucional</w:t>
      </w:r>
      <w:r w:rsidRPr="00025A7A">
        <w:rPr>
          <w:rFonts w:ascii="Arial Narrow" w:hAnsi="Arial Narrow"/>
          <w:bCs/>
          <w:sz w:val="24"/>
          <w:szCs w:val="24"/>
        </w:rPr>
        <w:t xml:space="preserve">, Programa de Calidad CONACYT, cursada en el Posgrado de la Facultad de Derecho y Ciencias Sociales (UMSNH), Generación 2012-2014.       Titulada. </w:t>
      </w:r>
      <w:r w:rsidR="00025A7A">
        <w:rPr>
          <w:rFonts w:ascii="Arial Narrow" w:hAnsi="Arial Narrow"/>
          <w:bCs/>
        </w:rPr>
        <w:t xml:space="preserve"> </w:t>
      </w:r>
      <w:r w:rsidRPr="00025A7A">
        <w:rPr>
          <w:rFonts w:ascii="Arial Narrow" w:hAnsi="Arial Narrow"/>
          <w:bCs/>
        </w:rPr>
        <w:t>20 de febrero 2015.</w:t>
      </w:r>
    </w:p>
    <w:p w14:paraId="26A5416B" w14:textId="3A22B08F" w:rsidR="00AD587C" w:rsidRDefault="00AD587C" w:rsidP="003C5439">
      <w:pPr>
        <w:pStyle w:val="Prrafodelista"/>
        <w:numPr>
          <w:ilvl w:val="0"/>
          <w:numId w:val="8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A través de la tesis intitulada: “</w:t>
      </w:r>
      <w:r>
        <w:rPr>
          <w:rFonts w:ascii="Arial Narrow" w:hAnsi="Arial Narrow"/>
          <w:bCs/>
          <w:i/>
          <w:sz w:val="24"/>
          <w:szCs w:val="24"/>
        </w:rPr>
        <w:t>El Principio Pro persona y la Dignidad Humana como parámetro de aplicación del control de constitucionalidad y convencionalidad</w:t>
      </w:r>
      <w:r>
        <w:rPr>
          <w:rFonts w:ascii="Arial Narrow" w:hAnsi="Arial Narrow"/>
          <w:bCs/>
          <w:sz w:val="24"/>
          <w:szCs w:val="24"/>
        </w:rPr>
        <w:t>”.</w:t>
      </w:r>
    </w:p>
    <w:p w14:paraId="5E7D7880" w14:textId="77777777" w:rsidR="00505553" w:rsidRDefault="00505553" w:rsidP="00505553">
      <w:pPr>
        <w:pStyle w:val="Prrafodelista"/>
        <w:spacing w:after="0"/>
        <w:ind w:left="1004"/>
        <w:jc w:val="both"/>
        <w:rPr>
          <w:rFonts w:ascii="Arial Narrow" w:hAnsi="Arial Narrow"/>
          <w:bCs/>
          <w:sz w:val="24"/>
          <w:szCs w:val="24"/>
        </w:rPr>
      </w:pPr>
    </w:p>
    <w:p w14:paraId="3B17B5CB" w14:textId="3C2BCF8E" w:rsidR="00505553" w:rsidRPr="00505553" w:rsidRDefault="00505553" w:rsidP="00505553">
      <w:pPr>
        <w:spacing w:after="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    4)   </w:t>
      </w:r>
      <w:r w:rsidRPr="00505553">
        <w:rPr>
          <w:rFonts w:ascii="Arial Narrow" w:hAnsi="Arial Narrow"/>
          <w:b/>
          <w:bCs/>
          <w:sz w:val="24"/>
          <w:szCs w:val="24"/>
        </w:rPr>
        <w:t xml:space="preserve">Curso en </w:t>
      </w:r>
      <w:r w:rsidR="007059E5">
        <w:rPr>
          <w:rFonts w:ascii="Arial Narrow" w:hAnsi="Arial Narrow"/>
          <w:b/>
          <w:bCs/>
          <w:sz w:val="24"/>
          <w:szCs w:val="24"/>
        </w:rPr>
        <w:t>Administración P</w:t>
      </w:r>
      <w:r w:rsidRPr="00505553">
        <w:rPr>
          <w:rFonts w:ascii="Arial Narrow" w:hAnsi="Arial Narrow"/>
          <w:b/>
          <w:bCs/>
          <w:sz w:val="24"/>
          <w:szCs w:val="24"/>
        </w:rPr>
        <w:t>ública, enfocada a juzgar con perpectiva de genero,  Poder Judicial del Estado de Michoacán.</w:t>
      </w:r>
      <w:r>
        <w:rPr>
          <w:rFonts w:ascii="Arial Narrow" w:hAnsi="Arial Narrow"/>
          <w:b/>
          <w:bCs/>
          <w:sz w:val="24"/>
          <w:szCs w:val="24"/>
        </w:rPr>
        <w:t xml:space="preserve"> 2016.</w:t>
      </w:r>
    </w:p>
    <w:p w14:paraId="2CCB6975" w14:textId="03C9DB75" w:rsidR="00AD587C" w:rsidRPr="007059E5" w:rsidRDefault="00025A7A" w:rsidP="007059E5">
      <w:pPr>
        <w:spacing w:after="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     </w:t>
      </w:r>
    </w:p>
    <w:p w14:paraId="0FCB54F8" w14:textId="06876432" w:rsidR="003C5439" w:rsidRPr="00C33FDC" w:rsidRDefault="00AD587C" w:rsidP="003C5439">
      <w:pPr>
        <w:tabs>
          <w:tab w:val="left" w:pos="0"/>
        </w:tabs>
        <w:ind w:left="360"/>
        <w:rPr>
          <w:rFonts w:ascii="Gibson Book" w:hAnsi="Gibson Book"/>
          <w:b/>
          <w:bCs/>
          <w:color w:val="CEA845"/>
          <w:sz w:val="36"/>
          <w:szCs w:val="36"/>
        </w:rPr>
      </w:pPr>
      <w:r w:rsidRPr="00C33FDC">
        <w:rPr>
          <w:rFonts w:ascii="Gibson Book" w:hAnsi="Gibson Book"/>
          <w:b/>
          <w:bCs/>
          <w:color w:val="CEA845"/>
          <w:sz w:val="36"/>
          <w:szCs w:val="36"/>
        </w:rPr>
        <w:t>Experiencia laboral</w:t>
      </w:r>
    </w:p>
    <w:p w14:paraId="4C9B3949" w14:textId="585DC25F" w:rsidR="00AD587C" w:rsidRDefault="00AD587C" w:rsidP="00AD587C">
      <w:pPr>
        <w:ind w:left="360"/>
        <w:jc w:val="both"/>
        <w:rPr>
          <w:rFonts w:ascii="Arial Narrow" w:hAnsi="Arial Narrow"/>
          <w:b/>
          <w:bCs/>
          <w:sz w:val="24"/>
          <w:szCs w:val="24"/>
        </w:rPr>
      </w:pPr>
      <w:r w:rsidRPr="00AD587C">
        <w:rPr>
          <w:rFonts w:ascii="Arial Narrow" w:hAnsi="Arial Narrow"/>
          <w:b/>
          <w:bCs/>
          <w:sz w:val="24"/>
          <w:szCs w:val="24"/>
        </w:rPr>
        <w:t>Oficial en el Poder Judicial de la Federación, adscrita al Décimo Primer Circuito, en el área de trámite en una MESA DE AMPARO bajo</w:t>
      </w:r>
      <w:r w:rsidR="007059E5">
        <w:rPr>
          <w:rFonts w:ascii="Arial Narrow" w:hAnsi="Arial Narrow"/>
          <w:b/>
          <w:bCs/>
          <w:sz w:val="24"/>
          <w:szCs w:val="24"/>
        </w:rPr>
        <w:t xml:space="preserve"> las órdenes del entonces Juez </w:t>
      </w:r>
      <w:r w:rsidRPr="00AD587C">
        <w:rPr>
          <w:rFonts w:ascii="Arial Narrow" w:hAnsi="Arial Narrow"/>
          <w:b/>
          <w:bCs/>
          <w:sz w:val="24"/>
          <w:szCs w:val="24"/>
        </w:rPr>
        <w:t>de Distrito, Efraín Cázares López. Juzgado primero de distrito, del 2009 al 2011.</w:t>
      </w:r>
    </w:p>
    <w:p w14:paraId="131B8B30" w14:textId="6D73C257" w:rsidR="003C5439" w:rsidRPr="00AD587C" w:rsidRDefault="003C5439" w:rsidP="00AD587C">
      <w:pPr>
        <w:ind w:left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>Abogada litigante en</w:t>
      </w:r>
      <w:r w:rsidR="00437A7B">
        <w:rPr>
          <w:rFonts w:ascii="Arial Narrow" w:hAnsi="Arial Narrow"/>
          <w:b/>
          <w:bCs/>
          <w:sz w:val="24"/>
          <w:szCs w:val="24"/>
        </w:rPr>
        <w:t xml:space="preserve"> el Despacho Jurídico de Defensa</w:t>
      </w:r>
      <w:r>
        <w:rPr>
          <w:rFonts w:ascii="Arial Narrow" w:hAnsi="Arial Narrow"/>
          <w:b/>
          <w:bCs/>
          <w:sz w:val="24"/>
          <w:szCs w:val="24"/>
        </w:rPr>
        <w:t xml:space="preserve"> Constitucional D.C y Litigio Estrategico.</w:t>
      </w:r>
    </w:p>
    <w:p w14:paraId="688C34EF" w14:textId="77777777" w:rsidR="00C33FDC" w:rsidRDefault="00AD587C" w:rsidP="00C33FDC">
      <w:pPr>
        <w:ind w:left="360"/>
        <w:jc w:val="both"/>
        <w:rPr>
          <w:rFonts w:ascii="Arial Narrow" w:hAnsi="Arial Narrow"/>
          <w:b/>
          <w:sz w:val="24"/>
          <w:szCs w:val="24"/>
        </w:rPr>
      </w:pPr>
      <w:r w:rsidRPr="00C33FDC">
        <w:rPr>
          <w:rFonts w:ascii="Arial Narrow" w:hAnsi="Arial Narrow"/>
          <w:b/>
          <w:sz w:val="24"/>
          <w:szCs w:val="24"/>
        </w:rPr>
        <w:t>Profesora de las asignaturas de Derecho y Sociología Jurídica del Colegio de Bachilleres Plantel Morelia. (2012)</w:t>
      </w:r>
    </w:p>
    <w:p w14:paraId="2BCA88B7" w14:textId="0CF37859" w:rsidR="003C5439" w:rsidRDefault="00AD587C" w:rsidP="00437A7B">
      <w:pPr>
        <w:ind w:left="360"/>
        <w:jc w:val="both"/>
        <w:rPr>
          <w:rFonts w:ascii="Arial Narrow" w:hAnsi="Arial Narrow"/>
          <w:b/>
          <w:sz w:val="24"/>
          <w:szCs w:val="24"/>
        </w:rPr>
      </w:pPr>
      <w:r w:rsidRPr="00C33FDC">
        <w:rPr>
          <w:rFonts w:ascii="Arial Narrow" w:hAnsi="Arial Narrow"/>
          <w:b/>
          <w:sz w:val="24"/>
          <w:szCs w:val="24"/>
        </w:rPr>
        <w:t>Instituto Michoacano de Transparencia, Acceso a la Información y Protección de Datos Personales del Estado de Michoacán de Ocampo.</w:t>
      </w:r>
    </w:p>
    <w:p w14:paraId="3A0029DD" w14:textId="62344ED7" w:rsidR="003C5439" w:rsidRPr="00241883" w:rsidRDefault="003C5439" w:rsidP="003C5439">
      <w:pPr>
        <w:pStyle w:val="Prrafodelista"/>
        <w:numPr>
          <w:ilvl w:val="0"/>
          <w:numId w:val="6"/>
        </w:numPr>
        <w:tabs>
          <w:tab w:val="left" w:pos="142"/>
        </w:tabs>
        <w:jc w:val="both"/>
        <w:rPr>
          <w:rFonts w:ascii="Arial Narrow" w:hAnsi="Arial Narrow"/>
          <w:b/>
          <w:sz w:val="24"/>
          <w:szCs w:val="24"/>
        </w:rPr>
      </w:pPr>
      <w:r w:rsidRPr="003C5439">
        <w:rPr>
          <w:rFonts w:ascii="Arial Narrow" w:hAnsi="Arial Narrow"/>
          <w:b/>
          <w:sz w:val="24"/>
          <w:szCs w:val="24"/>
        </w:rPr>
        <w:t xml:space="preserve">Analista A, </w:t>
      </w:r>
      <w:r>
        <w:rPr>
          <w:rFonts w:ascii="Arial Narrow" w:hAnsi="Arial Narrow"/>
          <w:b/>
          <w:sz w:val="24"/>
          <w:szCs w:val="24"/>
        </w:rPr>
        <w:t xml:space="preserve">adscrita a la Coordinación Jurídica del IMAIP. </w:t>
      </w:r>
      <w:r w:rsidRPr="003C5439">
        <w:rPr>
          <w:rFonts w:ascii="Arial Narrow" w:hAnsi="Arial Narrow"/>
          <w:sz w:val="24"/>
          <w:szCs w:val="24"/>
        </w:rPr>
        <w:t>2016-2018</w:t>
      </w:r>
      <w:r w:rsidR="00697F35">
        <w:rPr>
          <w:rFonts w:ascii="Arial Narrow" w:hAnsi="Arial Narrow"/>
          <w:sz w:val="24"/>
          <w:szCs w:val="24"/>
        </w:rPr>
        <w:t>, llevar el  tramite de cumplimiento a los recursos interpuestos ante el Imaip, y los requerimientos necesarios a los sujetos obligados.</w:t>
      </w:r>
      <w:bookmarkStart w:id="0" w:name="_GoBack"/>
      <w:bookmarkEnd w:id="0"/>
    </w:p>
    <w:p w14:paraId="209C8996" w14:textId="77777777" w:rsidR="00241883" w:rsidRPr="003C5439" w:rsidRDefault="00241883" w:rsidP="00241883">
      <w:pPr>
        <w:pStyle w:val="Prrafodelista"/>
        <w:tabs>
          <w:tab w:val="left" w:pos="142"/>
        </w:tabs>
        <w:ind w:left="1385"/>
        <w:jc w:val="both"/>
        <w:rPr>
          <w:rFonts w:ascii="Arial Narrow" w:hAnsi="Arial Narrow"/>
          <w:b/>
          <w:sz w:val="24"/>
          <w:szCs w:val="24"/>
        </w:rPr>
      </w:pPr>
    </w:p>
    <w:p w14:paraId="481895B4" w14:textId="251FC298" w:rsidR="00AD587C" w:rsidRPr="00437A7B" w:rsidRDefault="00AD587C" w:rsidP="00437A7B">
      <w:pPr>
        <w:pStyle w:val="Prrafodelista"/>
        <w:numPr>
          <w:ilvl w:val="1"/>
          <w:numId w:val="7"/>
        </w:numPr>
        <w:tabs>
          <w:tab w:val="left" w:pos="142"/>
        </w:tabs>
        <w:jc w:val="both"/>
        <w:rPr>
          <w:rFonts w:ascii="Arial Narrow" w:hAnsi="Arial Narrow"/>
          <w:sz w:val="24"/>
          <w:szCs w:val="24"/>
        </w:rPr>
      </w:pPr>
      <w:r w:rsidRPr="003C5439">
        <w:rPr>
          <w:rFonts w:ascii="Arial Narrow" w:hAnsi="Arial Narrow"/>
          <w:b/>
          <w:sz w:val="24"/>
          <w:szCs w:val="24"/>
        </w:rPr>
        <w:t>Secretaria Instructora y Proyectista</w:t>
      </w:r>
      <w:r w:rsidR="00241883">
        <w:rPr>
          <w:rFonts w:ascii="Arial Narrow" w:hAnsi="Arial Narrow"/>
          <w:b/>
          <w:sz w:val="24"/>
          <w:szCs w:val="24"/>
        </w:rPr>
        <w:t>,</w:t>
      </w:r>
      <w:r>
        <w:rPr>
          <w:rFonts w:ascii="Arial Narrow" w:hAnsi="Arial Narrow"/>
          <w:sz w:val="24"/>
          <w:szCs w:val="24"/>
        </w:rPr>
        <w:t xml:space="preserve"> </w:t>
      </w:r>
      <w:r w:rsidR="00437A7B">
        <w:rPr>
          <w:rFonts w:ascii="Arial Narrow" w:hAnsi="Arial Narrow"/>
          <w:sz w:val="24"/>
          <w:szCs w:val="24"/>
        </w:rPr>
        <w:t xml:space="preserve">de los recursos de revision, denuncias y recursos en materia de datos personales y derechos ARCO </w:t>
      </w:r>
      <w:r>
        <w:rPr>
          <w:rFonts w:ascii="Arial Narrow" w:hAnsi="Arial Narrow"/>
          <w:sz w:val="24"/>
          <w:szCs w:val="24"/>
        </w:rPr>
        <w:t>(elaborar las resoluciones de los recursos de revisión, a la Luz de la Ley de la Materia, Constitución y Tratados Internacionales</w:t>
      </w:r>
      <w:r w:rsidR="00241883">
        <w:rPr>
          <w:rFonts w:ascii="Arial Narrow" w:hAnsi="Arial Narrow"/>
          <w:sz w:val="24"/>
          <w:szCs w:val="24"/>
        </w:rPr>
        <w:t xml:space="preserve"> vinculantes</w:t>
      </w:r>
      <w:r>
        <w:rPr>
          <w:rFonts w:ascii="Arial Narrow" w:hAnsi="Arial Narrow"/>
          <w:sz w:val="24"/>
          <w:szCs w:val="24"/>
        </w:rPr>
        <w:t>)</w:t>
      </w:r>
      <w:r w:rsidR="00437A7B">
        <w:rPr>
          <w:rFonts w:ascii="Arial Narrow" w:hAnsi="Arial Narrow"/>
          <w:sz w:val="24"/>
          <w:szCs w:val="24"/>
        </w:rPr>
        <w:t xml:space="preserve">. </w:t>
      </w:r>
      <w:r w:rsidRPr="00437A7B">
        <w:rPr>
          <w:rFonts w:ascii="Arial Narrow" w:hAnsi="Arial Narrow"/>
          <w:sz w:val="24"/>
          <w:szCs w:val="24"/>
        </w:rPr>
        <w:t>Del primero de abril de 2018 al quince de agosto de 2022.</w:t>
      </w:r>
    </w:p>
    <w:p w14:paraId="13EB996B" w14:textId="77777777" w:rsidR="003C5439" w:rsidRDefault="003C5439" w:rsidP="00AD587C">
      <w:pPr>
        <w:pStyle w:val="Prrafodelista"/>
        <w:ind w:left="1440"/>
        <w:jc w:val="both"/>
        <w:rPr>
          <w:rFonts w:ascii="Arial Narrow" w:hAnsi="Arial Narrow"/>
          <w:sz w:val="24"/>
          <w:szCs w:val="24"/>
        </w:rPr>
      </w:pPr>
    </w:p>
    <w:p w14:paraId="5069558B" w14:textId="77777777" w:rsidR="003C5439" w:rsidRDefault="003C5439" w:rsidP="00AD587C">
      <w:pPr>
        <w:pStyle w:val="Prrafodelista"/>
        <w:ind w:left="1440"/>
        <w:jc w:val="both"/>
        <w:rPr>
          <w:rFonts w:ascii="Arial Narrow" w:hAnsi="Arial Narrow"/>
          <w:sz w:val="24"/>
          <w:szCs w:val="24"/>
        </w:rPr>
      </w:pPr>
    </w:p>
    <w:p w14:paraId="7233E35E" w14:textId="77777777" w:rsidR="00AD587C" w:rsidRDefault="00AD587C" w:rsidP="00AD587C">
      <w:pPr>
        <w:pStyle w:val="Prrafodelista"/>
        <w:spacing w:after="0"/>
        <w:ind w:left="644"/>
        <w:jc w:val="both"/>
        <w:rPr>
          <w:rFonts w:ascii="Arial Narrow" w:hAnsi="Arial Narrow"/>
          <w:bCs/>
          <w:sz w:val="24"/>
          <w:szCs w:val="24"/>
        </w:rPr>
      </w:pPr>
    </w:p>
    <w:p w14:paraId="4BA68A34" w14:textId="77777777" w:rsidR="00AD587C" w:rsidRDefault="00AD587C" w:rsidP="00AD587C"/>
    <w:p w14:paraId="7AECF78A" w14:textId="16AECB27" w:rsidR="00CB03FA" w:rsidRPr="00CB665E" w:rsidRDefault="00CB03FA">
      <w:pPr>
        <w:rPr>
          <w:rFonts w:ascii="Gibson Book" w:hAnsi="Gibson Book"/>
          <w:b/>
          <w:bCs/>
          <w:color w:val="CEA845"/>
          <w:sz w:val="24"/>
          <w:szCs w:val="24"/>
        </w:rPr>
      </w:pPr>
    </w:p>
    <w:p w14:paraId="16479565" w14:textId="77777777" w:rsidR="00CB665E" w:rsidRPr="00CB665E" w:rsidRDefault="00CB665E">
      <w:pPr>
        <w:rPr>
          <w:rFonts w:ascii="Gibson Book" w:hAnsi="Gibson Book"/>
          <w:b/>
          <w:bCs/>
          <w:color w:val="CEA845"/>
          <w:sz w:val="72"/>
          <w:szCs w:val="72"/>
        </w:rPr>
      </w:pPr>
    </w:p>
    <w:sectPr w:rsidR="00CB665E" w:rsidRPr="00CB665E" w:rsidSect="00C15290">
      <w:headerReference w:type="default" r:id="rId9"/>
      <w:pgSz w:w="12240" w:h="15840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7EE760" w14:textId="77777777" w:rsidR="003C5439" w:rsidRDefault="003C5439" w:rsidP="00C15290">
      <w:pPr>
        <w:spacing w:after="0" w:line="240" w:lineRule="auto"/>
      </w:pPr>
      <w:r>
        <w:separator/>
      </w:r>
    </w:p>
  </w:endnote>
  <w:endnote w:type="continuationSeparator" w:id="0">
    <w:p w14:paraId="735D1213" w14:textId="77777777" w:rsidR="003C5439" w:rsidRDefault="003C5439" w:rsidP="00C1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bson Book">
    <w:altName w:val="Arial"/>
    <w:panose1 w:val="00000000000000000000"/>
    <w:charset w:val="00"/>
    <w:family w:val="modern"/>
    <w:notTrueType/>
    <w:pitch w:val="variable"/>
    <w:sig w:usb0="80000007" w:usb1="40000000" w:usb2="00000000" w:usb3="00000000" w:csb0="00000093" w:csb1="00000000"/>
  </w:font>
  <w:font w:name="Aller">
    <w:altName w:val="Calibri"/>
    <w:charset w:val="00"/>
    <w:family w:val="auto"/>
    <w:pitch w:val="variable"/>
    <w:sig w:usb0="A00000AF" w:usb1="5000205B" w:usb2="00000000" w:usb3="00000000" w:csb0="00000093" w:csb1="00000000"/>
  </w:font>
  <w:font w:name="Aller Light">
    <w:altName w:val="Calibri"/>
    <w:charset w:val="00"/>
    <w:family w:val="auto"/>
    <w:pitch w:val="variable"/>
    <w:sig w:usb0="A00000AF" w:usb1="5000205B" w:usb2="00000000" w:usb3="00000000" w:csb0="00000093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C9959F" w14:textId="77777777" w:rsidR="003C5439" w:rsidRDefault="003C5439" w:rsidP="00C15290">
      <w:pPr>
        <w:spacing w:after="0" w:line="240" w:lineRule="auto"/>
      </w:pPr>
      <w:r>
        <w:separator/>
      </w:r>
    </w:p>
  </w:footnote>
  <w:footnote w:type="continuationSeparator" w:id="0">
    <w:p w14:paraId="7D3A5B48" w14:textId="77777777" w:rsidR="003C5439" w:rsidRDefault="003C5439" w:rsidP="00C15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43105" w14:textId="24DB1B1F" w:rsidR="003C5439" w:rsidRDefault="003C5439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02CEB224" wp14:editId="4E945D8F">
          <wp:simplePos x="0" y="0"/>
          <wp:positionH relativeFrom="column">
            <wp:posOffset>-1099042</wp:posOffset>
          </wp:positionH>
          <wp:positionV relativeFrom="paragraph">
            <wp:posOffset>-430530</wp:posOffset>
          </wp:positionV>
          <wp:extent cx="7839075" cy="10148755"/>
          <wp:effectExtent l="0" t="0" r="0" b="5080"/>
          <wp:wrapNone/>
          <wp:docPr id="4" name="Imagen 4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For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014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8DB1C" w14:textId="77777777" w:rsidR="003C5439" w:rsidRDefault="003C5439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2F99"/>
    <w:multiLevelType w:val="hybridMultilevel"/>
    <w:tmpl w:val="55F86B18"/>
    <w:lvl w:ilvl="0" w:tplc="5F909464">
      <w:start w:val="58"/>
      <w:numFmt w:val="bullet"/>
      <w:lvlText w:val=""/>
      <w:lvlJc w:val="left"/>
      <w:pPr>
        <w:ind w:left="1004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5B26926"/>
    <w:multiLevelType w:val="hybridMultilevel"/>
    <w:tmpl w:val="490EF8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5D4595"/>
    <w:multiLevelType w:val="hybridMultilevel"/>
    <w:tmpl w:val="59EC21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46E76"/>
    <w:multiLevelType w:val="hybridMultilevel"/>
    <w:tmpl w:val="2454284C"/>
    <w:lvl w:ilvl="0" w:tplc="0C0A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9563E7"/>
    <w:multiLevelType w:val="hybridMultilevel"/>
    <w:tmpl w:val="BBF8BDF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EBC3747"/>
    <w:multiLevelType w:val="hybridMultilevel"/>
    <w:tmpl w:val="A478112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DB1AC8"/>
    <w:multiLevelType w:val="hybridMultilevel"/>
    <w:tmpl w:val="F7F887BC"/>
    <w:lvl w:ilvl="0" w:tplc="3A8C588A">
      <w:start w:val="58"/>
      <w:numFmt w:val="bullet"/>
      <w:lvlText w:val=""/>
      <w:lvlJc w:val="left"/>
      <w:pPr>
        <w:ind w:left="1004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615826D5"/>
    <w:multiLevelType w:val="hybridMultilevel"/>
    <w:tmpl w:val="F0F6AA40"/>
    <w:lvl w:ilvl="0" w:tplc="0C0A0001">
      <w:start w:val="1"/>
      <w:numFmt w:val="bullet"/>
      <w:lvlText w:val=""/>
      <w:lvlJc w:val="left"/>
      <w:pPr>
        <w:ind w:left="13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</w:abstractNum>
  <w:abstractNum w:abstractNumId="8">
    <w:nsid w:val="7A475308"/>
    <w:multiLevelType w:val="hybridMultilevel"/>
    <w:tmpl w:val="0A3AA0A8"/>
    <w:lvl w:ilvl="0" w:tplc="080A0011">
      <w:start w:val="1"/>
      <w:numFmt w:val="decimal"/>
      <w:lvlText w:val="%1)"/>
      <w:lvlJc w:val="left"/>
      <w:pPr>
        <w:ind w:left="644" w:hanging="360"/>
      </w:pPr>
    </w:lvl>
    <w:lvl w:ilvl="1" w:tplc="080A0019">
      <w:start w:val="1"/>
      <w:numFmt w:val="lowerLetter"/>
      <w:lvlText w:val="%2."/>
      <w:lvlJc w:val="left"/>
      <w:pPr>
        <w:ind w:left="1364" w:hanging="360"/>
      </w:pPr>
    </w:lvl>
    <w:lvl w:ilvl="2" w:tplc="080A001B">
      <w:start w:val="1"/>
      <w:numFmt w:val="lowerRoman"/>
      <w:lvlText w:val="%3."/>
      <w:lvlJc w:val="right"/>
      <w:pPr>
        <w:ind w:left="2084" w:hanging="180"/>
      </w:pPr>
    </w:lvl>
    <w:lvl w:ilvl="3" w:tplc="080A000F">
      <w:start w:val="1"/>
      <w:numFmt w:val="decimal"/>
      <w:lvlText w:val="%4."/>
      <w:lvlJc w:val="left"/>
      <w:pPr>
        <w:ind w:left="2804" w:hanging="360"/>
      </w:pPr>
    </w:lvl>
    <w:lvl w:ilvl="4" w:tplc="080A0019">
      <w:start w:val="1"/>
      <w:numFmt w:val="lowerLetter"/>
      <w:lvlText w:val="%5."/>
      <w:lvlJc w:val="left"/>
      <w:pPr>
        <w:ind w:left="3524" w:hanging="360"/>
      </w:pPr>
    </w:lvl>
    <w:lvl w:ilvl="5" w:tplc="080A001B">
      <w:start w:val="1"/>
      <w:numFmt w:val="lowerRoman"/>
      <w:lvlText w:val="%6."/>
      <w:lvlJc w:val="right"/>
      <w:pPr>
        <w:ind w:left="4244" w:hanging="180"/>
      </w:pPr>
    </w:lvl>
    <w:lvl w:ilvl="6" w:tplc="080A000F">
      <w:start w:val="1"/>
      <w:numFmt w:val="decimal"/>
      <w:lvlText w:val="%7."/>
      <w:lvlJc w:val="left"/>
      <w:pPr>
        <w:ind w:left="4964" w:hanging="360"/>
      </w:pPr>
    </w:lvl>
    <w:lvl w:ilvl="7" w:tplc="080A0019">
      <w:start w:val="1"/>
      <w:numFmt w:val="lowerLetter"/>
      <w:lvlText w:val="%8."/>
      <w:lvlJc w:val="left"/>
      <w:pPr>
        <w:ind w:left="5684" w:hanging="360"/>
      </w:pPr>
    </w:lvl>
    <w:lvl w:ilvl="8" w:tplc="080A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290"/>
    <w:rsid w:val="00025A7A"/>
    <w:rsid w:val="00045C0D"/>
    <w:rsid w:val="0012302C"/>
    <w:rsid w:val="00241883"/>
    <w:rsid w:val="00242A93"/>
    <w:rsid w:val="003C5439"/>
    <w:rsid w:val="00437A7B"/>
    <w:rsid w:val="00505553"/>
    <w:rsid w:val="005614B0"/>
    <w:rsid w:val="0058509A"/>
    <w:rsid w:val="00697F35"/>
    <w:rsid w:val="007059E5"/>
    <w:rsid w:val="007D47FF"/>
    <w:rsid w:val="00A25978"/>
    <w:rsid w:val="00AD587C"/>
    <w:rsid w:val="00C15290"/>
    <w:rsid w:val="00C33FDC"/>
    <w:rsid w:val="00C52F53"/>
    <w:rsid w:val="00CB03FA"/>
    <w:rsid w:val="00CB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F2188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15290"/>
  </w:style>
  <w:style w:type="paragraph" w:styleId="Piedepgina">
    <w:name w:val="footer"/>
    <w:basedOn w:val="Normal"/>
    <w:link w:val="Piedepgina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290"/>
  </w:style>
  <w:style w:type="table" w:styleId="Tablaconcuadrcula">
    <w:name w:val="Table Grid"/>
    <w:basedOn w:val="Tablanormal"/>
    <w:uiPriority w:val="39"/>
    <w:rsid w:val="00CB0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AD587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D587C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15290"/>
  </w:style>
  <w:style w:type="paragraph" w:styleId="Piedepgina">
    <w:name w:val="footer"/>
    <w:basedOn w:val="Normal"/>
    <w:link w:val="Piedepgina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290"/>
  </w:style>
  <w:style w:type="table" w:styleId="Tablaconcuadrcula">
    <w:name w:val="Table Grid"/>
    <w:basedOn w:val="Tablanormal"/>
    <w:uiPriority w:val="39"/>
    <w:rsid w:val="00CB0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AD587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D587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377</Words>
  <Characters>2075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Almanza Lemus</dc:creator>
  <cp:keywords/>
  <dc:description/>
  <cp:lastModifiedBy>erandi martinez</cp:lastModifiedBy>
  <cp:revision>14</cp:revision>
  <dcterms:created xsi:type="dcterms:W3CDTF">2023-01-05T00:11:00Z</dcterms:created>
  <dcterms:modified xsi:type="dcterms:W3CDTF">2023-01-10T21:04:00Z</dcterms:modified>
</cp:coreProperties>
</file>