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F42D" w14:textId="77777777" w:rsidR="00D70716" w:rsidRPr="00D70716" w:rsidRDefault="00D70716" w:rsidP="00D70716">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D70716">
        <w:rPr>
          <w:rFonts w:ascii="Arial" w:eastAsia="Times New Roman" w:hAnsi="Arial" w:cs="Arial"/>
          <w:b/>
          <w:bCs/>
          <w:color w:val="B92517"/>
          <w:spacing w:val="-5"/>
          <w:kern w:val="36"/>
          <w:sz w:val="24"/>
          <w:szCs w:val="24"/>
          <w:lang w:eastAsia="es-MX"/>
        </w:rPr>
        <w:t>C150 - Convenio sobre la administración del trabajo, 1978 (núm. 150)</w:t>
      </w:r>
    </w:p>
    <w:p w14:paraId="475C369D" w14:textId="77777777" w:rsidR="00D70716" w:rsidRDefault="00D70716" w:rsidP="00D70716">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6BC2490" w14:textId="0998D626" w:rsidR="00D70716" w:rsidRPr="00D70716" w:rsidRDefault="00D70716" w:rsidP="00D70716">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D70716">
        <w:rPr>
          <w:rFonts w:ascii="Arial" w:eastAsia="Times New Roman" w:hAnsi="Arial" w:cs="Arial"/>
          <w:b/>
          <w:bCs/>
          <w:color w:val="B92517"/>
          <w:sz w:val="24"/>
          <w:szCs w:val="24"/>
          <w:lang w:eastAsia="es-MX"/>
        </w:rPr>
        <w:t>Preámbulo</w:t>
      </w:r>
    </w:p>
    <w:p w14:paraId="7AD36287"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La Conferencia General de la Organización Internacional del Trabajo:</w:t>
      </w:r>
    </w:p>
    <w:p w14:paraId="1A77DA6B"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Convocada en Ginebra por el Consejo de Administración de la Oficina Internacional del Trabajo, y congregada en dicha ciudad el 7 junio 1978 en su sexagésima cuarta reunión;</w:t>
      </w:r>
    </w:p>
    <w:p w14:paraId="0302FAA4"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Recordando las disposiciones de los convenios y recomendaciones internacionales del trabajo pertinentes, y en especial el Convenio sobre la inspección del trabajo, 1947, el Convenio sobre la inspección del trabajo (agricultura), 1969, y el Convenio sobre el servicio del empleo, 1948, donde se prevé que se lleven a cabo determinadas actividades en materia de administración del trabajo;</w:t>
      </w:r>
    </w:p>
    <w:p w14:paraId="245608CC"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Considerando conveniente adoptar instrumentos en que se establezcan directrices que orienten el sistema general de la administración del trabajo;</w:t>
      </w:r>
    </w:p>
    <w:p w14:paraId="139C3BD4"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Recordando los términos del Convenio sobre la política del empleo, 1964, y del Convenio sobre desarrollo de los recursos humanos, 1975; así como el objetivo consistente en la creación de una situación de pleno empleo adecuadamente remunerado, y afirmando la necesidad de contar con programas de administración del trabajo orientados hacia este fin y a dar efecto a los objetivos perseguidos por los Convenios mencionados;</w:t>
      </w:r>
    </w:p>
    <w:p w14:paraId="6BAFE398"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Reconociendo la necesidad del pleno respeto de la autonomía de las organizaciones de empleadores y de trabajadores; recordando a este respecto las disposiciones de los convenios y recomendaciones internacionales del trabajo existentes que garantizan la libertad y los derechos sindicales y de negociación colectiva --particularmente el Convenio sobre la libertad sindical y la protección del derecho de sindicación, 1948, y el Convenio sobre el derecho de sindicación y de negociación colectiva, 1949--, que prohíben toda intervención por parte de las autoridades públicas que tienda a limitar estos derechos o a entorpecer su ejercicio legal, y considerando que las organizaciones de empleadores y de trabajadores tienen cometidos esenciales para lograr los objetivos de progreso económico, social y cultural;</w:t>
      </w:r>
    </w:p>
    <w:p w14:paraId="55BB252B"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lastRenderedPageBreak/>
        <w:t>Después de haber decidido adoptar diversas proposiciones relativas a la administración del trabajo: cometido, funciones y organización, cuestión que constituye el cuarto punto del orden del día de la reunión, y</w:t>
      </w:r>
    </w:p>
    <w:p w14:paraId="078DD2A5"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Después de haber decidido que dichas proposiciones revistan la forma de un convenio internacional,</w:t>
      </w:r>
    </w:p>
    <w:p w14:paraId="66D6A642" w14:textId="77777777" w:rsidR="00D70716" w:rsidRPr="00D70716" w:rsidRDefault="00D70716" w:rsidP="00D70716">
      <w:pPr>
        <w:shd w:val="clear" w:color="auto" w:fill="F3F3F3"/>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adopta, con fecha veintiséis de junio de mil novecientos setenta y ocho, el presente Convenio, que podrá ser citado como el Convenio sobre la administración del trabajo, 1978:</w:t>
      </w:r>
    </w:p>
    <w:p w14:paraId="53B51328"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D70716">
        <w:rPr>
          <w:rFonts w:ascii="Arial" w:eastAsia="Times New Roman" w:hAnsi="Arial" w:cs="Arial"/>
          <w:b/>
          <w:bCs/>
          <w:i/>
          <w:iCs/>
          <w:color w:val="333333"/>
          <w:sz w:val="24"/>
          <w:szCs w:val="24"/>
          <w:lang w:eastAsia="es-MX"/>
        </w:rPr>
        <w:t>Artículo 1</w:t>
      </w:r>
    </w:p>
    <w:p w14:paraId="64ACD5EC"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 los efectos del presente Convenio:</w:t>
      </w:r>
    </w:p>
    <w:p w14:paraId="5597AA41" w14:textId="77777777" w:rsidR="00D70716" w:rsidRPr="00D70716" w:rsidRDefault="00D70716" w:rsidP="00D7071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 la expresión </w:t>
      </w:r>
      <w:r w:rsidRPr="00D70716">
        <w:rPr>
          <w:rFonts w:ascii="Arial" w:eastAsia="Times New Roman" w:hAnsi="Arial" w:cs="Arial"/>
          <w:b/>
          <w:bCs/>
          <w:i/>
          <w:iCs/>
          <w:color w:val="333333"/>
          <w:sz w:val="24"/>
          <w:szCs w:val="24"/>
          <w:lang w:eastAsia="es-MX"/>
        </w:rPr>
        <w:t>administración del trabajo</w:t>
      </w:r>
      <w:r w:rsidRPr="00D70716">
        <w:rPr>
          <w:rFonts w:ascii="Arial" w:eastAsia="Times New Roman" w:hAnsi="Arial" w:cs="Arial"/>
          <w:color w:val="333333"/>
          <w:sz w:val="24"/>
          <w:szCs w:val="24"/>
          <w:lang w:eastAsia="es-MX"/>
        </w:rPr>
        <w:t> designa las actividades de la administración pública en materia de política nacional del trabajo;</w:t>
      </w:r>
    </w:p>
    <w:p w14:paraId="366B728E" w14:textId="77777777" w:rsidR="00D70716" w:rsidRPr="00D70716" w:rsidRDefault="00D70716" w:rsidP="00D70716">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(b) la expresión </w:t>
      </w:r>
      <w:r w:rsidRPr="00D70716">
        <w:rPr>
          <w:rFonts w:ascii="Arial" w:eastAsia="Times New Roman" w:hAnsi="Arial" w:cs="Arial"/>
          <w:b/>
          <w:bCs/>
          <w:i/>
          <w:iCs/>
          <w:color w:val="333333"/>
          <w:sz w:val="24"/>
          <w:szCs w:val="24"/>
          <w:lang w:eastAsia="es-MX"/>
        </w:rPr>
        <w:t>sistema de administración del trabajo</w:t>
      </w:r>
      <w:r w:rsidRPr="00D70716">
        <w:rPr>
          <w:rFonts w:ascii="Arial" w:eastAsia="Times New Roman" w:hAnsi="Arial" w:cs="Arial"/>
          <w:color w:val="333333"/>
          <w:sz w:val="24"/>
          <w:szCs w:val="24"/>
          <w:lang w:eastAsia="es-MX"/>
        </w:rPr>
        <w:t> comprende todos los órganos de la administración pública -- ya sean departamentos de los ministerios u organismos públicos, con inclusión de los organismos paraestatales y regionales o locales, o cualquier otra forma de administración descentralizada-- responsables o encargados de la administración del trabajo, así como toda estructura institucional para la coordinación de las actividades de dichos órganos y para la consulta y participación de los empleadores y de los trabajadores y de sus organizaciones.</w:t>
      </w:r>
    </w:p>
    <w:p w14:paraId="53167D7D"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D70716">
        <w:rPr>
          <w:rFonts w:ascii="Arial" w:eastAsia="Times New Roman" w:hAnsi="Arial" w:cs="Arial"/>
          <w:b/>
          <w:bCs/>
          <w:i/>
          <w:iCs/>
          <w:color w:val="333333"/>
          <w:sz w:val="24"/>
          <w:szCs w:val="24"/>
          <w:lang w:eastAsia="es-MX"/>
        </w:rPr>
        <w:t>Artículo 2</w:t>
      </w:r>
    </w:p>
    <w:p w14:paraId="20D8FE54"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Todo Miembro que ratifique el presente Convenio podrá delegar o confiar, con arreglo a la legislación o a la práctica nacionales, determinadas actividades de administración del trabajo a organizaciones no gubernamentales, particularmente a organizaciones de empleadores y de trabajadores o -- cuando fuere apropiado -- a representantes de los empleadores y de los trabajadores.</w:t>
      </w:r>
    </w:p>
    <w:p w14:paraId="3FA18ECB"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 w:name="A3"/>
      <w:bookmarkEnd w:id="2"/>
      <w:r w:rsidRPr="00D70716">
        <w:rPr>
          <w:rFonts w:ascii="Arial" w:eastAsia="Times New Roman" w:hAnsi="Arial" w:cs="Arial"/>
          <w:b/>
          <w:bCs/>
          <w:i/>
          <w:iCs/>
          <w:color w:val="333333"/>
          <w:sz w:val="24"/>
          <w:szCs w:val="24"/>
          <w:lang w:eastAsia="es-MX"/>
        </w:rPr>
        <w:t>Artículo 3</w:t>
      </w:r>
    </w:p>
    <w:p w14:paraId="33EFD704"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 xml:space="preserve">Todo Miembro que ratifique el presente Convenio podrá considerar determinadas actividades pertenecientes a su política laboral nacional como cuestiones que, con </w:t>
      </w:r>
      <w:r w:rsidRPr="00D70716">
        <w:rPr>
          <w:rFonts w:ascii="Arial" w:eastAsia="Times New Roman" w:hAnsi="Arial" w:cs="Arial"/>
          <w:color w:val="333333"/>
          <w:sz w:val="24"/>
          <w:szCs w:val="24"/>
          <w:lang w:eastAsia="es-MX"/>
        </w:rPr>
        <w:lastRenderedPageBreak/>
        <w:t>arreglo a la legislación o a la práctica nacionales, se regulan mediante negociaciones directas entre las organizaciones de empleadores y de trabajadores.</w:t>
      </w:r>
    </w:p>
    <w:p w14:paraId="1318830E"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4"/>
      <w:bookmarkEnd w:id="3"/>
      <w:r w:rsidRPr="00D70716">
        <w:rPr>
          <w:rFonts w:ascii="Arial" w:eastAsia="Times New Roman" w:hAnsi="Arial" w:cs="Arial"/>
          <w:b/>
          <w:bCs/>
          <w:i/>
          <w:iCs/>
          <w:color w:val="333333"/>
          <w:sz w:val="24"/>
          <w:szCs w:val="24"/>
          <w:lang w:eastAsia="es-MX"/>
        </w:rPr>
        <w:t>Artículo 4</w:t>
      </w:r>
    </w:p>
    <w:p w14:paraId="2E687851"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Todo Miembro que ratifique el presente Convenio deberá garantizar, en forma apropiada a las condiciones nacionales, la organización y el funcionamiento eficaces en su territorio de un sistema de administración del trabajo, cuyas funciones y responsabilidades estén adecuadamente coordinadas.</w:t>
      </w:r>
    </w:p>
    <w:p w14:paraId="78DC9928"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5"/>
      <w:bookmarkEnd w:id="4"/>
      <w:r w:rsidRPr="00D70716">
        <w:rPr>
          <w:rFonts w:ascii="Arial" w:eastAsia="Times New Roman" w:hAnsi="Arial" w:cs="Arial"/>
          <w:b/>
          <w:bCs/>
          <w:i/>
          <w:iCs/>
          <w:color w:val="333333"/>
          <w:sz w:val="24"/>
          <w:szCs w:val="24"/>
          <w:lang w:eastAsia="es-MX"/>
        </w:rPr>
        <w:t>Artículo 5</w:t>
      </w:r>
    </w:p>
    <w:p w14:paraId="41EC9CA6" w14:textId="77777777" w:rsidR="00D70716" w:rsidRPr="00D70716" w:rsidRDefault="00D70716" w:rsidP="00D7071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5P1"/>
      <w:bookmarkEnd w:id="5"/>
      <w:r w:rsidRPr="00D70716">
        <w:rPr>
          <w:rFonts w:ascii="Arial" w:eastAsia="Times New Roman" w:hAnsi="Arial" w:cs="Arial"/>
          <w:color w:val="333333"/>
          <w:sz w:val="24"/>
          <w:szCs w:val="24"/>
          <w:lang w:eastAsia="es-MX"/>
        </w:rPr>
        <w:t>1. Todo Miembro que ratifique el presente Convenio deberá establecer procedimientos apropiados a las condiciones nacionales para garantizar, dentro del sistema de administración del trabajo, la consulta, la cooperación y la negociación entre las autoridades públicas y las organizaciones más representativas de empleadores y de trabajadores, o -- cuando fuere apropiado -- los representantes de los empleadores y de los trabajadores.</w:t>
      </w:r>
    </w:p>
    <w:p w14:paraId="2D4275BB" w14:textId="77777777" w:rsidR="00D70716" w:rsidRPr="00D70716" w:rsidRDefault="00D70716" w:rsidP="00D70716">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5P2"/>
      <w:bookmarkEnd w:id="6"/>
      <w:r w:rsidRPr="00D70716">
        <w:rPr>
          <w:rFonts w:ascii="Arial" w:eastAsia="Times New Roman" w:hAnsi="Arial" w:cs="Arial"/>
          <w:color w:val="333333"/>
          <w:sz w:val="24"/>
          <w:szCs w:val="24"/>
          <w:lang w:eastAsia="es-MX"/>
        </w:rPr>
        <w:t>2. En la medida en que sea compatible con la legislación y la práctica nacionales, estos procedimientos deberán aplicarse a nivel nacional, regional y local, así como de los diferentes sectores de actividad económica.</w:t>
      </w:r>
    </w:p>
    <w:p w14:paraId="69AB5036"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6"/>
      <w:bookmarkEnd w:id="7"/>
      <w:r w:rsidRPr="00D70716">
        <w:rPr>
          <w:rFonts w:ascii="Arial" w:eastAsia="Times New Roman" w:hAnsi="Arial" w:cs="Arial"/>
          <w:b/>
          <w:bCs/>
          <w:i/>
          <w:iCs/>
          <w:color w:val="333333"/>
          <w:sz w:val="24"/>
          <w:szCs w:val="24"/>
          <w:lang w:eastAsia="es-MX"/>
        </w:rPr>
        <w:t>Artículo 6</w:t>
      </w:r>
    </w:p>
    <w:p w14:paraId="6C311A2E" w14:textId="77777777" w:rsidR="00D70716" w:rsidRPr="00D70716" w:rsidRDefault="00D70716" w:rsidP="00D70716">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6P1"/>
      <w:bookmarkEnd w:id="8"/>
      <w:r w:rsidRPr="00D70716">
        <w:rPr>
          <w:rFonts w:ascii="Arial" w:eastAsia="Times New Roman" w:hAnsi="Arial" w:cs="Arial"/>
          <w:color w:val="333333"/>
          <w:sz w:val="24"/>
          <w:szCs w:val="24"/>
          <w:lang w:eastAsia="es-MX"/>
        </w:rPr>
        <w:t>1. Los organismos competentes dentro del sistema de administración del trabajo deberán, según sea apropiado, tener la responsabilidad de la preparación, administración, coordinación, control y revisión de la política laboral nacional o el derecho de participar en esas actividades, y ser, en el ámbito de la administración pública, los instrumentos para la preparación y aplicación de las leyes y reglamentos que le den efecto.</w:t>
      </w:r>
    </w:p>
    <w:p w14:paraId="32C64C80" w14:textId="77777777" w:rsidR="00D70716" w:rsidRPr="00D70716" w:rsidRDefault="00D70716" w:rsidP="00D70716">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6P2"/>
      <w:bookmarkEnd w:id="9"/>
      <w:r w:rsidRPr="00D70716">
        <w:rPr>
          <w:rFonts w:ascii="Arial" w:eastAsia="Times New Roman" w:hAnsi="Arial" w:cs="Arial"/>
          <w:color w:val="333333"/>
          <w:sz w:val="24"/>
          <w:szCs w:val="24"/>
          <w:lang w:eastAsia="es-MX"/>
        </w:rPr>
        <w:t>2. En particular, y habida cuenta de las correspondientes normas internacionales del trabajo, estos organismos deberán:</w:t>
      </w:r>
    </w:p>
    <w:p w14:paraId="7C7192A7" w14:textId="77777777" w:rsidR="00D70716" w:rsidRPr="00D70716" w:rsidRDefault="00D70716" w:rsidP="00D70716">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 participar en la preparación, administración, coordinación, control y revisión de la política nacional del empleo, de conformidad con la legislación y la práctica nacionales;</w:t>
      </w:r>
    </w:p>
    <w:p w14:paraId="2C140DCD" w14:textId="77777777" w:rsidR="00D70716" w:rsidRPr="00D70716" w:rsidRDefault="00D70716" w:rsidP="00D70716">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 xml:space="preserve">(b) estudiar y reexaminar periódicamente la situación de las personas empleadas, desempleadas o subempleadas a la luz de </w:t>
      </w:r>
      <w:r w:rsidRPr="00D70716">
        <w:rPr>
          <w:rFonts w:ascii="Arial" w:eastAsia="Times New Roman" w:hAnsi="Arial" w:cs="Arial"/>
          <w:color w:val="333333"/>
          <w:sz w:val="24"/>
          <w:szCs w:val="24"/>
          <w:lang w:eastAsia="es-MX"/>
        </w:rPr>
        <w:lastRenderedPageBreak/>
        <w:t>la legislación y la práctica nacionales relativas a las condiciones de trabajo, de empleo y de vida profesional, señalar los defectos y abusos en tales condiciones y presentar propuestas sobre los métodos para remediarlos;</w:t>
      </w:r>
    </w:p>
    <w:p w14:paraId="18623223" w14:textId="77777777" w:rsidR="00D70716" w:rsidRPr="00D70716" w:rsidRDefault="00D70716" w:rsidP="00D70716">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(c) poner sus servicios a disposición de los empleadores y de los trabajadores y de sus organizaciones respectivas, en las condiciones que permitan la legislación y la práctica nacionales, a fin de promover -- a nivel nacional, regional y local, así como de los diferentes sectores de actividad económica -- consultas y cooperación efectivas entre las autoridades y organismos públicos y las organizaciones de empleadores y de trabajadores, así como entre estas últimas;</w:t>
      </w:r>
    </w:p>
    <w:p w14:paraId="0A2A3931" w14:textId="77777777" w:rsidR="00D70716" w:rsidRPr="00D70716" w:rsidRDefault="00D70716" w:rsidP="00D70716">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(d) brindar asesoramiento técnico a los empleadores y trabajadores y a sus organizaciones respectivas que así lo soliciten.</w:t>
      </w:r>
    </w:p>
    <w:p w14:paraId="10E0C36D"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7"/>
      <w:bookmarkEnd w:id="10"/>
      <w:r w:rsidRPr="00D70716">
        <w:rPr>
          <w:rFonts w:ascii="Arial" w:eastAsia="Times New Roman" w:hAnsi="Arial" w:cs="Arial"/>
          <w:b/>
          <w:bCs/>
          <w:i/>
          <w:iCs/>
          <w:color w:val="333333"/>
          <w:sz w:val="24"/>
          <w:szCs w:val="24"/>
          <w:lang w:eastAsia="es-MX"/>
        </w:rPr>
        <w:t>Artículo 7</w:t>
      </w:r>
    </w:p>
    <w:p w14:paraId="19B5F009"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 fin de satisfacer las necesidades del mayor número posible de trabajadores, cuando lo exijan las condiciones nacionales, y en la medida en que la administración del trabajo no haya abarcado ya estas actividades, todo Miembro que ratifique el presente Convenio deberá promover, gradualmente si fuera necesario, la ampliación de las funciones del sistema de administración del trabajo, a fin de incluir actividades, que se llevarían a cabo en colaboración con otros organismos competentes, relativas a las condiciones de trabajo y de vida profesional de determinadas categorías de trabajadores que, a efectos jurídicos, no se pueden considerar personas en situación de empleo, tales como:</w:t>
      </w:r>
    </w:p>
    <w:p w14:paraId="73C64F06" w14:textId="77777777" w:rsidR="00D70716" w:rsidRPr="00D70716" w:rsidRDefault="00D70716" w:rsidP="00D70716">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 los pequeños agricultores que no contratan mano de obra exterior, los aparceros y categorías similares de trabajadores agrícolas;</w:t>
      </w:r>
    </w:p>
    <w:p w14:paraId="19D29D81" w14:textId="77777777" w:rsidR="00D70716" w:rsidRPr="00D70716" w:rsidRDefault="00D70716" w:rsidP="00D70716">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(b) las personas que, sin contratar mano de obra exterior, estén ocupadas por cuenta propia en el sector no estructurado, según lo entienda éste la práctica nacional;</w:t>
      </w:r>
    </w:p>
    <w:p w14:paraId="3FF12F50" w14:textId="77777777" w:rsidR="00D70716" w:rsidRPr="00D70716" w:rsidRDefault="00D70716" w:rsidP="00D70716">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lastRenderedPageBreak/>
        <w:t>(c) los miembros de cooperativas y de empresas administradas por los trabajadores;</w:t>
      </w:r>
    </w:p>
    <w:p w14:paraId="22B0D48D" w14:textId="77777777" w:rsidR="00D70716" w:rsidRPr="00D70716" w:rsidRDefault="00D70716" w:rsidP="00D70716">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(d) las personas que trabajan según pautas establecidas por la costumbre o las tradiciones comunitarias.</w:t>
      </w:r>
    </w:p>
    <w:p w14:paraId="74D6D972"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8"/>
      <w:bookmarkEnd w:id="11"/>
      <w:r w:rsidRPr="00D70716">
        <w:rPr>
          <w:rFonts w:ascii="Arial" w:eastAsia="Times New Roman" w:hAnsi="Arial" w:cs="Arial"/>
          <w:b/>
          <w:bCs/>
          <w:i/>
          <w:iCs/>
          <w:color w:val="333333"/>
          <w:sz w:val="24"/>
          <w:szCs w:val="24"/>
          <w:lang w:eastAsia="es-MX"/>
        </w:rPr>
        <w:t>Artículo 8</w:t>
      </w:r>
    </w:p>
    <w:p w14:paraId="7160DB67"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En la medida compatible con la legislación y la práctica nacionales, los organismos competentes dentro del sistema de administración del trabajo deberán contribuir a formular la política nacional relativa a las cuestiones internacionales del trabajo, participar en la representación del Estado por lo que respecta a tales cuestiones y contribuir a preparar las medidas que en ese terreno hayan de tomarse a nivel nacional.</w:t>
      </w:r>
    </w:p>
    <w:p w14:paraId="2BCDFB53"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9"/>
      <w:bookmarkEnd w:id="12"/>
      <w:r w:rsidRPr="00D70716">
        <w:rPr>
          <w:rFonts w:ascii="Arial" w:eastAsia="Times New Roman" w:hAnsi="Arial" w:cs="Arial"/>
          <w:b/>
          <w:bCs/>
          <w:i/>
          <w:iCs/>
          <w:color w:val="333333"/>
          <w:sz w:val="24"/>
          <w:szCs w:val="24"/>
          <w:lang w:eastAsia="es-MX"/>
        </w:rPr>
        <w:t>Artículo 9</w:t>
      </w:r>
    </w:p>
    <w:p w14:paraId="182F7134"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A fin de coordinar adecuadamente las funciones y responsabilidades del sistema de administración del trabajo en la forma que determinen la legislación y la práctica nacionales, el ministerio del trabajo u otro organismo comparable deberá disponer de medios para cerciorarse de si los organismos paraestatales que tienen a su cargo determinadas actividades específicas de administración del trabajo, y todo organismo regional o local en que tales actividades se hayan delegado, actúan de acuerdo con la legislación nacional y respetan los objetivos que les han sido señalados.</w:t>
      </w:r>
    </w:p>
    <w:p w14:paraId="6F168765"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10"/>
      <w:bookmarkEnd w:id="13"/>
      <w:r w:rsidRPr="00D70716">
        <w:rPr>
          <w:rFonts w:ascii="Arial" w:eastAsia="Times New Roman" w:hAnsi="Arial" w:cs="Arial"/>
          <w:b/>
          <w:bCs/>
          <w:i/>
          <w:iCs/>
          <w:color w:val="333333"/>
          <w:sz w:val="24"/>
          <w:szCs w:val="24"/>
          <w:lang w:eastAsia="es-MX"/>
        </w:rPr>
        <w:t>Artículo 10</w:t>
      </w:r>
    </w:p>
    <w:p w14:paraId="4E550DAD" w14:textId="77777777" w:rsidR="00D70716" w:rsidRPr="00D70716" w:rsidRDefault="00D70716" w:rsidP="00D70716">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4" w:name="A10P1"/>
      <w:bookmarkEnd w:id="14"/>
      <w:r w:rsidRPr="00D70716">
        <w:rPr>
          <w:rFonts w:ascii="Arial" w:eastAsia="Times New Roman" w:hAnsi="Arial" w:cs="Arial"/>
          <w:color w:val="333333"/>
          <w:sz w:val="24"/>
          <w:szCs w:val="24"/>
          <w:lang w:eastAsia="es-MX"/>
        </w:rPr>
        <w:t>1. El personal del sistema de administración del trabajo deberá estar integrado por personas que estén debidamente calificadas para desempeñar las actividades que les han sido asignadas, que tengan acceso a la formación que tales actividades requieran y que sean independientes de influencias externas indebidas.</w:t>
      </w:r>
    </w:p>
    <w:p w14:paraId="2FFA738D" w14:textId="77777777" w:rsidR="00D70716" w:rsidRPr="00D70716" w:rsidRDefault="00D70716" w:rsidP="00D70716">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5" w:name="A10P2"/>
      <w:bookmarkEnd w:id="15"/>
      <w:r w:rsidRPr="00D70716">
        <w:rPr>
          <w:rFonts w:ascii="Arial" w:eastAsia="Times New Roman" w:hAnsi="Arial" w:cs="Arial"/>
          <w:color w:val="333333"/>
          <w:sz w:val="24"/>
          <w:szCs w:val="24"/>
          <w:lang w:eastAsia="es-MX"/>
        </w:rPr>
        <w:t>2. Dicho personal deberá tener el estatuto, los medios materiales y los recursos financieros necesarios para el desempeño eficaz de sus funciones.</w:t>
      </w:r>
    </w:p>
    <w:p w14:paraId="362FA990"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11"/>
      <w:bookmarkEnd w:id="16"/>
      <w:r w:rsidRPr="00D70716">
        <w:rPr>
          <w:rFonts w:ascii="Arial" w:eastAsia="Times New Roman" w:hAnsi="Arial" w:cs="Arial"/>
          <w:b/>
          <w:bCs/>
          <w:i/>
          <w:iCs/>
          <w:color w:val="333333"/>
          <w:sz w:val="24"/>
          <w:szCs w:val="24"/>
          <w:lang w:eastAsia="es-MX"/>
        </w:rPr>
        <w:t>Artículo 11</w:t>
      </w:r>
    </w:p>
    <w:p w14:paraId="5D88BBC6"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 xml:space="preserve"> de la Oficina Internacional del Trabajo.</w:t>
      </w:r>
    </w:p>
    <w:p w14:paraId="61987930"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2"/>
      <w:bookmarkEnd w:id="17"/>
      <w:r w:rsidRPr="00D70716">
        <w:rPr>
          <w:rFonts w:ascii="Arial" w:eastAsia="Times New Roman" w:hAnsi="Arial" w:cs="Arial"/>
          <w:b/>
          <w:bCs/>
          <w:i/>
          <w:iCs/>
          <w:color w:val="333333"/>
          <w:sz w:val="24"/>
          <w:szCs w:val="24"/>
          <w:lang w:eastAsia="es-MX"/>
        </w:rPr>
        <w:lastRenderedPageBreak/>
        <w:t>Artículo 12</w:t>
      </w:r>
    </w:p>
    <w:p w14:paraId="316E139C" w14:textId="77777777" w:rsidR="00D70716" w:rsidRPr="00D70716" w:rsidRDefault="00D70716" w:rsidP="00D70716">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8" w:name="A12P1"/>
      <w:bookmarkEnd w:id="18"/>
      <w:r w:rsidRPr="00D70716">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w:t>
      </w:r>
    </w:p>
    <w:p w14:paraId="66F31419" w14:textId="77777777" w:rsidR="00D70716" w:rsidRPr="00D70716" w:rsidRDefault="00D70716" w:rsidP="00D70716">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9" w:name="A12P2"/>
      <w:bookmarkEnd w:id="19"/>
      <w:r w:rsidRPr="00D70716">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w:t>
      </w:r>
    </w:p>
    <w:p w14:paraId="1656E76A" w14:textId="77777777" w:rsidR="00D70716" w:rsidRPr="00D70716" w:rsidRDefault="00D70716" w:rsidP="00D70716">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0" w:name="A12P3"/>
      <w:bookmarkEnd w:id="20"/>
      <w:r w:rsidRPr="00D70716">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1EF8894E"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3"/>
      <w:bookmarkEnd w:id="21"/>
      <w:r w:rsidRPr="00D70716">
        <w:rPr>
          <w:rFonts w:ascii="Arial" w:eastAsia="Times New Roman" w:hAnsi="Arial" w:cs="Arial"/>
          <w:b/>
          <w:bCs/>
          <w:i/>
          <w:iCs/>
          <w:color w:val="333333"/>
          <w:sz w:val="24"/>
          <w:szCs w:val="24"/>
          <w:lang w:eastAsia="es-MX"/>
        </w:rPr>
        <w:t>Artículo 13</w:t>
      </w:r>
    </w:p>
    <w:p w14:paraId="3FB826DD" w14:textId="77777777" w:rsidR="00D70716" w:rsidRPr="00D70716" w:rsidRDefault="00D70716" w:rsidP="00D70716">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2" w:name="A13P1"/>
      <w:bookmarkEnd w:id="22"/>
      <w:r w:rsidRPr="00D70716">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16B7C89A" w14:textId="77777777" w:rsidR="00D70716" w:rsidRPr="00D70716" w:rsidRDefault="00D70716" w:rsidP="00D70716">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3" w:name="A13P2"/>
      <w:bookmarkEnd w:id="23"/>
      <w:r w:rsidRPr="00D70716">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23976708"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4"/>
      <w:bookmarkEnd w:id="24"/>
      <w:r w:rsidRPr="00D70716">
        <w:rPr>
          <w:rFonts w:ascii="Arial" w:eastAsia="Times New Roman" w:hAnsi="Arial" w:cs="Arial"/>
          <w:b/>
          <w:bCs/>
          <w:i/>
          <w:iCs/>
          <w:color w:val="333333"/>
          <w:sz w:val="24"/>
          <w:szCs w:val="24"/>
          <w:lang w:eastAsia="es-MX"/>
        </w:rPr>
        <w:t>Artículo 14</w:t>
      </w:r>
    </w:p>
    <w:p w14:paraId="02586265" w14:textId="77777777" w:rsidR="00D70716" w:rsidRPr="00D70716" w:rsidRDefault="00D70716" w:rsidP="00D70716">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5" w:name="A14P1"/>
      <w:bookmarkEnd w:id="25"/>
      <w:r w:rsidRPr="00D70716">
        <w:rPr>
          <w:rFonts w:ascii="Arial" w:eastAsia="Times New Roman" w:hAnsi="Arial" w:cs="Arial"/>
          <w:color w:val="333333"/>
          <w:sz w:val="24"/>
          <w:szCs w:val="24"/>
          <w:lang w:eastAsia="es-MX"/>
        </w:rPr>
        <w:t xml:space="preserve">1. El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3C370EB" w14:textId="77777777" w:rsidR="00D70716" w:rsidRPr="00D70716" w:rsidRDefault="00D70716" w:rsidP="00D70716">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6" w:name="A14P2"/>
      <w:bookmarkEnd w:id="26"/>
      <w:r w:rsidRPr="00D70716">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4BCFB200"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5"/>
      <w:bookmarkEnd w:id="27"/>
      <w:r w:rsidRPr="00D70716">
        <w:rPr>
          <w:rFonts w:ascii="Arial" w:eastAsia="Times New Roman" w:hAnsi="Arial" w:cs="Arial"/>
          <w:b/>
          <w:bCs/>
          <w:i/>
          <w:iCs/>
          <w:color w:val="333333"/>
          <w:sz w:val="24"/>
          <w:szCs w:val="24"/>
          <w:lang w:eastAsia="es-MX"/>
        </w:rPr>
        <w:t>Artículo 15</w:t>
      </w:r>
    </w:p>
    <w:p w14:paraId="79EC978B"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lastRenderedPageBreak/>
        <w:t xml:space="preserve">El </w:t>
      </w:r>
      <w:proofErr w:type="gramStart"/>
      <w:r w:rsidRPr="00D70716">
        <w:rPr>
          <w:rFonts w:ascii="Arial" w:eastAsia="Times New Roman" w:hAnsi="Arial" w:cs="Arial"/>
          <w:color w:val="333333"/>
          <w:sz w:val="24"/>
          <w:szCs w:val="24"/>
          <w:lang w:eastAsia="es-MX"/>
        </w:rPr>
        <w:t>Director General</w:t>
      </w:r>
      <w:proofErr w:type="gramEnd"/>
      <w:r w:rsidRPr="00D70716">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047E9EC5"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6"/>
      <w:bookmarkEnd w:id="28"/>
      <w:r w:rsidRPr="00D70716">
        <w:rPr>
          <w:rFonts w:ascii="Arial" w:eastAsia="Times New Roman" w:hAnsi="Arial" w:cs="Arial"/>
          <w:b/>
          <w:bCs/>
          <w:i/>
          <w:iCs/>
          <w:color w:val="333333"/>
          <w:sz w:val="24"/>
          <w:szCs w:val="24"/>
          <w:lang w:eastAsia="es-MX"/>
        </w:rPr>
        <w:t>Artículo 16</w:t>
      </w:r>
    </w:p>
    <w:p w14:paraId="089D9501"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06A0C00"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7"/>
      <w:bookmarkEnd w:id="29"/>
      <w:r w:rsidRPr="00D70716">
        <w:rPr>
          <w:rFonts w:ascii="Arial" w:eastAsia="Times New Roman" w:hAnsi="Arial" w:cs="Arial"/>
          <w:b/>
          <w:bCs/>
          <w:i/>
          <w:iCs/>
          <w:color w:val="333333"/>
          <w:sz w:val="24"/>
          <w:szCs w:val="24"/>
          <w:lang w:eastAsia="es-MX"/>
        </w:rPr>
        <w:t>Artículo 17</w:t>
      </w:r>
    </w:p>
    <w:p w14:paraId="1F5B1E2A" w14:textId="77777777" w:rsidR="00D70716" w:rsidRPr="00D70716" w:rsidRDefault="00D70716" w:rsidP="00D70716">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0" w:name="A17P1"/>
      <w:bookmarkEnd w:id="30"/>
      <w:r w:rsidRPr="00D70716">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05A0F3A6" w14:textId="77777777" w:rsidR="00D70716" w:rsidRPr="00D70716" w:rsidRDefault="00D70716" w:rsidP="00D70716">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D70716">
        <w:rPr>
          <w:rFonts w:ascii="Arial" w:eastAsia="Times New Roman" w:hAnsi="Arial" w:cs="Arial"/>
          <w:color w:val="333333"/>
          <w:sz w:val="24"/>
          <w:szCs w:val="24"/>
          <w:lang w:eastAsia="es-MX"/>
        </w:rPr>
        <w:t>obstante</w:t>
      </w:r>
      <w:proofErr w:type="gramEnd"/>
      <w:r w:rsidRPr="00D70716">
        <w:rPr>
          <w:rFonts w:ascii="Arial" w:eastAsia="Times New Roman" w:hAnsi="Arial" w:cs="Arial"/>
          <w:color w:val="333333"/>
          <w:sz w:val="24"/>
          <w:szCs w:val="24"/>
          <w:lang w:eastAsia="es-MX"/>
        </w:rPr>
        <w:t xml:space="preserve"> las disposiciones contenidas en el artículo 13, siempre que el nuevo convenio revisor haya entrado en vigor;</w:t>
      </w:r>
    </w:p>
    <w:p w14:paraId="0AAFD83D" w14:textId="77777777" w:rsidR="00D70716" w:rsidRPr="00D70716" w:rsidRDefault="00D70716" w:rsidP="00D70716">
      <w:pPr>
        <w:numPr>
          <w:ilvl w:val="1"/>
          <w:numId w:val="9"/>
        </w:numPr>
        <w:shd w:val="clear" w:color="auto" w:fill="FFFFFF"/>
        <w:spacing w:after="0" w:line="360" w:lineRule="auto"/>
        <w:ind w:left="1920"/>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70740BA" w14:textId="77777777" w:rsidR="00D70716" w:rsidRPr="00D70716" w:rsidRDefault="00D70716" w:rsidP="00D70716">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1" w:name="A17P2"/>
      <w:bookmarkEnd w:id="31"/>
      <w:r w:rsidRPr="00D70716">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0C4AEBA0" w14:textId="77777777" w:rsidR="00D70716" w:rsidRPr="00D70716" w:rsidRDefault="00D70716" w:rsidP="00D70716">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8"/>
      <w:bookmarkEnd w:id="32"/>
      <w:r w:rsidRPr="00D70716">
        <w:rPr>
          <w:rFonts w:ascii="Arial" w:eastAsia="Times New Roman" w:hAnsi="Arial" w:cs="Arial"/>
          <w:b/>
          <w:bCs/>
          <w:i/>
          <w:iCs/>
          <w:color w:val="333333"/>
          <w:sz w:val="24"/>
          <w:szCs w:val="24"/>
          <w:lang w:eastAsia="es-MX"/>
        </w:rPr>
        <w:t>Artículo 18</w:t>
      </w:r>
    </w:p>
    <w:p w14:paraId="313E1A9D" w14:textId="77777777" w:rsidR="00D70716" w:rsidRPr="00D70716" w:rsidRDefault="00D70716" w:rsidP="00D70716">
      <w:pPr>
        <w:shd w:val="clear" w:color="auto" w:fill="FFFFFF"/>
        <w:spacing w:after="0" w:line="360" w:lineRule="auto"/>
        <w:jc w:val="both"/>
        <w:rPr>
          <w:rFonts w:ascii="Arial" w:eastAsia="Times New Roman" w:hAnsi="Arial" w:cs="Arial"/>
          <w:color w:val="333333"/>
          <w:sz w:val="24"/>
          <w:szCs w:val="24"/>
          <w:lang w:eastAsia="es-MX"/>
        </w:rPr>
      </w:pPr>
      <w:r w:rsidRPr="00D70716">
        <w:rPr>
          <w:rFonts w:ascii="Arial" w:eastAsia="Times New Roman" w:hAnsi="Arial" w:cs="Arial"/>
          <w:color w:val="333333"/>
          <w:sz w:val="24"/>
          <w:szCs w:val="24"/>
          <w:lang w:eastAsia="es-MX"/>
        </w:rPr>
        <w:t>Las versiones inglesa y francesa del texto de este Convenio son igualmente auténticas.</w:t>
      </w:r>
    </w:p>
    <w:p w14:paraId="7506A616" w14:textId="77777777" w:rsidR="007B13D8" w:rsidRPr="00D70716" w:rsidRDefault="007B13D8" w:rsidP="00D70716">
      <w:pPr>
        <w:spacing w:after="0" w:line="360" w:lineRule="auto"/>
        <w:jc w:val="both"/>
        <w:rPr>
          <w:rFonts w:ascii="Arial" w:hAnsi="Arial" w:cs="Arial"/>
          <w:sz w:val="24"/>
          <w:szCs w:val="24"/>
        </w:rPr>
      </w:pPr>
    </w:p>
    <w:sectPr w:rsidR="007B13D8" w:rsidRPr="00D707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E9A"/>
    <w:multiLevelType w:val="multilevel"/>
    <w:tmpl w:val="DB84F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2CED"/>
    <w:multiLevelType w:val="multilevel"/>
    <w:tmpl w:val="7DB6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70ED"/>
    <w:multiLevelType w:val="multilevel"/>
    <w:tmpl w:val="F9189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53F36"/>
    <w:multiLevelType w:val="multilevel"/>
    <w:tmpl w:val="80DE4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50CB7"/>
    <w:multiLevelType w:val="multilevel"/>
    <w:tmpl w:val="0C1AB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31C4E"/>
    <w:multiLevelType w:val="multilevel"/>
    <w:tmpl w:val="3AF8C6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F4738"/>
    <w:multiLevelType w:val="multilevel"/>
    <w:tmpl w:val="C26E7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1409D"/>
    <w:multiLevelType w:val="multilevel"/>
    <w:tmpl w:val="EBA22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13840"/>
    <w:multiLevelType w:val="multilevel"/>
    <w:tmpl w:val="503EDE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359022">
    <w:abstractNumId w:val="6"/>
  </w:num>
  <w:num w:numId="2" w16cid:durableId="1239904970">
    <w:abstractNumId w:val="4"/>
  </w:num>
  <w:num w:numId="3" w16cid:durableId="309137737">
    <w:abstractNumId w:val="5"/>
  </w:num>
  <w:num w:numId="4" w16cid:durableId="1432355422">
    <w:abstractNumId w:val="0"/>
  </w:num>
  <w:num w:numId="5" w16cid:durableId="232664991">
    <w:abstractNumId w:val="7"/>
  </w:num>
  <w:num w:numId="6" w16cid:durableId="350960374">
    <w:abstractNumId w:val="2"/>
  </w:num>
  <w:num w:numId="7" w16cid:durableId="577519371">
    <w:abstractNumId w:val="1"/>
  </w:num>
  <w:num w:numId="8" w16cid:durableId="1517111291">
    <w:abstractNumId w:val="3"/>
  </w:num>
  <w:num w:numId="9" w16cid:durableId="924605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16"/>
    <w:rsid w:val="007B13D8"/>
    <w:rsid w:val="00D70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F540"/>
  <w15:chartTrackingRefBased/>
  <w15:docId w15:val="{0CC15F09-A03B-452D-A75A-2B786C98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07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7071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D70716"/>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716"/>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70716"/>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D70716"/>
    <w:rPr>
      <w:rFonts w:ascii="Times New Roman" w:eastAsia="Times New Roman" w:hAnsi="Times New Roman" w:cs="Times New Roman"/>
      <w:b/>
      <w:bCs/>
      <w:sz w:val="20"/>
      <w:szCs w:val="20"/>
      <w:lang w:eastAsia="es-MX"/>
    </w:rPr>
  </w:style>
  <w:style w:type="paragraph" w:customStyle="1" w:styleId="borderbottom">
    <w:name w:val="borderbottom"/>
    <w:basedOn w:val="Normal"/>
    <w:rsid w:val="00D707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70716"/>
    <w:rPr>
      <w:color w:val="0000FF"/>
      <w:u w:val="single"/>
    </w:rPr>
  </w:style>
  <w:style w:type="paragraph" w:customStyle="1" w:styleId="bordertop">
    <w:name w:val="bordertop"/>
    <w:basedOn w:val="Normal"/>
    <w:rsid w:val="00D707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70716"/>
    <w:rPr>
      <w:b/>
      <w:bCs/>
    </w:rPr>
  </w:style>
  <w:style w:type="paragraph" w:styleId="NormalWeb">
    <w:name w:val="Normal (Web)"/>
    <w:basedOn w:val="Normal"/>
    <w:uiPriority w:val="99"/>
    <w:semiHidden/>
    <w:unhideWhenUsed/>
    <w:rsid w:val="00D7071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195159">
      <w:bodyDiv w:val="1"/>
      <w:marLeft w:val="0"/>
      <w:marRight w:val="0"/>
      <w:marTop w:val="0"/>
      <w:marBottom w:val="0"/>
      <w:divBdr>
        <w:top w:val="none" w:sz="0" w:space="0" w:color="auto"/>
        <w:left w:val="none" w:sz="0" w:space="0" w:color="auto"/>
        <w:bottom w:val="none" w:sz="0" w:space="0" w:color="auto"/>
        <w:right w:val="none" w:sz="0" w:space="0" w:color="auto"/>
      </w:divBdr>
      <w:divsChild>
        <w:div w:id="1318729779">
          <w:marLeft w:val="0"/>
          <w:marRight w:val="0"/>
          <w:marTop w:val="0"/>
          <w:marBottom w:val="225"/>
          <w:divBdr>
            <w:top w:val="none" w:sz="0" w:space="0" w:color="auto"/>
            <w:left w:val="none" w:sz="0" w:space="0" w:color="auto"/>
            <w:bottom w:val="none" w:sz="0" w:space="0" w:color="auto"/>
            <w:right w:val="none" w:sz="0" w:space="0" w:color="auto"/>
          </w:divBdr>
        </w:div>
        <w:div w:id="1318612138">
          <w:marLeft w:val="0"/>
          <w:marRight w:val="0"/>
          <w:marTop w:val="0"/>
          <w:marBottom w:val="0"/>
          <w:divBdr>
            <w:top w:val="none" w:sz="0" w:space="0" w:color="auto"/>
            <w:left w:val="none" w:sz="0" w:space="0" w:color="auto"/>
            <w:bottom w:val="none" w:sz="0" w:space="0" w:color="auto"/>
            <w:right w:val="none" w:sz="0" w:space="0" w:color="auto"/>
          </w:divBdr>
          <w:divsChild>
            <w:div w:id="1649436978">
              <w:marLeft w:val="0"/>
              <w:marRight w:val="0"/>
              <w:marTop w:val="0"/>
              <w:marBottom w:val="0"/>
              <w:divBdr>
                <w:top w:val="none" w:sz="0" w:space="0" w:color="auto"/>
                <w:left w:val="none" w:sz="0" w:space="0" w:color="auto"/>
                <w:bottom w:val="none" w:sz="0" w:space="0" w:color="auto"/>
                <w:right w:val="none" w:sz="0" w:space="0" w:color="auto"/>
              </w:divBdr>
              <w:divsChild>
                <w:div w:id="264969174">
                  <w:marLeft w:val="0"/>
                  <w:marRight w:val="0"/>
                  <w:marTop w:val="0"/>
                  <w:marBottom w:val="0"/>
                  <w:divBdr>
                    <w:top w:val="none" w:sz="0" w:space="0" w:color="auto"/>
                    <w:left w:val="none" w:sz="0" w:space="0" w:color="auto"/>
                    <w:bottom w:val="none" w:sz="0" w:space="0" w:color="auto"/>
                    <w:right w:val="none" w:sz="0" w:space="0" w:color="auto"/>
                  </w:divBdr>
                  <w:divsChild>
                    <w:div w:id="39239355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1981</Words>
  <Characters>10900</Characters>
  <Application>Microsoft Office Word</Application>
  <DocSecurity>0</DocSecurity>
  <Lines>90</Lines>
  <Paragraphs>25</Paragraphs>
  <ScaleCrop>false</ScaleCrop>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2023-01-14T23:31:00Z</dcterms:created>
  <dcterms:modified xsi:type="dcterms:W3CDTF">2023-01-14T23:33:00Z</dcterms:modified>
</cp:coreProperties>
</file>