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BA7" w:rsidRPr="00696BA7" w:rsidRDefault="00696BA7" w:rsidP="00696BA7">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696BA7">
        <w:rPr>
          <w:rFonts w:ascii="Georgia" w:eastAsia="Times New Roman" w:hAnsi="Georgia" w:cs="Arial"/>
          <w:b/>
          <w:bCs/>
          <w:color w:val="B92517"/>
          <w:spacing w:val="-5"/>
          <w:kern w:val="36"/>
          <w:sz w:val="58"/>
          <w:szCs w:val="58"/>
          <w:lang w:eastAsia="es-MX"/>
        </w:rPr>
        <w:t>C006 - Convenio sobre el trabajo nocturno de los menores (industria), 1919 (núm. 6)</w:t>
      </w:r>
    </w:p>
    <w:p w:rsidR="00696BA7" w:rsidRPr="00696BA7" w:rsidRDefault="00696BA7" w:rsidP="00696BA7">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696BA7">
        <w:rPr>
          <w:rFonts w:ascii="Arial" w:eastAsia="Times New Roman" w:hAnsi="Arial" w:cs="Arial"/>
          <w:color w:val="333333"/>
          <w:sz w:val="18"/>
          <w:szCs w:val="18"/>
          <w:lang w:eastAsia="es-MX"/>
        </w:rPr>
        <w:t>Visualizar en: </w:t>
      </w:r>
      <w:hyperlink r:id="rId5" w:history="1">
        <w:r w:rsidRPr="00696BA7">
          <w:rPr>
            <w:rFonts w:ascii="Arial" w:eastAsia="Times New Roman" w:hAnsi="Arial" w:cs="Arial"/>
            <w:color w:val="0644AA"/>
            <w:sz w:val="18"/>
            <w:szCs w:val="18"/>
            <w:u w:val="single"/>
            <w:lang w:eastAsia="es-MX"/>
          </w:rPr>
          <w:t>Inglés</w:t>
        </w:r>
      </w:hyperlink>
      <w:r w:rsidRPr="00696BA7">
        <w:rPr>
          <w:rFonts w:ascii="Arial" w:eastAsia="Times New Roman" w:hAnsi="Arial" w:cs="Arial"/>
          <w:color w:val="333333"/>
          <w:sz w:val="18"/>
          <w:szCs w:val="18"/>
          <w:lang w:eastAsia="es-MX"/>
        </w:rPr>
        <w:t> - </w:t>
      </w:r>
      <w:hyperlink r:id="rId6" w:history="1">
        <w:r w:rsidRPr="00696BA7">
          <w:rPr>
            <w:rFonts w:ascii="Arial" w:eastAsia="Times New Roman" w:hAnsi="Arial" w:cs="Arial"/>
            <w:color w:val="0644AA"/>
            <w:sz w:val="18"/>
            <w:szCs w:val="18"/>
            <w:u w:val="single"/>
            <w:lang w:eastAsia="es-MX"/>
          </w:rPr>
          <w:t>Francés</w:t>
        </w:r>
      </w:hyperlink>
      <w:r w:rsidRPr="00696BA7">
        <w:rPr>
          <w:rFonts w:ascii="Arial" w:eastAsia="Times New Roman" w:hAnsi="Arial" w:cs="Arial"/>
          <w:color w:val="333333"/>
          <w:sz w:val="18"/>
          <w:szCs w:val="18"/>
          <w:lang w:eastAsia="es-MX"/>
        </w:rPr>
        <w:t> - </w:t>
      </w:r>
      <w:hyperlink r:id="rId7" w:history="1">
        <w:r w:rsidRPr="00696BA7">
          <w:rPr>
            <w:rFonts w:ascii="Arial" w:eastAsia="Times New Roman" w:hAnsi="Arial" w:cs="Arial"/>
            <w:color w:val="0644AA"/>
            <w:sz w:val="18"/>
            <w:szCs w:val="18"/>
            <w:u w:val="single"/>
            <w:lang w:eastAsia="es-MX"/>
          </w:rPr>
          <w:t>árabe</w:t>
        </w:r>
      </w:hyperlink>
      <w:r w:rsidRPr="00696BA7">
        <w:rPr>
          <w:rFonts w:ascii="Arial" w:eastAsia="Times New Roman" w:hAnsi="Arial" w:cs="Arial"/>
          <w:color w:val="333333"/>
          <w:sz w:val="18"/>
          <w:szCs w:val="18"/>
          <w:lang w:eastAsia="es-MX"/>
        </w:rPr>
        <w:t> - </w:t>
      </w:r>
      <w:hyperlink r:id="rId8" w:history="1">
        <w:r w:rsidRPr="00696BA7">
          <w:rPr>
            <w:rFonts w:ascii="Arial" w:eastAsia="Times New Roman" w:hAnsi="Arial" w:cs="Arial"/>
            <w:color w:val="0644AA"/>
            <w:sz w:val="18"/>
            <w:szCs w:val="18"/>
            <w:u w:val="single"/>
            <w:lang w:eastAsia="es-MX"/>
          </w:rPr>
          <w:t>alemán</w:t>
        </w:r>
      </w:hyperlink>
      <w:r w:rsidRPr="00696BA7">
        <w:rPr>
          <w:rFonts w:ascii="Arial" w:eastAsia="Times New Roman" w:hAnsi="Arial" w:cs="Arial"/>
          <w:color w:val="333333"/>
          <w:sz w:val="18"/>
          <w:szCs w:val="18"/>
          <w:lang w:eastAsia="es-MX"/>
        </w:rPr>
        <w:t> - </w:t>
      </w:r>
      <w:hyperlink r:id="rId9" w:history="1">
        <w:r w:rsidRPr="00696BA7">
          <w:rPr>
            <w:rFonts w:ascii="Arial" w:eastAsia="Times New Roman" w:hAnsi="Arial" w:cs="Arial"/>
            <w:color w:val="0644AA"/>
            <w:sz w:val="18"/>
            <w:szCs w:val="18"/>
            <w:u w:val="single"/>
            <w:lang w:eastAsia="es-MX"/>
          </w:rPr>
          <w:t>portugués</w:t>
        </w:r>
      </w:hyperlink>
      <w:r w:rsidRPr="00696BA7">
        <w:rPr>
          <w:rFonts w:ascii="Arial" w:eastAsia="Times New Roman" w:hAnsi="Arial" w:cs="Arial"/>
          <w:color w:val="333333"/>
          <w:sz w:val="18"/>
          <w:szCs w:val="18"/>
          <w:lang w:eastAsia="es-MX"/>
        </w:rPr>
        <w:t> - </w:t>
      </w:r>
      <w:hyperlink r:id="rId10" w:history="1">
        <w:r w:rsidRPr="00696BA7">
          <w:rPr>
            <w:rFonts w:ascii="Arial" w:eastAsia="Times New Roman" w:hAnsi="Arial" w:cs="Arial"/>
            <w:color w:val="0644AA"/>
            <w:sz w:val="18"/>
            <w:szCs w:val="18"/>
            <w:u w:val="single"/>
            <w:lang w:eastAsia="es-MX"/>
          </w:rPr>
          <w:t>ruso</w:t>
        </w:r>
      </w:hyperlink>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b/>
          <w:bCs/>
          <w:color w:val="333333"/>
          <w:sz w:val="18"/>
          <w:szCs w:val="18"/>
          <w:lang w:eastAsia="es-MX"/>
        </w:rPr>
        <w:t>Ir al artículo : </w:t>
      </w:r>
      <w:hyperlink r:id="rId11" w:anchor="A1" w:history="1">
        <w:r w:rsidRPr="00696BA7">
          <w:rPr>
            <w:rFonts w:ascii="Georgia" w:eastAsia="Times New Roman" w:hAnsi="Georgia" w:cs="Arial"/>
            <w:color w:val="0644AA"/>
            <w:sz w:val="18"/>
            <w:szCs w:val="18"/>
            <w:u w:val="single"/>
            <w:lang w:eastAsia="es-MX"/>
          </w:rPr>
          <w:t>1</w:t>
        </w:r>
      </w:hyperlink>
      <w:r w:rsidRPr="00696BA7">
        <w:rPr>
          <w:rFonts w:ascii="Georgia" w:eastAsia="Times New Roman" w:hAnsi="Georgia" w:cs="Arial"/>
          <w:color w:val="333333"/>
          <w:sz w:val="18"/>
          <w:szCs w:val="18"/>
          <w:lang w:eastAsia="es-MX"/>
        </w:rPr>
        <w:t> </w:t>
      </w:r>
      <w:hyperlink r:id="rId12" w:anchor="A2" w:history="1">
        <w:r w:rsidRPr="00696BA7">
          <w:rPr>
            <w:rFonts w:ascii="Georgia" w:eastAsia="Times New Roman" w:hAnsi="Georgia" w:cs="Arial"/>
            <w:color w:val="0644AA"/>
            <w:sz w:val="18"/>
            <w:szCs w:val="18"/>
            <w:u w:val="single"/>
            <w:lang w:eastAsia="es-MX"/>
          </w:rPr>
          <w:t>2</w:t>
        </w:r>
      </w:hyperlink>
      <w:r w:rsidRPr="00696BA7">
        <w:rPr>
          <w:rFonts w:ascii="Georgia" w:eastAsia="Times New Roman" w:hAnsi="Georgia" w:cs="Arial"/>
          <w:color w:val="333333"/>
          <w:sz w:val="18"/>
          <w:szCs w:val="18"/>
          <w:lang w:eastAsia="es-MX"/>
        </w:rPr>
        <w:t> </w:t>
      </w:r>
      <w:hyperlink r:id="rId13" w:anchor="A3" w:history="1">
        <w:r w:rsidRPr="00696BA7">
          <w:rPr>
            <w:rFonts w:ascii="Georgia" w:eastAsia="Times New Roman" w:hAnsi="Georgia" w:cs="Arial"/>
            <w:color w:val="0644AA"/>
            <w:sz w:val="18"/>
            <w:szCs w:val="18"/>
            <w:u w:val="single"/>
            <w:lang w:eastAsia="es-MX"/>
          </w:rPr>
          <w:t>3</w:t>
        </w:r>
      </w:hyperlink>
      <w:r w:rsidRPr="00696BA7">
        <w:rPr>
          <w:rFonts w:ascii="Georgia" w:eastAsia="Times New Roman" w:hAnsi="Georgia" w:cs="Arial"/>
          <w:color w:val="333333"/>
          <w:sz w:val="18"/>
          <w:szCs w:val="18"/>
          <w:lang w:eastAsia="es-MX"/>
        </w:rPr>
        <w:t> </w:t>
      </w:r>
      <w:hyperlink r:id="rId14" w:anchor="A4" w:history="1">
        <w:r w:rsidRPr="00696BA7">
          <w:rPr>
            <w:rFonts w:ascii="Georgia" w:eastAsia="Times New Roman" w:hAnsi="Georgia" w:cs="Arial"/>
            <w:color w:val="0644AA"/>
            <w:sz w:val="18"/>
            <w:szCs w:val="18"/>
            <w:u w:val="single"/>
            <w:lang w:eastAsia="es-MX"/>
          </w:rPr>
          <w:t>4</w:t>
        </w:r>
      </w:hyperlink>
      <w:r w:rsidRPr="00696BA7">
        <w:rPr>
          <w:rFonts w:ascii="Georgia" w:eastAsia="Times New Roman" w:hAnsi="Georgia" w:cs="Arial"/>
          <w:color w:val="333333"/>
          <w:sz w:val="18"/>
          <w:szCs w:val="18"/>
          <w:lang w:eastAsia="es-MX"/>
        </w:rPr>
        <w:t> </w:t>
      </w:r>
      <w:hyperlink r:id="rId15" w:anchor="A5" w:history="1">
        <w:r w:rsidRPr="00696BA7">
          <w:rPr>
            <w:rFonts w:ascii="Georgia" w:eastAsia="Times New Roman" w:hAnsi="Georgia" w:cs="Arial"/>
            <w:color w:val="0644AA"/>
            <w:sz w:val="18"/>
            <w:szCs w:val="18"/>
            <w:u w:val="single"/>
            <w:lang w:eastAsia="es-MX"/>
          </w:rPr>
          <w:t>5</w:t>
        </w:r>
      </w:hyperlink>
      <w:r w:rsidRPr="00696BA7">
        <w:rPr>
          <w:rFonts w:ascii="Georgia" w:eastAsia="Times New Roman" w:hAnsi="Georgia" w:cs="Arial"/>
          <w:color w:val="333333"/>
          <w:sz w:val="18"/>
          <w:szCs w:val="18"/>
          <w:lang w:eastAsia="es-MX"/>
        </w:rPr>
        <w:t> </w:t>
      </w:r>
      <w:hyperlink r:id="rId16" w:anchor="A6" w:history="1">
        <w:r w:rsidRPr="00696BA7">
          <w:rPr>
            <w:rFonts w:ascii="Georgia" w:eastAsia="Times New Roman" w:hAnsi="Georgia" w:cs="Arial"/>
            <w:color w:val="0644AA"/>
            <w:sz w:val="18"/>
            <w:szCs w:val="18"/>
            <w:u w:val="single"/>
            <w:lang w:eastAsia="es-MX"/>
          </w:rPr>
          <w:t>6</w:t>
        </w:r>
      </w:hyperlink>
      <w:r w:rsidRPr="00696BA7">
        <w:rPr>
          <w:rFonts w:ascii="Georgia" w:eastAsia="Times New Roman" w:hAnsi="Georgia" w:cs="Arial"/>
          <w:color w:val="333333"/>
          <w:sz w:val="18"/>
          <w:szCs w:val="18"/>
          <w:lang w:eastAsia="es-MX"/>
        </w:rPr>
        <w:t> </w:t>
      </w:r>
      <w:hyperlink r:id="rId17" w:anchor="A7" w:history="1">
        <w:r w:rsidRPr="00696BA7">
          <w:rPr>
            <w:rFonts w:ascii="Georgia" w:eastAsia="Times New Roman" w:hAnsi="Georgia" w:cs="Arial"/>
            <w:color w:val="0644AA"/>
            <w:sz w:val="18"/>
            <w:szCs w:val="18"/>
            <w:u w:val="single"/>
            <w:lang w:eastAsia="es-MX"/>
          </w:rPr>
          <w:t>7</w:t>
        </w:r>
      </w:hyperlink>
      <w:r w:rsidRPr="00696BA7">
        <w:rPr>
          <w:rFonts w:ascii="Georgia" w:eastAsia="Times New Roman" w:hAnsi="Georgia" w:cs="Arial"/>
          <w:color w:val="333333"/>
          <w:sz w:val="18"/>
          <w:szCs w:val="18"/>
          <w:lang w:eastAsia="es-MX"/>
        </w:rPr>
        <w:t> </w:t>
      </w:r>
      <w:hyperlink r:id="rId18" w:anchor="A8" w:history="1">
        <w:r w:rsidRPr="00696BA7">
          <w:rPr>
            <w:rFonts w:ascii="Georgia" w:eastAsia="Times New Roman" w:hAnsi="Georgia" w:cs="Arial"/>
            <w:color w:val="0644AA"/>
            <w:sz w:val="18"/>
            <w:szCs w:val="18"/>
            <w:u w:val="single"/>
            <w:lang w:eastAsia="es-MX"/>
          </w:rPr>
          <w:t>8</w:t>
        </w:r>
      </w:hyperlink>
      <w:r w:rsidRPr="00696BA7">
        <w:rPr>
          <w:rFonts w:ascii="Georgia" w:eastAsia="Times New Roman" w:hAnsi="Georgia" w:cs="Arial"/>
          <w:color w:val="333333"/>
          <w:sz w:val="18"/>
          <w:szCs w:val="18"/>
          <w:lang w:eastAsia="es-MX"/>
        </w:rPr>
        <w:t> </w:t>
      </w:r>
      <w:hyperlink r:id="rId19" w:anchor="A9" w:history="1">
        <w:r w:rsidRPr="00696BA7">
          <w:rPr>
            <w:rFonts w:ascii="Georgia" w:eastAsia="Times New Roman" w:hAnsi="Georgia" w:cs="Arial"/>
            <w:color w:val="0644AA"/>
            <w:sz w:val="18"/>
            <w:szCs w:val="18"/>
            <w:u w:val="single"/>
            <w:lang w:eastAsia="es-MX"/>
          </w:rPr>
          <w:t>9</w:t>
        </w:r>
      </w:hyperlink>
      <w:r w:rsidRPr="00696BA7">
        <w:rPr>
          <w:rFonts w:ascii="Georgia" w:eastAsia="Times New Roman" w:hAnsi="Georgia" w:cs="Arial"/>
          <w:color w:val="333333"/>
          <w:sz w:val="18"/>
          <w:szCs w:val="18"/>
          <w:lang w:eastAsia="es-MX"/>
        </w:rPr>
        <w:t> </w:t>
      </w:r>
      <w:hyperlink r:id="rId20" w:anchor="A10" w:history="1">
        <w:r w:rsidRPr="00696BA7">
          <w:rPr>
            <w:rFonts w:ascii="Georgia" w:eastAsia="Times New Roman" w:hAnsi="Georgia" w:cs="Arial"/>
            <w:color w:val="0644AA"/>
            <w:sz w:val="18"/>
            <w:szCs w:val="18"/>
            <w:u w:val="single"/>
            <w:lang w:eastAsia="es-MX"/>
          </w:rPr>
          <w:t>10</w:t>
        </w:r>
      </w:hyperlink>
      <w:r w:rsidRPr="00696BA7">
        <w:rPr>
          <w:rFonts w:ascii="Georgia" w:eastAsia="Times New Roman" w:hAnsi="Georgia" w:cs="Arial"/>
          <w:color w:val="333333"/>
          <w:sz w:val="18"/>
          <w:szCs w:val="18"/>
          <w:lang w:eastAsia="es-MX"/>
        </w:rPr>
        <w:t> </w:t>
      </w:r>
      <w:hyperlink r:id="rId21" w:anchor="A11" w:history="1">
        <w:r w:rsidRPr="00696BA7">
          <w:rPr>
            <w:rFonts w:ascii="Georgia" w:eastAsia="Times New Roman" w:hAnsi="Georgia" w:cs="Arial"/>
            <w:color w:val="0644AA"/>
            <w:sz w:val="18"/>
            <w:szCs w:val="18"/>
            <w:u w:val="single"/>
            <w:lang w:eastAsia="es-MX"/>
          </w:rPr>
          <w:t>11</w:t>
        </w:r>
      </w:hyperlink>
      <w:r w:rsidRPr="00696BA7">
        <w:rPr>
          <w:rFonts w:ascii="Georgia" w:eastAsia="Times New Roman" w:hAnsi="Georgia" w:cs="Arial"/>
          <w:color w:val="333333"/>
          <w:sz w:val="18"/>
          <w:szCs w:val="18"/>
          <w:lang w:eastAsia="es-MX"/>
        </w:rPr>
        <w:t> </w:t>
      </w:r>
      <w:hyperlink r:id="rId22" w:anchor="A12" w:history="1">
        <w:r w:rsidRPr="00696BA7">
          <w:rPr>
            <w:rFonts w:ascii="Georgia" w:eastAsia="Times New Roman" w:hAnsi="Georgia" w:cs="Arial"/>
            <w:color w:val="0644AA"/>
            <w:sz w:val="18"/>
            <w:szCs w:val="18"/>
            <w:u w:val="single"/>
            <w:lang w:eastAsia="es-MX"/>
          </w:rPr>
          <w:t>12</w:t>
        </w:r>
      </w:hyperlink>
      <w:r w:rsidRPr="00696BA7">
        <w:rPr>
          <w:rFonts w:ascii="Georgia" w:eastAsia="Times New Roman" w:hAnsi="Georgia" w:cs="Arial"/>
          <w:color w:val="333333"/>
          <w:sz w:val="18"/>
          <w:szCs w:val="18"/>
          <w:lang w:eastAsia="es-MX"/>
        </w:rPr>
        <w:t> </w:t>
      </w:r>
      <w:hyperlink r:id="rId23" w:anchor="A13" w:history="1">
        <w:r w:rsidRPr="00696BA7">
          <w:rPr>
            <w:rFonts w:ascii="Georgia" w:eastAsia="Times New Roman" w:hAnsi="Georgia" w:cs="Arial"/>
            <w:color w:val="0644AA"/>
            <w:sz w:val="18"/>
            <w:szCs w:val="18"/>
            <w:u w:val="single"/>
            <w:lang w:eastAsia="es-MX"/>
          </w:rPr>
          <w:t>13</w:t>
        </w:r>
      </w:hyperlink>
      <w:r w:rsidRPr="00696BA7">
        <w:rPr>
          <w:rFonts w:ascii="Georgia" w:eastAsia="Times New Roman" w:hAnsi="Georgia" w:cs="Arial"/>
          <w:color w:val="333333"/>
          <w:sz w:val="18"/>
          <w:szCs w:val="18"/>
          <w:lang w:eastAsia="es-MX"/>
        </w:rPr>
        <w:t> </w:t>
      </w:r>
      <w:hyperlink r:id="rId24" w:anchor="A14" w:history="1">
        <w:r w:rsidRPr="00696BA7">
          <w:rPr>
            <w:rFonts w:ascii="Georgia" w:eastAsia="Times New Roman" w:hAnsi="Georgia" w:cs="Arial"/>
            <w:color w:val="0644AA"/>
            <w:sz w:val="18"/>
            <w:szCs w:val="18"/>
            <w:u w:val="single"/>
            <w:lang w:eastAsia="es-MX"/>
          </w:rPr>
          <w:t>14</w:t>
        </w:r>
      </w:hyperlink>
      <w:r w:rsidRPr="00696BA7">
        <w:rPr>
          <w:rFonts w:ascii="Georgia" w:eastAsia="Times New Roman" w:hAnsi="Georgia" w:cs="Arial"/>
          <w:color w:val="333333"/>
          <w:sz w:val="18"/>
          <w:szCs w:val="18"/>
          <w:lang w:eastAsia="es-MX"/>
        </w:rPr>
        <w:t> </w:t>
      </w:r>
      <w:hyperlink r:id="rId25" w:anchor="A15" w:history="1">
        <w:r w:rsidRPr="00696BA7">
          <w:rPr>
            <w:rFonts w:ascii="Georgia" w:eastAsia="Times New Roman" w:hAnsi="Georgia" w:cs="Arial"/>
            <w:color w:val="0644AA"/>
            <w:sz w:val="18"/>
            <w:szCs w:val="18"/>
            <w:u w:val="single"/>
            <w:lang w:eastAsia="es-MX"/>
          </w:rPr>
          <w:t>15</w:t>
        </w:r>
      </w:hyperlink>
    </w:p>
    <w:p w:rsidR="00696BA7" w:rsidRPr="00696BA7" w:rsidRDefault="00696BA7" w:rsidP="00696BA7">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696BA7">
        <w:rPr>
          <w:rFonts w:ascii="Georgia" w:eastAsia="Times New Roman" w:hAnsi="Georgia" w:cs="Arial"/>
          <w:b/>
          <w:bCs/>
          <w:color w:val="B92517"/>
          <w:sz w:val="23"/>
          <w:szCs w:val="23"/>
          <w:lang w:eastAsia="es-MX"/>
        </w:rPr>
        <w:t>Preámbulo</w:t>
      </w:r>
    </w:p>
    <w:p w:rsidR="00696BA7" w:rsidRPr="00696BA7" w:rsidRDefault="00696BA7" w:rsidP="00696BA7">
      <w:pPr>
        <w:shd w:val="clear" w:color="auto" w:fill="F3F3F3"/>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La Conferencia General de la Organización Internacional del Trabajo:</w:t>
      </w:r>
    </w:p>
    <w:p w:rsidR="00696BA7" w:rsidRPr="00696BA7" w:rsidRDefault="00696BA7" w:rsidP="00696BA7">
      <w:pPr>
        <w:shd w:val="clear" w:color="auto" w:fill="F3F3F3"/>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Convocada en Wáshington por el Gobierno de los Estados Unidos de América el 29 del octubre de 1919;</w:t>
      </w:r>
    </w:p>
    <w:p w:rsidR="00696BA7" w:rsidRPr="00696BA7" w:rsidRDefault="00696BA7" w:rsidP="00696BA7">
      <w:pPr>
        <w:shd w:val="clear" w:color="auto" w:fill="F3F3F3"/>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Después de haber decidido adoptar diversas proposiciones relativas al empleo de los niños durante la noche, cuestión que está comprendida en el cuarto punto del orden del día de la reunión de la Conferencia celebrada en Wáshington, y</w:t>
      </w:r>
    </w:p>
    <w:p w:rsidR="00696BA7" w:rsidRPr="00696BA7" w:rsidRDefault="00696BA7" w:rsidP="00696BA7">
      <w:pPr>
        <w:shd w:val="clear" w:color="auto" w:fill="F3F3F3"/>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Después de haber decidido que dichas proposiciones revistan la forma de un convenio internacional,</w:t>
      </w:r>
    </w:p>
    <w:p w:rsidR="00696BA7" w:rsidRPr="00696BA7" w:rsidRDefault="00696BA7" w:rsidP="00696BA7">
      <w:pPr>
        <w:shd w:val="clear" w:color="auto" w:fill="F3F3F3"/>
        <w:spacing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adopta el siguiente Convenio, que podrá ser citado como el Convenio sobre el trabajo nocturno de los menores (industria), 1919, y que será sometido a la ratificación de los Miembros de la Organización Internacional del Trabajo, de acuerdo con las disposiciones de la Constitución de la Organización Internacional del Trabajo:</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696BA7">
        <w:rPr>
          <w:rFonts w:ascii="Georgia" w:eastAsia="Times New Roman" w:hAnsi="Georgia" w:cs="Arial"/>
          <w:b/>
          <w:bCs/>
          <w:i/>
          <w:iCs/>
          <w:color w:val="333333"/>
          <w:sz w:val="21"/>
          <w:szCs w:val="21"/>
          <w:lang w:eastAsia="es-MX"/>
        </w:rPr>
        <w:t>Artículo 1</w:t>
      </w:r>
    </w:p>
    <w:p w:rsidR="00696BA7" w:rsidRPr="00696BA7" w:rsidRDefault="00696BA7" w:rsidP="00696BA7">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1" w:name="A1P1"/>
      <w:bookmarkEnd w:id="1"/>
      <w:r w:rsidRPr="00696BA7">
        <w:rPr>
          <w:rFonts w:ascii="Georgia" w:eastAsia="Times New Roman" w:hAnsi="Georgia" w:cs="Arial"/>
          <w:color w:val="333333"/>
          <w:sz w:val="18"/>
          <w:szCs w:val="18"/>
          <w:lang w:eastAsia="es-MX"/>
        </w:rPr>
        <w:t>1. A los efectos del presente Convenio, se consideran </w:t>
      </w:r>
      <w:r w:rsidRPr="00696BA7">
        <w:rPr>
          <w:rFonts w:ascii="Georgia" w:eastAsia="Times New Roman" w:hAnsi="Georgia" w:cs="Arial"/>
          <w:b/>
          <w:bCs/>
          <w:i/>
          <w:iCs/>
          <w:color w:val="333333"/>
          <w:sz w:val="18"/>
          <w:szCs w:val="18"/>
          <w:lang w:eastAsia="es-MX"/>
        </w:rPr>
        <w:t>empresas industriales</w:t>
      </w:r>
      <w:r w:rsidRPr="00696BA7">
        <w:rPr>
          <w:rFonts w:ascii="Georgia" w:eastAsia="Times New Roman" w:hAnsi="Georgia" w:cs="Arial"/>
          <w:color w:val="333333"/>
          <w:sz w:val="18"/>
          <w:szCs w:val="18"/>
          <w:lang w:eastAsia="es-MX"/>
        </w:rPr>
        <w:t> , principalmente:</w:t>
      </w:r>
    </w:p>
    <w:p w:rsidR="00696BA7" w:rsidRPr="00696BA7" w:rsidRDefault="00696BA7" w:rsidP="00696BA7">
      <w:pPr>
        <w:numPr>
          <w:ilvl w:val="1"/>
          <w:numId w:val="5"/>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(a) las minas, canteras e industrias extractivas de cualquier clase;</w:t>
      </w:r>
    </w:p>
    <w:p w:rsidR="00696BA7" w:rsidRPr="00696BA7" w:rsidRDefault="00696BA7" w:rsidP="00696BA7">
      <w:pPr>
        <w:numPr>
          <w:ilvl w:val="1"/>
          <w:numId w:val="5"/>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(b) las industrias en las cuales se manufacturen, modifiquen, limpien, reparen, adornen, terminen o preparen productos para la venta, o en las cuales las materias sufran una transformación, comprendida la construcción de buques, las industrias de demolición y la producción, transformación y transmisión de electricidad o de cualquier clase de fuerza motriz;</w:t>
      </w:r>
    </w:p>
    <w:p w:rsidR="00696BA7" w:rsidRPr="00696BA7" w:rsidRDefault="00696BA7" w:rsidP="00696BA7">
      <w:pPr>
        <w:numPr>
          <w:ilvl w:val="1"/>
          <w:numId w:val="5"/>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lastRenderedPageBreak/>
        <w:t>(c) la construcción, reconstrucción, conservación, reparación, modificación o demolición de edificios y construcciones de todas clases, los ferrocarriles, tranvías, puertos, muelles, canales, instalaciones para la navegación interior, caminos, túneles, puentes, viaductos, cloacas colectoras, cloacas ordinarias, pozos, instalaciones telegráficas o telefónicas, instalaciones eléctricas, fábricas de gas, distribución de agua u otros trabajos de construcción, así como las obras de preparación y cimentación que preceden a los trabajos antes mencionados;</w:t>
      </w:r>
    </w:p>
    <w:p w:rsidR="00696BA7" w:rsidRPr="00696BA7" w:rsidRDefault="00696BA7" w:rsidP="00696BA7">
      <w:pPr>
        <w:numPr>
          <w:ilvl w:val="1"/>
          <w:numId w:val="5"/>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(d) el transporte de personas o mercancías por carretera o ferrocarril, comprendida la manipulación de mercancías en los muelles, embarcaderos y almacenes, con excepción del transporte a mano.</w:t>
      </w:r>
    </w:p>
    <w:p w:rsidR="00696BA7" w:rsidRPr="00696BA7" w:rsidRDefault="00696BA7" w:rsidP="00696BA7">
      <w:pPr>
        <w:numPr>
          <w:ilvl w:val="0"/>
          <w:numId w:val="5"/>
        </w:numPr>
        <w:shd w:val="clear" w:color="auto" w:fill="FFFFFF"/>
        <w:spacing w:after="144" w:line="408" w:lineRule="atLeast"/>
        <w:ind w:left="0"/>
        <w:rPr>
          <w:rFonts w:ascii="Georgia" w:eastAsia="Times New Roman" w:hAnsi="Georgia" w:cs="Arial"/>
          <w:color w:val="333333"/>
          <w:sz w:val="18"/>
          <w:szCs w:val="18"/>
          <w:lang w:eastAsia="es-MX"/>
        </w:rPr>
      </w:pPr>
      <w:bookmarkStart w:id="2" w:name="A1P2"/>
      <w:bookmarkEnd w:id="2"/>
      <w:r w:rsidRPr="00696BA7">
        <w:rPr>
          <w:rFonts w:ascii="Georgia" w:eastAsia="Times New Roman" w:hAnsi="Georgia" w:cs="Arial"/>
          <w:color w:val="333333"/>
          <w:sz w:val="18"/>
          <w:szCs w:val="18"/>
          <w:lang w:eastAsia="es-MX"/>
        </w:rPr>
        <w:t>2. La autoridad competente determinará, en cada país, la línea de demarcación entre la industria, por una parte, y el comercio y la agricultura, por otra.</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 w:name="A2"/>
      <w:bookmarkEnd w:id="3"/>
      <w:r w:rsidRPr="00696BA7">
        <w:rPr>
          <w:rFonts w:ascii="Georgia" w:eastAsia="Times New Roman" w:hAnsi="Georgia" w:cs="Arial"/>
          <w:b/>
          <w:bCs/>
          <w:i/>
          <w:iCs/>
          <w:color w:val="333333"/>
          <w:sz w:val="21"/>
          <w:szCs w:val="21"/>
          <w:lang w:eastAsia="es-MX"/>
        </w:rPr>
        <w:t>Artículo 2</w:t>
      </w:r>
    </w:p>
    <w:p w:rsidR="00696BA7" w:rsidRPr="00696BA7" w:rsidRDefault="00696BA7" w:rsidP="00696BA7">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4" w:name="A2P1"/>
      <w:bookmarkEnd w:id="4"/>
      <w:r w:rsidRPr="00696BA7">
        <w:rPr>
          <w:rFonts w:ascii="Georgia" w:eastAsia="Times New Roman" w:hAnsi="Georgia" w:cs="Arial"/>
          <w:color w:val="333333"/>
          <w:sz w:val="18"/>
          <w:szCs w:val="18"/>
          <w:lang w:eastAsia="es-MX"/>
        </w:rPr>
        <w:t>1. Queda prohibido emplear durante la noche a personas menores de dieciocho años en empresas industriales, públicas o privadas, o en sus dependencias, con excepción de aquellas en que únicamente estén empleados los miembros de una misma familia, salvo en los casos previstos a continuación.</w:t>
      </w:r>
    </w:p>
    <w:p w:rsidR="00696BA7" w:rsidRPr="00696BA7" w:rsidRDefault="00696BA7" w:rsidP="00696BA7">
      <w:pPr>
        <w:numPr>
          <w:ilvl w:val="0"/>
          <w:numId w:val="6"/>
        </w:numPr>
        <w:shd w:val="clear" w:color="auto" w:fill="FFFFFF"/>
        <w:spacing w:after="144" w:line="408" w:lineRule="atLeast"/>
        <w:ind w:left="0"/>
        <w:rPr>
          <w:rFonts w:ascii="Georgia" w:eastAsia="Times New Roman" w:hAnsi="Georgia" w:cs="Arial"/>
          <w:color w:val="333333"/>
          <w:sz w:val="18"/>
          <w:szCs w:val="18"/>
          <w:lang w:eastAsia="es-MX"/>
        </w:rPr>
      </w:pPr>
      <w:bookmarkStart w:id="5" w:name="A2P2"/>
      <w:bookmarkEnd w:id="5"/>
      <w:r w:rsidRPr="00696BA7">
        <w:rPr>
          <w:rFonts w:ascii="Georgia" w:eastAsia="Times New Roman" w:hAnsi="Georgia" w:cs="Arial"/>
          <w:color w:val="333333"/>
          <w:sz w:val="18"/>
          <w:szCs w:val="18"/>
          <w:lang w:eastAsia="es-MX"/>
        </w:rPr>
        <w:t>2. La prohibición del trabajo nocturno no se aplicará a las personas mayores de dieciséis años empleadas en las industrias mencionadas a continuación en trabajos que, por razón de su naturaleza, deban necesariamente continuarse día y noche:</w:t>
      </w:r>
    </w:p>
    <w:p w:rsidR="00696BA7" w:rsidRPr="00696BA7" w:rsidRDefault="00696BA7" w:rsidP="00696BA7">
      <w:pPr>
        <w:numPr>
          <w:ilvl w:val="1"/>
          <w:numId w:val="6"/>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(a) fábricas de hierro y acero; trabajos en que se empleen hornos de reverbero o de regeneración y galvanización del palastro y del alambre (con excepción de los talleres de desoxidación);</w:t>
      </w:r>
    </w:p>
    <w:p w:rsidR="00696BA7" w:rsidRPr="00696BA7" w:rsidRDefault="00696BA7" w:rsidP="00696BA7">
      <w:pPr>
        <w:numPr>
          <w:ilvl w:val="1"/>
          <w:numId w:val="6"/>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(b) fábricas de vidrio;</w:t>
      </w:r>
    </w:p>
    <w:p w:rsidR="00696BA7" w:rsidRPr="00696BA7" w:rsidRDefault="00696BA7" w:rsidP="00696BA7">
      <w:pPr>
        <w:numPr>
          <w:ilvl w:val="1"/>
          <w:numId w:val="6"/>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(c) fábricas de papel;</w:t>
      </w:r>
    </w:p>
    <w:p w:rsidR="00696BA7" w:rsidRPr="00696BA7" w:rsidRDefault="00696BA7" w:rsidP="00696BA7">
      <w:pPr>
        <w:numPr>
          <w:ilvl w:val="1"/>
          <w:numId w:val="6"/>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(d) ingenios en los que se trata el azúcar en bruto;</w:t>
      </w:r>
    </w:p>
    <w:p w:rsidR="00696BA7" w:rsidRPr="00696BA7" w:rsidRDefault="00696BA7" w:rsidP="00696BA7">
      <w:pPr>
        <w:numPr>
          <w:ilvl w:val="1"/>
          <w:numId w:val="6"/>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(e) reducción del mineral de oro.</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3"/>
      <w:bookmarkEnd w:id="6"/>
      <w:r w:rsidRPr="00696BA7">
        <w:rPr>
          <w:rFonts w:ascii="Georgia" w:eastAsia="Times New Roman" w:hAnsi="Georgia" w:cs="Arial"/>
          <w:b/>
          <w:bCs/>
          <w:i/>
          <w:iCs/>
          <w:color w:val="333333"/>
          <w:sz w:val="21"/>
          <w:szCs w:val="21"/>
          <w:lang w:eastAsia="es-MX"/>
        </w:rPr>
        <w:t>Artículo 3</w:t>
      </w:r>
    </w:p>
    <w:p w:rsidR="00696BA7" w:rsidRPr="00696BA7" w:rsidRDefault="00696BA7" w:rsidP="00696BA7">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7" w:name="A3P1"/>
      <w:bookmarkEnd w:id="7"/>
      <w:r w:rsidRPr="00696BA7">
        <w:rPr>
          <w:rFonts w:ascii="Georgia" w:eastAsia="Times New Roman" w:hAnsi="Georgia" w:cs="Arial"/>
          <w:color w:val="333333"/>
          <w:sz w:val="18"/>
          <w:szCs w:val="18"/>
          <w:lang w:eastAsia="es-MX"/>
        </w:rPr>
        <w:t>1. A los efectos del presente Convenio, el término </w:t>
      </w:r>
      <w:r w:rsidRPr="00696BA7">
        <w:rPr>
          <w:rFonts w:ascii="Georgia" w:eastAsia="Times New Roman" w:hAnsi="Georgia" w:cs="Arial"/>
          <w:b/>
          <w:bCs/>
          <w:i/>
          <w:iCs/>
          <w:color w:val="333333"/>
          <w:sz w:val="18"/>
          <w:szCs w:val="18"/>
          <w:lang w:eastAsia="es-MX"/>
        </w:rPr>
        <w:t>noche</w:t>
      </w:r>
      <w:r w:rsidRPr="00696BA7">
        <w:rPr>
          <w:rFonts w:ascii="Georgia" w:eastAsia="Times New Roman" w:hAnsi="Georgia" w:cs="Arial"/>
          <w:color w:val="333333"/>
          <w:sz w:val="18"/>
          <w:szCs w:val="18"/>
          <w:lang w:eastAsia="es-MX"/>
        </w:rPr>
        <w:t> significa un período de once horas consecutivas, por lo menos, que comprenderá el intervalo que media entre las 10 de la noche y las 5 de la mañana.</w:t>
      </w:r>
    </w:p>
    <w:p w:rsidR="00696BA7" w:rsidRPr="00696BA7" w:rsidRDefault="00696BA7" w:rsidP="00696BA7">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8" w:name="A3P2"/>
      <w:bookmarkEnd w:id="8"/>
      <w:r w:rsidRPr="00696BA7">
        <w:rPr>
          <w:rFonts w:ascii="Georgia" w:eastAsia="Times New Roman" w:hAnsi="Georgia" w:cs="Arial"/>
          <w:color w:val="333333"/>
          <w:sz w:val="18"/>
          <w:szCs w:val="18"/>
          <w:lang w:eastAsia="es-MX"/>
        </w:rPr>
        <w:lastRenderedPageBreak/>
        <w:t>2. En las minas de carbón y de lignito podrá concederse una excepción en lo que concierne al período de descanso previsto en el párrafo anterior, cuando el intervalo entre los dos períodos de trabajo sea ordinariamente de quince horas, pero en ningún caso cuando dicho intervalo sea de menos de trece horas.</w:t>
      </w:r>
    </w:p>
    <w:p w:rsidR="00696BA7" w:rsidRPr="00696BA7" w:rsidRDefault="00696BA7" w:rsidP="00696BA7">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9" w:name="A3P3"/>
      <w:bookmarkEnd w:id="9"/>
      <w:r w:rsidRPr="00696BA7">
        <w:rPr>
          <w:rFonts w:ascii="Georgia" w:eastAsia="Times New Roman" w:hAnsi="Georgia" w:cs="Arial"/>
          <w:color w:val="333333"/>
          <w:sz w:val="18"/>
          <w:szCs w:val="18"/>
          <w:lang w:eastAsia="es-MX"/>
        </w:rPr>
        <w:t>3. Cuando la legislación del país prohiba a todos los trabajadores el trabajo nocturno en las panaderías, se podrá sustituir, en dicha industria, el período comprendido entre las 10 de la noche y las 5 de la mañana, por el período que media entre las 9 de la noche y las 4 de la mañana.</w:t>
      </w:r>
    </w:p>
    <w:p w:rsidR="00696BA7" w:rsidRPr="00696BA7" w:rsidRDefault="00696BA7" w:rsidP="00696BA7">
      <w:pPr>
        <w:numPr>
          <w:ilvl w:val="0"/>
          <w:numId w:val="7"/>
        </w:numPr>
        <w:shd w:val="clear" w:color="auto" w:fill="FFFFFF"/>
        <w:spacing w:after="144" w:line="408" w:lineRule="atLeast"/>
        <w:ind w:left="0"/>
        <w:rPr>
          <w:rFonts w:ascii="Georgia" w:eastAsia="Times New Roman" w:hAnsi="Georgia" w:cs="Arial"/>
          <w:color w:val="333333"/>
          <w:sz w:val="18"/>
          <w:szCs w:val="18"/>
          <w:lang w:eastAsia="es-MX"/>
        </w:rPr>
      </w:pPr>
      <w:bookmarkStart w:id="10" w:name="A3P4"/>
      <w:bookmarkEnd w:id="10"/>
      <w:r w:rsidRPr="00696BA7">
        <w:rPr>
          <w:rFonts w:ascii="Georgia" w:eastAsia="Times New Roman" w:hAnsi="Georgia" w:cs="Arial"/>
          <w:color w:val="333333"/>
          <w:sz w:val="18"/>
          <w:szCs w:val="18"/>
          <w:lang w:eastAsia="es-MX"/>
        </w:rPr>
        <w:t>4. En los países tropicales, donde el trabajo se suspende durante cierto tiempo en medio de la jornada, el período de descanso nocturno podrá ser inferior a once horas, a condición de que durante el día se conceda un descanso compensador.</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4"/>
      <w:bookmarkEnd w:id="11"/>
      <w:r w:rsidRPr="00696BA7">
        <w:rPr>
          <w:rFonts w:ascii="Georgia" w:eastAsia="Times New Roman" w:hAnsi="Georgia" w:cs="Arial"/>
          <w:b/>
          <w:bCs/>
          <w:i/>
          <w:iCs/>
          <w:color w:val="333333"/>
          <w:sz w:val="21"/>
          <w:szCs w:val="21"/>
          <w:lang w:eastAsia="es-MX"/>
        </w:rPr>
        <w:t>Artículo 4</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Las disposiciones de los artículos 2 y 3 no se aplicarán al trabajo nocturno de los menores que tengan de dieciséis a dieciocho años, en caso de fuerza mayor, que no pueda preverse ni impedirse, que no presente un carácter periódico, y que constituya un obstáculo al funcionamiento normal de una empresa industrial.</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2" w:name="A5"/>
      <w:bookmarkEnd w:id="12"/>
      <w:r w:rsidRPr="00696BA7">
        <w:rPr>
          <w:rFonts w:ascii="Georgia" w:eastAsia="Times New Roman" w:hAnsi="Georgia" w:cs="Arial"/>
          <w:b/>
          <w:bCs/>
          <w:i/>
          <w:iCs/>
          <w:color w:val="333333"/>
          <w:sz w:val="21"/>
          <w:szCs w:val="21"/>
          <w:lang w:eastAsia="es-MX"/>
        </w:rPr>
        <w:t>Artículo 5</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En lo que concierne a la aplicación del presente Convenio al Japón, hasta el 1.8 de julio de 1925 el artículo 2 sólo se aplicará a los jóvenes menores de quince años, y, a partir de esa fecha, a los menores de dieciséis años.</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3" w:name="A6"/>
      <w:bookmarkEnd w:id="13"/>
      <w:r w:rsidRPr="00696BA7">
        <w:rPr>
          <w:rFonts w:ascii="Georgia" w:eastAsia="Times New Roman" w:hAnsi="Georgia" w:cs="Arial"/>
          <w:b/>
          <w:bCs/>
          <w:i/>
          <w:iCs/>
          <w:color w:val="333333"/>
          <w:sz w:val="21"/>
          <w:szCs w:val="21"/>
          <w:lang w:eastAsia="es-MX"/>
        </w:rPr>
        <w:t>Artículo 6</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En lo que concierne a la aplicación del presente Convenio a la India, la expresión empresa industrial comprenderá únicamente las fábricas tal como las define la ley de fábricas de la India (Indian Factory Act), y el artículo 2 no se aplicará a los menores de sexo masculino mayores de catorce años.</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4" w:name="A7"/>
      <w:bookmarkEnd w:id="14"/>
      <w:r w:rsidRPr="00696BA7">
        <w:rPr>
          <w:rFonts w:ascii="Georgia" w:eastAsia="Times New Roman" w:hAnsi="Georgia" w:cs="Arial"/>
          <w:b/>
          <w:bCs/>
          <w:i/>
          <w:iCs/>
          <w:color w:val="333333"/>
          <w:sz w:val="21"/>
          <w:szCs w:val="21"/>
          <w:lang w:eastAsia="es-MX"/>
        </w:rPr>
        <w:t>Artículo 7</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La autoridad competente podrá suspender la prohibición del trabajo nocturno, en lo que respecta a los menores que tengan de dieciséis a dieciocho años de edad, en los casos particularmente graves en los que el interés nacional así lo exija.</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5" w:name="A8"/>
      <w:bookmarkEnd w:id="15"/>
      <w:r w:rsidRPr="00696BA7">
        <w:rPr>
          <w:rFonts w:ascii="Georgia" w:eastAsia="Times New Roman" w:hAnsi="Georgia" w:cs="Arial"/>
          <w:b/>
          <w:bCs/>
          <w:i/>
          <w:iCs/>
          <w:color w:val="333333"/>
          <w:sz w:val="21"/>
          <w:szCs w:val="21"/>
          <w:lang w:eastAsia="es-MX"/>
        </w:rPr>
        <w:t>Artículo 8</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lastRenderedPageBreak/>
        <w:t>Las ratificaciones formales del presente Convenio, de acuerdo con las condiciones establecidas por la Constitución de la Organización Internacional del Trabajo, serán comunicadas, para su registro, al Director General de la Oficina Internacional del Trabajo.</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6" w:name="A9"/>
      <w:bookmarkEnd w:id="16"/>
      <w:r w:rsidRPr="00696BA7">
        <w:rPr>
          <w:rFonts w:ascii="Georgia" w:eastAsia="Times New Roman" w:hAnsi="Georgia" w:cs="Arial"/>
          <w:b/>
          <w:bCs/>
          <w:i/>
          <w:iCs/>
          <w:color w:val="333333"/>
          <w:sz w:val="21"/>
          <w:szCs w:val="21"/>
          <w:lang w:eastAsia="es-MX"/>
        </w:rPr>
        <w:t>Artículo 9</w:t>
      </w:r>
    </w:p>
    <w:p w:rsidR="00696BA7" w:rsidRPr="00696BA7" w:rsidRDefault="00696BA7" w:rsidP="00696BA7">
      <w:pPr>
        <w:numPr>
          <w:ilvl w:val="0"/>
          <w:numId w:val="8"/>
        </w:numPr>
        <w:shd w:val="clear" w:color="auto" w:fill="FFFFFF"/>
        <w:spacing w:after="144" w:line="408" w:lineRule="atLeast"/>
        <w:ind w:left="0"/>
        <w:rPr>
          <w:rFonts w:ascii="Georgia" w:eastAsia="Times New Roman" w:hAnsi="Georgia" w:cs="Arial"/>
          <w:color w:val="333333"/>
          <w:sz w:val="18"/>
          <w:szCs w:val="18"/>
          <w:lang w:eastAsia="es-MX"/>
        </w:rPr>
      </w:pPr>
      <w:bookmarkStart w:id="17" w:name="A9P1"/>
      <w:bookmarkEnd w:id="17"/>
      <w:r w:rsidRPr="00696BA7">
        <w:rPr>
          <w:rFonts w:ascii="Georgia" w:eastAsia="Times New Roman" w:hAnsi="Georgia" w:cs="Arial"/>
          <w:color w:val="333333"/>
          <w:sz w:val="18"/>
          <w:szCs w:val="18"/>
          <w:lang w:eastAsia="es-MX"/>
        </w:rPr>
        <w:t>1. Todo Miembro de la Organización Internacional del Trabajo que ratifique el presente Convenio se obliga a aplicarlo en aquellas de sus colonias o posesiones, o en aquellos de sus protectorados que no se gobiernen plenamente por sí mismos, a reserva de:</w:t>
      </w:r>
    </w:p>
    <w:p w:rsidR="00696BA7" w:rsidRPr="00696BA7" w:rsidRDefault="00696BA7" w:rsidP="00696BA7">
      <w:pPr>
        <w:numPr>
          <w:ilvl w:val="1"/>
          <w:numId w:val="8"/>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(a) que las condiciones locales imposibiliten la aplicación de las disposiciones del Convenio;</w:t>
      </w:r>
    </w:p>
    <w:p w:rsidR="00696BA7" w:rsidRPr="00696BA7" w:rsidRDefault="00696BA7" w:rsidP="00696BA7">
      <w:pPr>
        <w:numPr>
          <w:ilvl w:val="1"/>
          <w:numId w:val="8"/>
        </w:numPr>
        <w:shd w:val="clear" w:color="auto" w:fill="FFFFFF"/>
        <w:spacing w:after="144" w:line="408" w:lineRule="atLeast"/>
        <w:ind w:left="480"/>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(b) que puedan introducirse en el Convenio las modificaciones necesarias para su adaptación a las condiciones locales.</w:t>
      </w:r>
    </w:p>
    <w:p w:rsidR="00696BA7" w:rsidRPr="00696BA7" w:rsidRDefault="00696BA7" w:rsidP="00696BA7">
      <w:pPr>
        <w:numPr>
          <w:ilvl w:val="0"/>
          <w:numId w:val="8"/>
        </w:numPr>
        <w:shd w:val="clear" w:color="auto" w:fill="FFFFFF"/>
        <w:spacing w:after="144" w:line="408" w:lineRule="atLeast"/>
        <w:ind w:left="0"/>
        <w:rPr>
          <w:rFonts w:ascii="Georgia" w:eastAsia="Times New Roman" w:hAnsi="Georgia" w:cs="Arial"/>
          <w:color w:val="333333"/>
          <w:sz w:val="18"/>
          <w:szCs w:val="18"/>
          <w:lang w:eastAsia="es-MX"/>
        </w:rPr>
      </w:pPr>
      <w:bookmarkStart w:id="18" w:name="A9P2"/>
      <w:bookmarkEnd w:id="18"/>
      <w:r w:rsidRPr="00696BA7">
        <w:rPr>
          <w:rFonts w:ascii="Georgia" w:eastAsia="Times New Roman" w:hAnsi="Georgia" w:cs="Arial"/>
          <w:color w:val="333333"/>
          <w:sz w:val="18"/>
          <w:szCs w:val="18"/>
          <w:lang w:eastAsia="es-MX"/>
        </w:rPr>
        <w:t>2. Cada Miembro deberá notificar a la Oficina Internacional del Trabajo su decisión, en lo que concierne a cada una de sus colonias o posesiones, o a cada uno de sus protectorados que no se gobiernen plenamente por sí mismos.</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9" w:name="A10"/>
      <w:bookmarkEnd w:id="19"/>
      <w:r w:rsidRPr="00696BA7">
        <w:rPr>
          <w:rFonts w:ascii="Georgia" w:eastAsia="Times New Roman" w:hAnsi="Georgia" w:cs="Arial"/>
          <w:b/>
          <w:bCs/>
          <w:i/>
          <w:iCs/>
          <w:color w:val="333333"/>
          <w:sz w:val="21"/>
          <w:szCs w:val="21"/>
          <w:lang w:eastAsia="es-MX"/>
        </w:rPr>
        <w:t>Artículo 10</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Tan pronto como las ratificaciones de dos Miembros de la Organización Internacional del Trabajo hayan sido registradas en la Oficina Internacional del Trabajo, el Director General de la Oficina notificará el hecho a todos los Miembros de la Organización Internacional del Trabajo.</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0" w:name="A11"/>
      <w:bookmarkEnd w:id="20"/>
      <w:r w:rsidRPr="00696BA7">
        <w:rPr>
          <w:rFonts w:ascii="Georgia" w:eastAsia="Times New Roman" w:hAnsi="Georgia" w:cs="Arial"/>
          <w:b/>
          <w:bCs/>
          <w:i/>
          <w:iCs/>
          <w:color w:val="333333"/>
          <w:sz w:val="21"/>
          <w:szCs w:val="21"/>
          <w:lang w:eastAsia="es-MX"/>
        </w:rPr>
        <w:t>Artículo 11</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Este Convenio entrará en vigor en la fecha en que el Director General de la Oficina Internacional del Trabajo haya efectuado dicha notificación, y sólo obligará a los Miembros que hayan registrado su ratificación en la Oficina Internacional del Trabajo. Desde dicho momento, este Convenio entrará en vigor, para cualquier otro Miembro, en la fecha en que haya sido registrada su ratificación en la Oficina Internacional del Trabajo.</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1" w:name="A12"/>
      <w:bookmarkEnd w:id="21"/>
      <w:r w:rsidRPr="00696BA7">
        <w:rPr>
          <w:rFonts w:ascii="Georgia" w:eastAsia="Times New Roman" w:hAnsi="Georgia" w:cs="Arial"/>
          <w:b/>
          <w:bCs/>
          <w:i/>
          <w:iCs/>
          <w:color w:val="333333"/>
          <w:sz w:val="21"/>
          <w:szCs w:val="21"/>
          <w:lang w:eastAsia="es-MX"/>
        </w:rPr>
        <w:t>Artículo 12</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Todo Miembro que ratifique el presente Convenio se obliga a aplicar sus disposiciones a más tardar el 1 de julio de 1922, y a tomar las medidas necesarias para el cumplimiento de dichas disposiciones.</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2" w:name="A13"/>
      <w:bookmarkEnd w:id="22"/>
      <w:r w:rsidRPr="00696BA7">
        <w:rPr>
          <w:rFonts w:ascii="Georgia" w:eastAsia="Times New Roman" w:hAnsi="Georgia" w:cs="Arial"/>
          <w:b/>
          <w:bCs/>
          <w:i/>
          <w:iCs/>
          <w:color w:val="333333"/>
          <w:sz w:val="21"/>
          <w:szCs w:val="21"/>
          <w:lang w:eastAsia="es-MX"/>
        </w:rPr>
        <w:t>Artículo 13</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lastRenderedPageBreak/>
        <w:t>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3" w:name="A14"/>
      <w:bookmarkEnd w:id="23"/>
      <w:r w:rsidRPr="00696BA7">
        <w:rPr>
          <w:rFonts w:ascii="Georgia" w:eastAsia="Times New Roman" w:hAnsi="Georgia" w:cs="Arial"/>
          <w:b/>
          <w:bCs/>
          <w:i/>
          <w:iCs/>
          <w:color w:val="333333"/>
          <w:sz w:val="21"/>
          <w:szCs w:val="21"/>
          <w:lang w:eastAsia="es-MX"/>
        </w:rPr>
        <w:t>Artículo 14</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Por los menos una vez cada diez años,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o modificación del mismo.</w:t>
      </w:r>
    </w:p>
    <w:p w:rsidR="00696BA7" w:rsidRPr="00696BA7" w:rsidRDefault="00696BA7" w:rsidP="00696BA7">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4" w:name="A15"/>
      <w:bookmarkEnd w:id="24"/>
      <w:r w:rsidRPr="00696BA7">
        <w:rPr>
          <w:rFonts w:ascii="Georgia" w:eastAsia="Times New Roman" w:hAnsi="Georgia" w:cs="Arial"/>
          <w:b/>
          <w:bCs/>
          <w:i/>
          <w:iCs/>
          <w:color w:val="333333"/>
          <w:sz w:val="21"/>
          <w:szCs w:val="21"/>
          <w:lang w:eastAsia="es-MX"/>
        </w:rPr>
        <w:t>Artículo 15</w:t>
      </w:r>
    </w:p>
    <w:p w:rsidR="00696BA7" w:rsidRPr="00696BA7" w:rsidRDefault="00696BA7" w:rsidP="00696BA7">
      <w:pPr>
        <w:shd w:val="clear" w:color="auto" w:fill="FFFFFF"/>
        <w:spacing w:after="240" w:line="408" w:lineRule="atLeast"/>
        <w:rPr>
          <w:rFonts w:ascii="Georgia" w:eastAsia="Times New Roman" w:hAnsi="Georgia" w:cs="Arial"/>
          <w:color w:val="333333"/>
          <w:sz w:val="18"/>
          <w:szCs w:val="18"/>
          <w:lang w:eastAsia="es-MX"/>
        </w:rPr>
      </w:pPr>
      <w:r w:rsidRPr="00696BA7">
        <w:rPr>
          <w:rFonts w:ascii="Georgia" w:eastAsia="Times New Roman" w:hAnsi="Georgia" w:cs="Arial"/>
          <w:color w:val="333333"/>
          <w:sz w:val="18"/>
          <w:szCs w:val="18"/>
          <w:lang w:eastAsia="es-MX"/>
        </w:rPr>
        <w:t>Las versiones inglesa y francesa del texto de este Convenio son igualmente auténticas.</w:t>
      </w:r>
    </w:p>
    <w:p w:rsidR="00DB174F" w:rsidRDefault="00DB174F">
      <w:bookmarkStart w:id="25" w:name="_GoBack"/>
      <w:bookmarkEnd w:id="25"/>
    </w:p>
    <w:sectPr w:rsidR="00DB17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70AF"/>
    <w:multiLevelType w:val="multilevel"/>
    <w:tmpl w:val="69C89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92E00"/>
    <w:multiLevelType w:val="multilevel"/>
    <w:tmpl w:val="E7DA18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30E45"/>
    <w:multiLevelType w:val="multilevel"/>
    <w:tmpl w:val="6290CD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647E0"/>
    <w:multiLevelType w:val="multilevel"/>
    <w:tmpl w:val="4AC49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F7F3A"/>
    <w:multiLevelType w:val="multilevel"/>
    <w:tmpl w:val="452871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575E9"/>
    <w:multiLevelType w:val="multilevel"/>
    <w:tmpl w:val="84D439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44F63"/>
    <w:multiLevelType w:val="multilevel"/>
    <w:tmpl w:val="B2BAFE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42A98"/>
    <w:multiLevelType w:val="multilevel"/>
    <w:tmpl w:val="AB3A54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6"/>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A7"/>
    <w:rsid w:val="00696BA7"/>
    <w:rsid w:val="00DB17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278C"/>
  <w15:chartTrackingRefBased/>
  <w15:docId w15:val="{C5AE600E-30D0-491A-A223-EBB0BF33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96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96BA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696BA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696BA7"/>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BA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96BA7"/>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696BA7"/>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696BA7"/>
    <w:rPr>
      <w:rFonts w:ascii="Times New Roman" w:eastAsia="Times New Roman" w:hAnsi="Times New Roman" w:cs="Times New Roman"/>
      <w:b/>
      <w:bCs/>
      <w:sz w:val="20"/>
      <w:szCs w:val="20"/>
      <w:lang w:eastAsia="es-MX"/>
    </w:rPr>
  </w:style>
  <w:style w:type="paragraph" w:customStyle="1" w:styleId="borderbottom">
    <w:name w:val="borderbottom"/>
    <w:basedOn w:val="Normal"/>
    <w:rsid w:val="00696B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96BA7"/>
    <w:rPr>
      <w:color w:val="0000FF"/>
      <w:u w:val="single"/>
    </w:rPr>
  </w:style>
  <w:style w:type="paragraph" w:customStyle="1" w:styleId="bordertop">
    <w:name w:val="bordertop"/>
    <w:basedOn w:val="Normal"/>
    <w:rsid w:val="00696B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96BA7"/>
    <w:rPr>
      <w:b/>
      <w:bCs/>
    </w:rPr>
  </w:style>
  <w:style w:type="paragraph" w:styleId="NormalWeb">
    <w:name w:val="Normal (Web)"/>
    <w:basedOn w:val="Normal"/>
    <w:uiPriority w:val="99"/>
    <w:semiHidden/>
    <w:unhideWhenUsed/>
    <w:rsid w:val="00696BA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78474">
      <w:bodyDiv w:val="1"/>
      <w:marLeft w:val="0"/>
      <w:marRight w:val="0"/>
      <w:marTop w:val="0"/>
      <w:marBottom w:val="0"/>
      <w:divBdr>
        <w:top w:val="none" w:sz="0" w:space="0" w:color="auto"/>
        <w:left w:val="none" w:sz="0" w:space="0" w:color="auto"/>
        <w:bottom w:val="none" w:sz="0" w:space="0" w:color="auto"/>
        <w:right w:val="none" w:sz="0" w:space="0" w:color="auto"/>
      </w:divBdr>
      <w:divsChild>
        <w:div w:id="127095700">
          <w:marLeft w:val="0"/>
          <w:marRight w:val="0"/>
          <w:marTop w:val="0"/>
          <w:marBottom w:val="225"/>
          <w:divBdr>
            <w:top w:val="none" w:sz="0" w:space="0" w:color="auto"/>
            <w:left w:val="none" w:sz="0" w:space="0" w:color="auto"/>
            <w:bottom w:val="none" w:sz="0" w:space="0" w:color="auto"/>
            <w:right w:val="none" w:sz="0" w:space="0" w:color="auto"/>
          </w:divBdr>
        </w:div>
        <w:div w:id="1316375618">
          <w:marLeft w:val="0"/>
          <w:marRight w:val="0"/>
          <w:marTop w:val="0"/>
          <w:marBottom w:val="0"/>
          <w:divBdr>
            <w:top w:val="none" w:sz="0" w:space="0" w:color="auto"/>
            <w:left w:val="none" w:sz="0" w:space="0" w:color="auto"/>
            <w:bottom w:val="none" w:sz="0" w:space="0" w:color="auto"/>
            <w:right w:val="none" w:sz="0" w:space="0" w:color="auto"/>
          </w:divBdr>
          <w:divsChild>
            <w:div w:id="340359659">
              <w:marLeft w:val="0"/>
              <w:marRight w:val="0"/>
              <w:marTop w:val="0"/>
              <w:marBottom w:val="0"/>
              <w:divBdr>
                <w:top w:val="none" w:sz="0" w:space="0" w:color="auto"/>
                <w:left w:val="none" w:sz="0" w:space="0" w:color="auto"/>
                <w:bottom w:val="none" w:sz="0" w:space="0" w:color="auto"/>
                <w:right w:val="none" w:sz="0" w:space="0" w:color="auto"/>
              </w:divBdr>
              <w:divsChild>
                <w:div w:id="2064521759">
                  <w:marLeft w:val="0"/>
                  <w:marRight w:val="0"/>
                  <w:marTop w:val="0"/>
                  <w:marBottom w:val="0"/>
                  <w:divBdr>
                    <w:top w:val="none" w:sz="0" w:space="0" w:color="auto"/>
                    <w:left w:val="none" w:sz="0" w:space="0" w:color="auto"/>
                    <w:bottom w:val="none" w:sz="0" w:space="0" w:color="auto"/>
                    <w:right w:val="none" w:sz="0" w:space="0" w:color="auto"/>
                  </w:divBdr>
                  <w:divsChild>
                    <w:div w:id="1888757851">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861699497">
      <w:bodyDiv w:val="1"/>
      <w:marLeft w:val="0"/>
      <w:marRight w:val="0"/>
      <w:marTop w:val="0"/>
      <w:marBottom w:val="0"/>
      <w:divBdr>
        <w:top w:val="none" w:sz="0" w:space="0" w:color="auto"/>
        <w:left w:val="none" w:sz="0" w:space="0" w:color="auto"/>
        <w:bottom w:val="none" w:sz="0" w:space="0" w:color="auto"/>
        <w:right w:val="none" w:sz="0" w:space="0" w:color="auto"/>
      </w:divBdr>
      <w:divsChild>
        <w:div w:id="1439444160">
          <w:marLeft w:val="0"/>
          <w:marRight w:val="0"/>
          <w:marTop w:val="0"/>
          <w:marBottom w:val="225"/>
          <w:divBdr>
            <w:top w:val="none" w:sz="0" w:space="0" w:color="auto"/>
            <w:left w:val="none" w:sz="0" w:space="0" w:color="auto"/>
            <w:bottom w:val="none" w:sz="0" w:space="0" w:color="auto"/>
            <w:right w:val="none" w:sz="0" w:space="0" w:color="auto"/>
          </w:divBdr>
        </w:div>
        <w:div w:id="1905144545">
          <w:marLeft w:val="0"/>
          <w:marRight w:val="0"/>
          <w:marTop w:val="0"/>
          <w:marBottom w:val="0"/>
          <w:divBdr>
            <w:top w:val="none" w:sz="0" w:space="0" w:color="auto"/>
            <w:left w:val="none" w:sz="0" w:space="0" w:color="auto"/>
            <w:bottom w:val="none" w:sz="0" w:space="0" w:color="auto"/>
            <w:right w:val="none" w:sz="0" w:space="0" w:color="auto"/>
          </w:divBdr>
          <w:divsChild>
            <w:div w:id="121121242">
              <w:marLeft w:val="0"/>
              <w:marRight w:val="0"/>
              <w:marTop w:val="0"/>
              <w:marBottom w:val="0"/>
              <w:divBdr>
                <w:top w:val="none" w:sz="0" w:space="0" w:color="auto"/>
                <w:left w:val="none" w:sz="0" w:space="0" w:color="auto"/>
                <w:bottom w:val="none" w:sz="0" w:space="0" w:color="auto"/>
                <w:right w:val="none" w:sz="0" w:space="0" w:color="auto"/>
              </w:divBdr>
              <w:divsChild>
                <w:div w:id="1319647357">
                  <w:marLeft w:val="0"/>
                  <w:marRight w:val="0"/>
                  <w:marTop w:val="0"/>
                  <w:marBottom w:val="0"/>
                  <w:divBdr>
                    <w:top w:val="none" w:sz="0" w:space="0" w:color="auto"/>
                    <w:left w:val="none" w:sz="0" w:space="0" w:color="auto"/>
                    <w:bottom w:val="none" w:sz="0" w:space="0" w:color="auto"/>
                    <w:right w:val="none" w:sz="0" w:space="0" w:color="auto"/>
                  </w:divBdr>
                  <w:divsChild>
                    <w:div w:id="162962914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 w:id="501118801">
                  <w:marLeft w:val="0"/>
                  <w:marRight w:val="0"/>
                  <w:marTop w:val="0"/>
                  <w:marBottom w:val="225"/>
                  <w:divBdr>
                    <w:top w:val="single" w:sz="6" w:space="0" w:color="CCCCCC"/>
                    <w:left w:val="single" w:sz="6" w:space="0" w:color="CCCCCC"/>
                    <w:bottom w:val="single" w:sz="6" w:space="0" w:color="CCCCCC"/>
                    <w:right w:val="single" w:sz="6" w:space="0" w:color="CCCCCC"/>
                  </w:divBdr>
                </w:div>
              </w:divsChild>
            </w:div>
            <w:div w:id="1842819041">
              <w:marLeft w:val="0"/>
              <w:marRight w:val="0"/>
              <w:marTop w:val="0"/>
              <w:marBottom w:val="0"/>
              <w:divBdr>
                <w:top w:val="none" w:sz="0" w:space="0" w:color="auto"/>
                <w:left w:val="none" w:sz="0" w:space="0" w:color="auto"/>
                <w:bottom w:val="none" w:sz="0" w:space="0" w:color="auto"/>
                <w:right w:val="none" w:sz="0" w:space="0" w:color="auto"/>
              </w:divBdr>
              <w:divsChild>
                <w:div w:id="1213536374">
                  <w:marLeft w:val="0"/>
                  <w:marRight w:val="0"/>
                  <w:marTop w:val="0"/>
                  <w:marBottom w:val="225"/>
                  <w:divBdr>
                    <w:top w:val="single" w:sz="6" w:space="0" w:color="CCCCCC"/>
                    <w:left w:val="single" w:sz="6" w:space="0" w:color="CCCCCC"/>
                    <w:bottom w:val="single" w:sz="6" w:space="0" w:color="CCCCCC"/>
                    <w:right w:val="single" w:sz="6" w:space="0" w:color="CCCCCC"/>
                  </w:divBdr>
                  <w:divsChild>
                    <w:div w:id="90036244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06_de.htm" TargetMode="External"/><Relationship Id="rId13" Type="http://schemas.openxmlformats.org/officeDocument/2006/relationships/hyperlink" Target="https://www.ilo.org/dyn/normlex/es/f?p=1000:12100:0::NO::P12100_INSTRUMENT_ID,P12100_LANG_CODE:312151,es:NO" TargetMode="External"/><Relationship Id="rId18" Type="http://schemas.openxmlformats.org/officeDocument/2006/relationships/hyperlink" Target="https://www.ilo.org/dyn/normlex/es/f?p=1000:12100:0::NO::P12100_INSTRUMENT_ID,P12100_LANG_CODE:312151,es:N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lo.org/dyn/normlex/es/f?p=1000:12100:0::NO::P12100_INSTRUMENT_ID,P12100_LANG_CODE:312151,es:NO" TargetMode="External"/><Relationship Id="rId7" Type="http://schemas.openxmlformats.org/officeDocument/2006/relationships/hyperlink" Target="http://www.ilo.org/wcmsp5/groups/public/---ed_norm/---normes/documents/normativeinstrument/wcms_c006_ar.pdf" TargetMode="External"/><Relationship Id="rId12" Type="http://schemas.openxmlformats.org/officeDocument/2006/relationships/hyperlink" Target="https://www.ilo.org/dyn/normlex/es/f?p=1000:12100:0::NO::P12100_INSTRUMENT_ID,P12100_LANG_CODE:312151,es:NO" TargetMode="External"/><Relationship Id="rId17" Type="http://schemas.openxmlformats.org/officeDocument/2006/relationships/hyperlink" Target="https://www.ilo.org/dyn/normlex/es/f?p=1000:12100:0::NO::P12100_INSTRUMENT_ID,P12100_LANG_CODE:312151,es:NO" TargetMode="External"/><Relationship Id="rId25" Type="http://schemas.openxmlformats.org/officeDocument/2006/relationships/hyperlink" Target="https://www.ilo.org/dyn/normlex/es/f?p=1000:12100:0::NO::P12100_INSTRUMENT_ID,P12100_LANG_CODE:312151,es:NO" TargetMode="External"/><Relationship Id="rId2" Type="http://schemas.openxmlformats.org/officeDocument/2006/relationships/styles" Target="styles.xml"/><Relationship Id="rId16" Type="http://schemas.openxmlformats.org/officeDocument/2006/relationships/hyperlink" Target="https://www.ilo.org/dyn/normlex/es/f?p=1000:12100:0::NO::P12100_INSTRUMENT_ID,P12100_LANG_CODE:312151,es:NO" TargetMode="External"/><Relationship Id="rId20" Type="http://schemas.openxmlformats.org/officeDocument/2006/relationships/hyperlink" Target="https://www.ilo.org/dyn/normlex/es/f?p=1000:12100:0::NO::P12100_INSTRUMENT_ID,P12100_LANG_CODE:312151,es:NO" TargetMode="Externa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51,fr:NO" TargetMode="External"/><Relationship Id="rId11" Type="http://schemas.openxmlformats.org/officeDocument/2006/relationships/hyperlink" Target="https://www.ilo.org/dyn/normlex/es/f?p=1000:12100:0::NO::P12100_INSTRUMENT_ID,P12100_LANG_CODE:312151,es:NO" TargetMode="External"/><Relationship Id="rId24" Type="http://schemas.openxmlformats.org/officeDocument/2006/relationships/hyperlink" Target="https://www.ilo.org/dyn/normlex/es/f?p=1000:12100:0::NO::P12100_INSTRUMENT_ID,P12100_LANG_CODE:312151,es:NO" TargetMode="External"/><Relationship Id="rId5" Type="http://schemas.openxmlformats.org/officeDocument/2006/relationships/hyperlink" Target="https://www.ilo.org/dyn/normlex/es/f?p=1000:12100:0::NO::P12100_INSTRUMENT_ID,P12100_LANG_CODE:312151,en:NO" TargetMode="External"/><Relationship Id="rId15" Type="http://schemas.openxmlformats.org/officeDocument/2006/relationships/hyperlink" Target="https://www.ilo.org/dyn/normlex/es/f?p=1000:12100:0::NO::P12100_INSTRUMENT_ID,P12100_LANG_CODE:312151,es:NO" TargetMode="External"/><Relationship Id="rId23" Type="http://schemas.openxmlformats.org/officeDocument/2006/relationships/hyperlink" Target="https://www.ilo.org/dyn/normlex/es/f?p=1000:12100:0::NO::P12100_INSTRUMENT_ID,P12100_LANG_CODE:312151,es:NO" TargetMode="External"/><Relationship Id="rId10" Type="http://schemas.openxmlformats.org/officeDocument/2006/relationships/hyperlink" Target="http://www.ilo.org/wcmsp5/groups/public/---ed_norm/---normes/documents/normativeinstrument/wcms_c006_ru.htm" TargetMode="External"/><Relationship Id="rId19" Type="http://schemas.openxmlformats.org/officeDocument/2006/relationships/hyperlink" Target="https://www.ilo.org/dyn/normlex/es/f?p=1000:12100:0::NO::P12100_INSTRUMENT_ID,P12100_LANG_CODE:312151,es:NO"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06_pt.pdf" TargetMode="External"/><Relationship Id="rId14" Type="http://schemas.openxmlformats.org/officeDocument/2006/relationships/hyperlink" Target="https://www.ilo.org/dyn/normlex/es/f?p=1000:12100:0::NO::P12100_INSTRUMENT_ID,P12100_LANG_CODE:312151,es:NO" TargetMode="External"/><Relationship Id="rId22" Type="http://schemas.openxmlformats.org/officeDocument/2006/relationships/hyperlink" Target="https://www.ilo.org/dyn/normlex/es/f?p=1000:12100:0::NO::P12100_INSTRUMENT_ID,P12100_LANG_CODE:312151,es:N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1700</Words>
  <Characters>9353</Characters>
  <Application>Microsoft Office Word</Application>
  <DocSecurity>0</DocSecurity>
  <Lines>77</Lines>
  <Paragraphs>22</Paragraphs>
  <ScaleCrop>false</ScaleCrop>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2023-01-13T19:42:00Z</dcterms:created>
  <dcterms:modified xsi:type="dcterms:W3CDTF">2023-01-13T19:46:00Z</dcterms:modified>
</cp:coreProperties>
</file>