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DB0" w:rsidRPr="002B7DB0" w:rsidRDefault="002B7DB0" w:rsidP="002B7DB0">
      <w:pPr>
        <w:shd w:val="clear" w:color="auto" w:fill="FFFFFF"/>
        <w:spacing w:after="30" w:line="288" w:lineRule="atLeast"/>
        <w:outlineLvl w:val="0"/>
        <w:rPr>
          <w:rFonts w:ascii="Georgia" w:eastAsia="Times New Roman" w:hAnsi="Georgia" w:cs="Arial"/>
          <w:b/>
          <w:bCs/>
          <w:color w:val="B92517"/>
          <w:spacing w:val="-5"/>
          <w:kern w:val="36"/>
          <w:sz w:val="58"/>
          <w:szCs w:val="58"/>
          <w:lang w:eastAsia="es-MX"/>
        </w:rPr>
      </w:pPr>
      <w:r w:rsidRPr="002B7DB0">
        <w:rPr>
          <w:rFonts w:ascii="Georgia" w:eastAsia="Times New Roman" w:hAnsi="Georgia" w:cs="Arial"/>
          <w:b/>
          <w:bCs/>
          <w:color w:val="B92517"/>
          <w:spacing w:val="-5"/>
          <w:kern w:val="36"/>
          <w:sz w:val="58"/>
          <w:szCs w:val="58"/>
          <w:lang w:eastAsia="es-MX"/>
        </w:rPr>
        <w:t>C007 - Convenio sobre la edad mínima (trabajo marítimo), 1920 (núm. 7)</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b/>
          <w:bCs/>
          <w:color w:val="333333"/>
          <w:sz w:val="18"/>
          <w:szCs w:val="18"/>
          <w:lang w:eastAsia="es-MX"/>
        </w:rPr>
        <w:t>Ir al artículo : </w:t>
      </w:r>
      <w:hyperlink r:id="rId5" w:anchor="A1" w:history="1">
        <w:r w:rsidRPr="002B7DB0">
          <w:rPr>
            <w:rFonts w:ascii="Georgia" w:eastAsia="Times New Roman" w:hAnsi="Georgia" w:cs="Arial"/>
            <w:color w:val="0644AA"/>
            <w:sz w:val="18"/>
            <w:szCs w:val="18"/>
            <w:u w:val="single"/>
            <w:lang w:eastAsia="es-MX"/>
          </w:rPr>
          <w:t>1</w:t>
        </w:r>
      </w:hyperlink>
      <w:r w:rsidRPr="002B7DB0">
        <w:rPr>
          <w:rFonts w:ascii="Georgia" w:eastAsia="Times New Roman" w:hAnsi="Georgia" w:cs="Arial"/>
          <w:color w:val="333333"/>
          <w:sz w:val="18"/>
          <w:szCs w:val="18"/>
          <w:lang w:eastAsia="es-MX"/>
        </w:rPr>
        <w:t> </w:t>
      </w:r>
      <w:hyperlink r:id="rId6" w:anchor="A2" w:history="1">
        <w:r w:rsidRPr="002B7DB0">
          <w:rPr>
            <w:rFonts w:ascii="Georgia" w:eastAsia="Times New Roman" w:hAnsi="Georgia" w:cs="Arial"/>
            <w:color w:val="0644AA"/>
            <w:sz w:val="18"/>
            <w:szCs w:val="18"/>
            <w:u w:val="single"/>
            <w:lang w:eastAsia="es-MX"/>
          </w:rPr>
          <w:t>2</w:t>
        </w:r>
      </w:hyperlink>
      <w:r w:rsidRPr="002B7DB0">
        <w:rPr>
          <w:rFonts w:ascii="Georgia" w:eastAsia="Times New Roman" w:hAnsi="Georgia" w:cs="Arial"/>
          <w:color w:val="333333"/>
          <w:sz w:val="18"/>
          <w:szCs w:val="18"/>
          <w:lang w:eastAsia="es-MX"/>
        </w:rPr>
        <w:t> </w:t>
      </w:r>
      <w:hyperlink r:id="rId7" w:anchor="A3" w:history="1">
        <w:r w:rsidRPr="002B7DB0">
          <w:rPr>
            <w:rFonts w:ascii="Georgia" w:eastAsia="Times New Roman" w:hAnsi="Georgia" w:cs="Arial"/>
            <w:color w:val="0644AA"/>
            <w:sz w:val="18"/>
            <w:szCs w:val="18"/>
            <w:u w:val="single"/>
            <w:lang w:eastAsia="es-MX"/>
          </w:rPr>
          <w:t>3</w:t>
        </w:r>
      </w:hyperlink>
      <w:r w:rsidRPr="002B7DB0">
        <w:rPr>
          <w:rFonts w:ascii="Georgia" w:eastAsia="Times New Roman" w:hAnsi="Georgia" w:cs="Arial"/>
          <w:color w:val="333333"/>
          <w:sz w:val="18"/>
          <w:szCs w:val="18"/>
          <w:lang w:eastAsia="es-MX"/>
        </w:rPr>
        <w:t> </w:t>
      </w:r>
      <w:hyperlink r:id="rId8" w:anchor="A4" w:history="1">
        <w:r w:rsidRPr="002B7DB0">
          <w:rPr>
            <w:rFonts w:ascii="Georgia" w:eastAsia="Times New Roman" w:hAnsi="Georgia" w:cs="Arial"/>
            <w:color w:val="0644AA"/>
            <w:sz w:val="18"/>
            <w:szCs w:val="18"/>
            <w:u w:val="single"/>
            <w:lang w:eastAsia="es-MX"/>
          </w:rPr>
          <w:t>4</w:t>
        </w:r>
      </w:hyperlink>
      <w:r w:rsidRPr="002B7DB0">
        <w:rPr>
          <w:rFonts w:ascii="Georgia" w:eastAsia="Times New Roman" w:hAnsi="Georgia" w:cs="Arial"/>
          <w:color w:val="333333"/>
          <w:sz w:val="18"/>
          <w:szCs w:val="18"/>
          <w:lang w:eastAsia="es-MX"/>
        </w:rPr>
        <w:t> </w:t>
      </w:r>
      <w:hyperlink r:id="rId9" w:anchor="A5" w:history="1">
        <w:r w:rsidRPr="002B7DB0">
          <w:rPr>
            <w:rFonts w:ascii="Georgia" w:eastAsia="Times New Roman" w:hAnsi="Georgia" w:cs="Arial"/>
            <w:color w:val="0644AA"/>
            <w:sz w:val="18"/>
            <w:szCs w:val="18"/>
            <w:u w:val="single"/>
            <w:lang w:eastAsia="es-MX"/>
          </w:rPr>
          <w:t>5</w:t>
        </w:r>
      </w:hyperlink>
      <w:r w:rsidRPr="002B7DB0">
        <w:rPr>
          <w:rFonts w:ascii="Georgia" w:eastAsia="Times New Roman" w:hAnsi="Georgia" w:cs="Arial"/>
          <w:color w:val="333333"/>
          <w:sz w:val="18"/>
          <w:szCs w:val="18"/>
          <w:lang w:eastAsia="es-MX"/>
        </w:rPr>
        <w:t> </w:t>
      </w:r>
      <w:hyperlink r:id="rId10" w:anchor="A6" w:history="1">
        <w:r w:rsidRPr="002B7DB0">
          <w:rPr>
            <w:rFonts w:ascii="Georgia" w:eastAsia="Times New Roman" w:hAnsi="Georgia" w:cs="Arial"/>
            <w:color w:val="0644AA"/>
            <w:sz w:val="18"/>
            <w:szCs w:val="18"/>
            <w:u w:val="single"/>
            <w:lang w:eastAsia="es-MX"/>
          </w:rPr>
          <w:t>6</w:t>
        </w:r>
      </w:hyperlink>
      <w:r w:rsidRPr="002B7DB0">
        <w:rPr>
          <w:rFonts w:ascii="Georgia" w:eastAsia="Times New Roman" w:hAnsi="Georgia" w:cs="Arial"/>
          <w:color w:val="333333"/>
          <w:sz w:val="18"/>
          <w:szCs w:val="18"/>
          <w:lang w:eastAsia="es-MX"/>
        </w:rPr>
        <w:t> </w:t>
      </w:r>
      <w:hyperlink r:id="rId11" w:anchor="A7" w:history="1">
        <w:r w:rsidRPr="002B7DB0">
          <w:rPr>
            <w:rFonts w:ascii="Georgia" w:eastAsia="Times New Roman" w:hAnsi="Georgia" w:cs="Arial"/>
            <w:color w:val="0644AA"/>
            <w:sz w:val="18"/>
            <w:szCs w:val="18"/>
            <w:u w:val="single"/>
            <w:lang w:eastAsia="es-MX"/>
          </w:rPr>
          <w:t>7</w:t>
        </w:r>
      </w:hyperlink>
      <w:r w:rsidRPr="002B7DB0">
        <w:rPr>
          <w:rFonts w:ascii="Georgia" w:eastAsia="Times New Roman" w:hAnsi="Georgia" w:cs="Arial"/>
          <w:color w:val="333333"/>
          <w:sz w:val="18"/>
          <w:szCs w:val="18"/>
          <w:lang w:eastAsia="es-MX"/>
        </w:rPr>
        <w:t> </w:t>
      </w:r>
      <w:hyperlink r:id="rId12" w:anchor="A8" w:history="1">
        <w:r w:rsidRPr="002B7DB0">
          <w:rPr>
            <w:rFonts w:ascii="Georgia" w:eastAsia="Times New Roman" w:hAnsi="Georgia" w:cs="Arial"/>
            <w:color w:val="0644AA"/>
            <w:sz w:val="18"/>
            <w:szCs w:val="18"/>
            <w:u w:val="single"/>
            <w:lang w:eastAsia="es-MX"/>
          </w:rPr>
          <w:t>8</w:t>
        </w:r>
      </w:hyperlink>
      <w:r w:rsidRPr="002B7DB0">
        <w:rPr>
          <w:rFonts w:ascii="Georgia" w:eastAsia="Times New Roman" w:hAnsi="Georgia" w:cs="Arial"/>
          <w:color w:val="333333"/>
          <w:sz w:val="18"/>
          <w:szCs w:val="18"/>
          <w:lang w:eastAsia="es-MX"/>
        </w:rPr>
        <w:t> </w:t>
      </w:r>
      <w:hyperlink r:id="rId13" w:anchor="A9" w:history="1">
        <w:r w:rsidRPr="002B7DB0">
          <w:rPr>
            <w:rFonts w:ascii="Georgia" w:eastAsia="Times New Roman" w:hAnsi="Georgia" w:cs="Arial"/>
            <w:color w:val="0644AA"/>
            <w:sz w:val="18"/>
            <w:szCs w:val="18"/>
            <w:u w:val="single"/>
            <w:lang w:eastAsia="es-MX"/>
          </w:rPr>
          <w:t>9</w:t>
        </w:r>
      </w:hyperlink>
      <w:r w:rsidRPr="002B7DB0">
        <w:rPr>
          <w:rFonts w:ascii="Georgia" w:eastAsia="Times New Roman" w:hAnsi="Georgia" w:cs="Arial"/>
          <w:color w:val="333333"/>
          <w:sz w:val="18"/>
          <w:szCs w:val="18"/>
          <w:lang w:eastAsia="es-MX"/>
        </w:rPr>
        <w:t> </w:t>
      </w:r>
      <w:hyperlink r:id="rId14" w:anchor="A10" w:history="1">
        <w:r w:rsidRPr="002B7DB0">
          <w:rPr>
            <w:rFonts w:ascii="Georgia" w:eastAsia="Times New Roman" w:hAnsi="Georgia" w:cs="Arial"/>
            <w:color w:val="0644AA"/>
            <w:sz w:val="18"/>
            <w:szCs w:val="18"/>
            <w:u w:val="single"/>
            <w:lang w:eastAsia="es-MX"/>
          </w:rPr>
          <w:t>10</w:t>
        </w:r>
      </w:hyperlink>
      <w:r w:rsidRPr="002B7DB0">
        <w:rPr>
          <w:rFonts w:ascii="Georgia" w:eastAsia="Times New Roman" w:hAnsi="Georgia" w:cs="Arial"/>
          <w:color w:val="333333"/>
          <w:sz w:val="18"/>
          <w:szCs w:val="18"/>
          <w:lang w:eastAsia="es-MX"/>
        </w:rPr>
        <w:t> </w:t>
      </w:r>
      <w:hyperlink r:id="rId15" w:anchor="A11" w:history="1">
        <w:r w:rsidRPr="002B7DB0">
          <w:rPr>
            <w:rFonts w:ascii="Georgia" w:eastAsia="Times New Roman" w:hAnsi="Georgia" w:cs="Arial"/>
            <w:color w:val="0644AA"/>
            <w:sz w:val="18"/>
            <w:szCs w:val="18"/>
            <w:u w:val="single"/>
            <w:lang w:eastAsia="es-MX"/>
          </w:rPr>
          <w:t>11</w:t>
        </w:r>
      </w:hyperlink>
      <w:r w:rsidRPr="002B7DB0">
        <w:rPr>
          <w:rFonts w:ascii="Georgia" w:eastAsia="Times New Roman" w:hAnsi="Georgia" w:cs="Arial"/>
          <w:color w:val="333333"/>
          <w:sz w:val="18"/>
          <w:szCs w:val="18"/>
          <w:lang w:eastAsia="es-MX"/>
        </w:rPr>
        <w:t> </w:t>
      </w:r>
      <w:hyperlink r:id="rId16" w:anchor="A12" w:history="1">
        <w:r w:rsidRPr="002B7DB0">
          <w:rPr>
            <w:rFonts w:ascii="Georgia" w:eastAsia="Times New Roman" w:hAnsi="Georgia" w:cs="Arial"/>
            <w:color w:val="0644AA"/>
            <w:sz w:val="18"/>
            <w:szCs w:val="18"/>
            <w:u w:val="single"/>
            <w:lang w:eastAsia="es-MX"/>
          </w:rPr>
          <w:t>12</w:t>
        </w:r>
      </w:hyperlink>
    </w:p>
    <w:p w:rsidR="002B7DB0" w:rsidRPr="002B7DB0" w:rsidRDefault="002B7DB0" w:rsidP="002B7DB0">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r w:rsidRPr="002B7DB0">
        <w:rPr>
          <w:rFonts w:ascii="Georgia" w:eastAsia="Times New Roman" w:hAnsi="Georgia" w:cs="Arial"/>
          <w:b/>
          <w:bCs/>
          <w:color w:val="B92517"/>
          <w:sz w:val="23"/>
          <w:szCs w:val="23"/>
          <w:lang w:eastAsia="es-MX"/>
        </w:rPr>
        <w:t>Preámbulo</w:t>
      </w:r>
    </w:p>
    <w:p w:rsidR="002B7DB0" w:rsidRPr="002B7DB0" w:rsidRDefault="002B7DB0" w:rsidP="002B7DB0">
      <w:pPr>
        <w:shd w:val="clear" w:color="auto" w:fill="F3F3F3"/>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La Conferencia General de la Organización Internacional del Trabajo:</w:t>
      </w:r>
    </w:p>
    <w:p w:rsidR="002B7DB0" w:rsidRPr="002B7DB0" w:rsidRDefault="002B7DB0" w:rsidP="002B7DB0">
      <w:pPr>
        <w:shd w:val="clear" w:color="auto" w:fill="F3F3F3"/>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Convocada en Génova por el Consejo de Administración de la Oficina Internacional del Trabajo el 15 de junio de 1920;</w:t>
      </w:r>
    </w:p>
    <w:p w:rsidR="002B7DB0" w:rsidRPr="002B7DB0" w:rsidRDefault="002B7DB0" w:rsidP="002B7DB0">
      <w:pPr>
        <w:shd w:val="clear" w:color="auto" w:fill="F3F3F3"/>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Después de haber decidido adoptar diversas proposiciones relativas a las condiciones para la aplicación, a la gente de mar, del Convenio aprobado en Washington en noviembre último, que prohíbe la admisión al trabajo de los niños menores de catorce años, cuestión que constituye el tercer punto del orden del día de la reunión de la Conferencia celebrada en Génova, y</w:t>
      </w:r>
    </w:p>
    <w:p w:rsidR="002B7DB0" w:rsidRPr="002B7DB0" w:rsidRDefault="002B7DB0" w:rsidP="002B7DB0">
      <w:pPr>
        <w:shd w:val="clear" w:color="auto" w:fill="F3F3F3"/>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Después de haber decidido que dichas proposiciones revistan la forma de un convenio internacional,</w:t>
      </w:r>
    </w:p>
    <w:p w:rsidR="002B7DB0" w:rsidRPr="002B7DB0" w:rsidRDefault="002B7DB0" w:rsidP="002B7DB0">
      <w:pPr>
        <w:shd w:val="clear" w:color="auto" w:fill="F3F3F3"/>
        <w:spacing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adopta el siguiente Convenio, que podrá ser citado como el Convenio sobre la edad mínima (trabajo marítimo), 1920, y que será sometido a la ratificación de los Miembros de la Organización Internacional del Trabajo, de acuerdo con las disposiciones de la Constitución de la Organización Internacional del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2B7DB0">
        <w:rPr>
          <w:rFonts w:ascii="Georgia" w:eastAsia="Times New Roman" w:hAnsi="Georgia" w:cs="Arial"/>
          <w:b/>
          <w:bCs/>
          <w:i/>
          <w:iCs/>
          <w:color w:val="333333"/>
          <w:sz w:val="21"/>
          <w:szCs w:val="21"/>
          <w:lang w:eastAsia="es-MX"/>
        </w:rPr>
        <w:t>Artículo 1</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A los efectos del presente Convenio, el término </w:t>
      </w:r>
      <w:r w:rsidRPr="002B7DB0">
        <w:rPr>
          <w:rFonts w:ascii="Georgia" w:eastAsia="Times New Roman" w:hAnsi="Georgia" w:cs="Arial"/>
          <w:b/>
          <w:bCs/>
          <w:i/>
          <w:iCs/>
          <w:color w:val="333333"/>
          <w:sz w:val="18"/>
          <w:szCs w:val="18"/>
          <w:lang w:eastAsia="es-MX"/>
        </w:rPr>
        <w:t>buque</w:t>
      </w:r>
      <w:r w:rsidRPr="002B7DB0">
        <w:rPr>
          <w:rFonts w:ascii="Georgia" w:eastAsia="Times New Roman" w:hAnsi="Georgia" w:cs="Arial"/>
          <w:color w:val="333333"/>
          <w:sz w:val="18"/>
          <w:szCs w:val="18"/>
          <w:lang w:eastAsia="es-MX"/>
        </w:rPr>
        <w:t> comprende todas las embarcaciones, buques o barcos, cualquiera que sea su clase, de propiedad pública o privada, que se dediquen a la navegación marítima, excepción hecha de los buques de guerra.</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 w:name="A2"/>
      <w:bookmarkEnd w:id="1"/>
      <w:r w:rsidRPr="002B7DB0">
        <w:rPr>
          <w:rFonts w:ascii="Georgia" w:eastAsia="Times New Roman" w:hAnsi="Georgia" w:cs="Arial"/>
          <w:b/>
          <w:bCs/>
          <w:i/>
          <w:iCs/>
          <w:color w:val="333333"/>
          <w:sz w:val="21"/>
          <w:szCs w:val="21"/>
          <w:lang w:eastAsia="es-MX"/>
        </w:rPr>
        <w:t>Artículo 2</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Los niños menores de catorce años no podrán prestar servicios a bordo de ningún buque, excepción hecha de aquellos buques en los que estén empleados únicamente los miembros de una misma familia.</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2" w:name="A3"/>
      <w:bookmarkEnd w:id="2"/>
      <w:r w:rsidRPr="002B7DB0">
        <w:rPr>
          <w:rFonts w:ascii="Georgia" w:eastAsia="Times New Roman" w:hAnsi="Georgia" w:cs="Arial"/>
          <w:b/>
          <w:bCs/>
          <w:i/>
          <w:iCs/>
          <w:color w:val="333333"/>
          <w:sz w:val="21"/>
          <w:szCs w:val="21"/>
          <w:lang w:eastAsia="es-MX"/>
        </w:rPr>
        <w:t>Artículo 3</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lastRenderedPageBreak/>
        <w:t>Las disposiciones del artículo 2 no se aplicarán al trabajo de los niños en los buques escuela, a condición de que la autoridad pública apruebe y vigile dicho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3" w:name="A4"/>
      <w:bookmarkEnd w:id="3"/>
      <w:r w:rsidRPr="002B7DB0">
        <w:rPr>
          <w:rFonts w:ascii="Georgia" w:eastAsia="Times New Roman" w:hAnsi="Georgia" w:cs="Arial"/>
          <w:b/>
          <w:bCs/>
          <w:i/>
          <w:iCs/>
          <w:color w:val="333333"/>
          <w:sz w:val="21"/>
          <w:szCs w:val="21"/>
          <w:lang w:eastAsia="es-MX"/>
        </w:rPr>
        <w:t>Artículo 4</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A fin de permitir el control de la aplicación de las disposiciones del presente Convenio, todo capitán o patrón deberá llevar un registro de inscripción o una lista de la tripulación, donde se mencione a todas las personas menores de dieciséis años empleadas a bordo y donde se indique la fecha de su nacimiento.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4" w:name="A5"/>
      <w:bookmarkEnd w:id="4"/>
      <w:r w:rsidRPr="002B7DB0">
        <w:rPr>
          <w:rFonts w:ascii="Georgia" w:eastAsia="Times New Roman" w:hAnsi="Georgia" w:cs="Arial"/>
          <w:b/>
          <w:bCs/>
          <w:i/>
          <w:iCs/>
          <w:color w:val="333333"/>
          <w:sz w:val="21"/>
          <w:szCs w:val="21"/>
          <w:lang w:eastAsia="es-MX"/>
        </w:rPr>
        <w:t>Artículo 5</w:t>
      </w:r>
    </w:p>
    <w:p w:rsidR="002B7DB0" w:rsidRPr="002B7DB0" w:rsidRDefault="002B7DB0" w:rsidP="002B7DB0">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5" w:name="A5P1"/>
      <w:bookmarkEnd w:id="5"/>
      <w:r w:rsidRPr="002B7DB0">
        <w:rPr>
          <w:rFonts w:ascii="Georgia" w:eastAsia="Times New Roman" w:hAnsi="Georgia" w:cs="Arial"/>
          <w:color w:val="333333"/>
          <w:sz w:val="18"/>
          <w:szCs w:val="18"/>
          <w:lang w:eastAsia="es-MX"/>
        </w:rPr>
        <w:t>1. Todo Miembro de la Organización Internacional del Trabajo que ratifique el presente Convenio se obliga a aplicarlo en aquellas de sus colonias o posesiones, o en aquellos de sus protectorados que no se gobiernen plenamente por sí mismos, a reserva de:</w:t>
      </w:r>
    </w:p>
    <w:p w:rsidR="002B7DB0" w:rsidRPr="002B7DB0" w:rsidRDefault="002B7DB0" w:rsidP="002B7DB0">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(a) que las condiciones locales imposibiliten la aplicación de las disposiciones del Convenio;</w:t>
      </w:r>
    </w:p>
    <w:p w:rsidR="002B7DB0" w:rsidRPr="002B7DB0" w:rsidRDefault="002B7DB0" w:rsidP="002B7DB0">
      <w:pPr>
        <w:numPr>
          <w:ilvl w:val="1"/>
          <w:numId w:val="1"/>
        </w:numPr>
        <w:shd w:val="clear" w:color="auto" w:fill="FFFFFF"/>
        <w:spacing w:after="144" w:line="408" w:lineRule="atLeast"/>
        <w:ind w:left="480"/>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(b) que puedan introducirse en el Convenio las modificaciones necesarias para su adaptación a las condiciones locales.</w:t>
      </w:r>
    </w:p>
    <w:p w:rsidR="002B7DB0" w:rsidRPr="002B7DB0" w:rsidRDefault="002B7DB0" w:rsidP="002B7DB0">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6" w:name="A5P2"/>
      <w:bookmarkEnd w:id="6"/>
      <w:r w:rsidRPr="002B7DB0">
        <w:rPr>
          <w:rFonts w:ascii="Georgia" w:eastAsia="Times New Roman" w:hAnsi="Georgia" w:cs="Arial"/>
          <w:color w:val="333333"/>
          <w:sz w:val="18"/>
          <w:szCs w:val="18"/>
          <w:lang w:eastAsia="es-MX"/>
        </w:rPr>
        <w:t>2. Cada Miembro deberá notificar a la Oficina Internacional del Trabajo su decisión en lo que concierne a cada una de sus colonias o posesiones, o a cada uno de sus protectorados que no se gobiernen plenamente por sí mismos.</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7" w:name="A6"/>
      <w:bookmarkEnd w:id="7"/>
      <w:r w:rsidRPr="002B7DB0">
        <w:rPr>
          <w:rFonts w:ascii="Georgia" w:eastAsia="Times New Roman" w:hAnsi="Georgia" w:cs="Arial"/>
          <w:b/>
          <w:bCs/>
          <w:i/>
          <w:iCs/>
          <w:color w:val="333333"/>
          <w:sz w:val="21"/>
          <w:szCs w:val="21"/>
          <w:lang w:eastAsia="es-MX"/>
        </w:rPr>
        <w:t>Artículo 6</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8" w:name="A7"/>
      <w:bookmarkEnd w:id="8"/>
      <w:r w:rsidRPr="002B7DB0">
        <w:rPr>
          <w:rFonts w:ascii="Georgia" w:eastAsia="Times New Roman" w:hAnsi="Georgia" w:cs="Arial"/>
          <w:b/>
          <w:bCs/>
          <w:i/>
          <w:iCs/>
          <w:color w:val="333333"/>
          <w:sz w:val="21"/>
          <w:szCs w:val="21"/>
          <w:lang w:eastAsia="es-MX"/>
        </w:rPr>
        <w:t>Artículo 7</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Tan pronto como las ratificaciones de dos Miembros de la Organización Internacional del Trabajo hayan sido registradas en la Oficina Internacional del Trabajo, el Director General de la Oficina notificará el hecho a todos los Miembros de la Organización Internacional del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9" w:name="A8"/>
      <w:bookmarkEnd w:id="9"/>
      <w:r w:rsidRPr="002B7DB0">
        <w:rPr>
          <w:rFonts w:ascii="Georgia" w:eastAsia="Times New Roman" w:hAnsi="Georgia" w:cs="Arial"/>
          <w:b/>
          <w:bCs/>
          <w:i/>
          <w:iCs/>
          <w:color w:val="333333"/>
          <w:sz w:val="21"/>
          <w:szCs w:val="21"/>
          <w:lang w:eastAsia="es-MX"/>
        </w:rPr>
        <w:t>Artículo 8</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 xml:space="preserve">Este Convenio entrará en vigor en la fecha en que el Director General de la Oficina Internacional del Trabajo haya efectuado dicha notificación, y sólo obligará a los Miembros que hayan registrado su ratificación en la </w:t>
      </w:r>
      <w:r w:rsidRPr="002B7DB0">
        <w:rPr>
          <w:rFonts w:ascii="Georgia" w:eastAsia="Times New Roman" w:hAnsi="Georgia" w:cs="Arial"/>
          <w:color w:val="333333"/>
          <w:sz w:val="18"/>
          <w:szCs w:val="18"/>
          <w:lang w:eastAsia="es-MX"/>
        </w:rPr>
        <w:lastRenderedPageBreak/>
        <w:t>Oficina Internacional del Trabajo. Desde dicho momento, este Convenio entrará en vigor, para cualquier otro Miembro, en la fecha en que haya sido registrada su ratificación en la Oficina Internacional del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9"/>
      <w:bookmarkEnd w:id="10"/>
      <w:r w:rsidRPr="002B7DB0">
        <w:rPr>
          <w:rFonts w:ascii="Georgia" w:eastAsia="Times New Roman" w:hAnsi="Georgia" w:cs="Arial"/>
          <w:b/>
          <w:bCs/>
          <w:i/>
          <w:iCs/>
          <w:color w:val="333333"/>
          <w:sz w:val="21"/>
          <w:szCs w:val="21"/>
          <w:lang w:eastAsia="es-MX"/>
        </w:rPr>
        <w:t>Artículo 9</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A reserva de las disposiciones del artículo 8, todo Miembro que ratifique el presente Convenio se obliga a aplicar sus disposiciones a más tardar el 1 de julio de 1922, y a tomar las medidas necesarias para el cumplimiento de dichas disposiciones.</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10"/>
      <w:bookmarkEnd w:id="11"/>
      <w:r w:rsidRPr="002B7DB0">
        <w:rPr>
          <w:rFonts w:ascii="Georgia" w:eastAsia="Times New Roman" w:hAnsi="Georgia" w:cs="Arial"/>
          <w:b/>
          <w:bCs/>
          <w:i/>
          <w:iCs/>
          <w:color w:val="333333"/>
          <w:sz w:val="21"/>
          <w:szCs w:val="21"/>
          <w:lang w:eastAsia="es-MX"/>
        </w:rPr>
        <w:t>Artículo 10</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2" w:name="A11"/>
      <w:bookmarkEnd w:id="12"/>
      <w:r w:rsidRPr="002B7DB0">
        <w:rPr>
          <w:rFonts w:ascii="Georgia" w:eastAsia="Times New Roman" w:hAnsi="Georgia" w:cs="Arial"/>
          <w:b/>
          <w:bCs/>
          <w:i/>
          <w:iCs/>
          <w:color w:val="333333"/>
          <w:sz w:val="21"/>
          <w:szCs w:val="21"/>
          <w:lang w:eastAsia="es-MX"/>
        </w:rPr>
        <w:t>Artículo 11</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Cada vez que lo estime necesario, el Consejo de Administración de la Oficina Internacional del Trabajo presentará a la Conferencia General una memoria sobre la aplicación del Convenio y considerará la conveniencia de incluir en el orden del día de la Conferencia la cuestión de su revisión total o parcial.</w:t>
      </w:r>
    </w:p>
    <w:p w:rsidR="002B7DB0" w:rsidRPr="002B7DB0" w:rsidRDefault="002B7DB0" w:rsidP="002B7DB0">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3" w:name="A12"/>
      <w:bookmarkEnd w:id="13"/>
      <w:r w:rsidRPr="002B7DB0">
        <w:rPr>
          <w:rFonts w:ascii="Georgia" w:eastAsia="Times New Roman" w:hAnsi="Georgia" w:cs="Arial"/>
          <w:b/>
          <w:bCs/>
          <w:i/>
          <w:iCs/>
          <w:color w:val="333333"/>
          <w:sz w:val="21"/>
          <w:szCs w:val="21"/>
          <w:lang w:eastAsia="es-MX"/>
        </w:rPr>
        <w:t>Artículo 12</w:t>
      </w:r>
    </w:p>
    <w:p w:rsidR="002B7DB0" w:rsidRPr="002B7DB0" w:rsidRDefault="002B7DB0" w:rsidP="002B7DB0">
      <w:pPr>
        <w:shd w:val="clear" w:color="auto" w:fill="FFFFFF"/>
        <w:spacing w:after="240" w:line="408" w:lineRule="atLeast"/>
        <w:rPr>
          <w:rFonts w:ascii="Georgia" w:eastAsia="Times New Roman" w:hAnsi="Georgia" w:cs="Arial"/>
          <w:color w:val="333333"/>
          <w:sz w:val="18"/>
          <w:szCs w:val="18"/>
          <w:lang w:eastAsia="es-MX"/>
        </w:rPr>
      </w:pPr>
      <w:r w:rsidRPr="002B7DB0">
        <w:rPr>
          <w:rFonts w:ascii="Georgia" w:eastAsia="Times New Roman" w:hAnsi="Georgia" w:cs="Arial"/>
          <w:color w:val="333333"/>
          <w:sz w:val="18"/>
          <w:szCs w:val="18"/>
          <w:lang w:eastAsia="es-MX"/>
        </w:rPr>
        <w:t>Las versiones inglesa y francesa del texto de este Convenio son igualmente auténticas.</w:t>
      </w:r>
    </w:p>
    <w:p w:rsidR="00DB174F" w:rsidRDefault="00DB174F">
      <w:bookmarkStart w:id="14" w:name="_GoBack"/>
      <w:bookmarkEnd w:id="14"/>
    </w:p>
    <w:sectPr w:rsidR="00DB1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B7C7C"/>
    <w:multiLevelType w:val="multilevel"/>
    <w:tmpl w:val="D2F6B7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B0"/>
    <w:rsid w:val="002B7DB0"/>
    <w:rsid w:val="00DB1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A245E-6E97-4050-A53F-8630571E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B7D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2B7DB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2B7DB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DB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2B7DB0"/>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2B7DB0"/>
    <w:rPr>
      <w:rFonts w:ascii="Times New Roman" w:eastAsia="Times New Roman" w:hAnsi="Times New Roman" w:cs="Times New Roman"/>
      <w:b/>
      <w:bCs/>
      <w:sz w:val="20"/>
      <w:szCs w:val="20"/>
      <w:lang w:eastAsia="es-MX"/>
    </w:rPr>
  </w:style>
  <w:style w:type="paragraph" w:customStyle="1" w:styleId="bordertop">
    <w:name w:val="bordertop"/>
    <w:basedOn w:val="Normal"/>
    <w:rsid w:val="002B7D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2B7DB0"/>
    <w:rPr>
      <w:b/>
      <w:bCs/>
    </w:rPr>
  </w:style>
  <w:style w:type="character" w:styleId="Hipervnculo">
    <w:name w:val="Hyperlink"/>
    <w:basedOn w:val="Fuentedeprrafopredeter"/>
    <w:uiPriority w:val="99"/>
    <w:semiHidden/>
    <w:unhideWhenUsed/>
    <w:rsid w:val="002B7DB0"/>
    <w:rPr>
      <w:color w:val="0000FF"/>
      <w:u w:val="single"/>
    </w:rPr>
  </w:style>
  <w:style w:type="paragraph" w:styleId="NormalWeb">
    <w:name w:val="Normal (Web)"/>
    <w:basedOn w:val="Normal"/>
    <w:uiPriority w:val="99"/>
    <w:semiHidden/>
    <w:unhideWhenUsed/>
    <w:rsid w:val="002B7DB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94944">
      <w:bodyDiv w:val="1"/>
      <w:marLeft w:val="0"/>
      <w:marRight w:val="0"/>
      <w:marTop w:val="0"/>
      <w:marBottom w:val="0"/>
      <w:divBdr>
        <w:top w:val="none" w:sz="0" w:space="0" w:color="auto"/>
        <w:left w:val="none" w:sz="0" w:space="0" w:color="auto"/>
        <w:bottom w:val="none" w:sz="0" w:space="0" w:color="auto"/>
        <w:right w:val="none" w:sz="0" w:space="0" w:color="auto"/>
      </w:divBdr>
      <w:divsChild>
        <w:div w:id="775251182">
          <w:marLeft w:val="0"/>
          <w:marRight w:val="0"/>
          <w:marTop w:val="75"/>
          <w:marBottom w:val="0"/>
          <w:divBdr>
            <w:top w:val="none" w:sz="0" w:space="0" w:color="auto"/>
            <w:left w:val="none" w:sz="0" w:space="0" w:color="auto"/>
            <w:bottom w:val="none" w:sz="0" w:space="0" w:color="auto"/>
            <w:right w:val="none" w:sz="0" w:space="0" w:color="auto"/>
          </w:divBdr>
        </w:div>
        <w:div w:id="1838378437">
          <w:marLeft w:val="0"/>
          <w:marRight w:val="0"/>
          <w:marTop w:val="100"/>
          <w:marBottom w:val="100"/>
          <w:divBdr>
            <w:top w:val="none" w:sz="0" w:space="0" w:color="auto"/>
            <w:left w:val="none" w:sz="0" w:space="0" w:color="auto"/>
            <w:bottom w:val="none" w:sz="0" w:space="0" w:color="auto"/>
            <w:right w:val="none" w:sz="0" w:space="0" w:color="auto"/>
          </w:divBdr>
          <w:divsChild>
            <w:div w:id="1479374899">
              <w:marLeft w:val="0"/>
              <w:marRight w:val="0"/>
              <w:marTop w:val="0"/>
              <w:marBottom w:val="0"/>
              <w:divBdr>
                <w:top w:val="none" w:sz="0" w:space="0" w:color="auto"/>
                <w:left w:val="none" w:sz="0" w:space="0" w:color="auto"/>
                <w:bottom w:val="none" w:sz="0" w:space="0" w:color="auto"/>
                <w:right w:val="none" w:sz="0" w:space="0" w:color="auto"/>
              </w:divBdr>
              <w:divsChild>
                <w:div w:id="796335382">
                  <w:marLeft w:val="0"/>
                  <w:marRight w:val="0"/>
                  <w:marTop w:val="0"/>
                  <w:marBottom w:val="0"/>
                  <w:divBdr>
                    <w:top w:val="none" w:sz="0" w:space="0" w:color="auto"/>
                    <w:left w:val="none" w:sz="0" w:space="0" w:color="auto"/>
                    <w:bottom w:val="none" w:sz="0" w:space="0" w:color="auto"/>
                    <w:right w:val="none" w:sz="0" w:space="0" w:color="auto"/>
                  </w:divBdr>
                  <w:divsChild>
                    <w:div w:id="60300158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o.org/dyn/normlex/en/f?p=NORMLEXPUB:55:0::NO::P55_TYPE,P55_LANG,P55_DOCUMENT,P55_NODE:REV,es,C007,/Document" TargetMode="External"/><Relationship Id="rId13" Type="http://schemas.openxmlformats.org/officeDocument/2006/relationships/hyperlink" Target="https://www.ilo.org/dyn/normlex/en/f?p=NORMLEXPUB:55:0::NO::P55_TYPE,P55_LANG,P55_DOCUMENT,P55_NODE:REV,es,C007,/Docu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lo.org/dyn/normlex/en/f?p=NORMLEXPUB:55:0::NO::P55_TYPE,P55_LANG,P55_DOCUMENT,P55_NODE:REV,es,C007,/Document" TargetMode="External"/><Relationship Id="rId12" Type="http://schemas.openxmlformats.org/officeDocument/2006/relationships/hyperlink" Target="https://www.ilo.org/dyn/normlex/en/f?p=NORMLEXPUB:55:0::NO::P55_TYPE,P55_LANG,P55_DOCUMENT,P55_NODE:REV,es,C007,/Docu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lo.org/dyn/normlex/en/f?p=NORMLEXPUB:55:0::NO::P55_TYPE,P55_LANG,P55_DOCUMENT,P55_NODE:REV,es,C007,/Document" TargetMode="External"/><Relationship Id="rId1" Type="http://schemas.openxmlformats.org/officeDocument/2006/relationships/numbering" Target="numbering.xml"/><Relationship Id="rId6" Type="http://schemas.openxmlformats.org/officeDocument/2006/relationships/hyperlink" Target="https://www.ilo.org/dyn/normlex/en/f?p=NORMLEXPUB:55:0::NO::P55_TYPE,P55_LANG,P55_DOCUMENT,P55_NODE:REV,es,C007,/Document" TargetMode="External"/><Relationship Id="rId11" Type="http://schemas.openxmlformats.org/officeDocument/2006/relationships/hyperlink" Target="https://www.ilo.org/dyn/normlex/en/f?p=NORMLEXPUB:55:0::NO::P55_TYPE,P55_LANG,P55_DOCUMENT,P55_NODE:REV,es,C007,/Document" TargetMode="External"/><Relationship Id="rId5" Type="http://schemas.openxmlformats.org/officeDocument/2006/relationships/hyperlink" Target="https://www.ilo.org/dyn/normlex/en/f?p=NORMLEXPUB:55:0::NO::P55_TYPE,P55_LANG,P55_DOCUMENT,P55_NODE:REV,es,C007,/Document" TargetMode="External"/><Relationship Id="rId15" Type="http://schemas.openxmlformats.org/officeDocument/2006/relationships/hyperlink" Target="https://www.ilo.org/dyn/normlex/en/f?p=NORMLEXPUB:55:0::NO::P55_TYPE,P55_LANG,P55_DOCUMENT,P55_NODE:REV,es,C007,/Document" TargetMode="External"/><Relationship Id="rId10" Type="http://schemas.openxmlformats.org/officeDocument/2006/relationships/hyperlink" Target="https://www.ilo.org/dyn/normlex/en/f?p=NORMLEXPUB:55:0::NO::P55_TYPE,P55_LANG,P55_DOCUMENT,P55_NODE:REV,es,C007,/Document" TargetMode="External"/><Relationship Id="rId4" Type="http://schemas.openxmlformats.org/officeDocument/2006/relationships/webSettings" Target="webSettings.xml"/><Relationship Id="rId9" Type="http://schemas.openxmlformats.org/officeDocument/2006/relationships/hyperlink" Target="https://www.ilo.org/dyn/normlex/en/f?p=NORMLEXPUB:55:0::NO::P55_TYPE,P55_LANG,P55_DOCUMENT,P55_NODE:REV,es,C007,/Document" TargetMode="External"/><Relationship Id="rId14" Type="http://schemas.openxmlformats.org/officeDocument/2006/relationships/hyperlink" Target="https://www.ilo.org/dyn/normlex/en/f?p=NORMLEXPUB:55:0::NO::P55_TYPE,P55_LANG,P55_DOCUMENT,P55_NODE:REV,es,C007,/Docume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5610</Characters>
  <Application>Microsoft Office Word</Application>
  <DocSecurity>0</DocSecurity>
  <Lines>46</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1</cp:revision>
  <dcterms:created xsi:type="dcterms:W3CDTF">2023-01-13T19:47:00Z</dcterms:created>
  <dcterms:modified xsi:type="dcterms:W3CDTF">2023-01-13T19:47:00Z</dcterms:modified>
</cp:coreProperties>
</file>