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DB8" w:rsidRPr="00794DB8" w:rsidRDefault="00794DB8" w:rsidP="00794DB8">
      <w:pPr>
        <w:shd w:val="clear" w:color="auto" w:fill="FFFFFF"/>
        <w:spacing w:line="288" w:lineRule="atLeast"/>
        <w:outlineLvl w:val="0"/>
        <w:rPr>
          <w:rFonts w:ascii="Georgia" w:eastAsia="Times New Roman" w:hAnsi="Georgia" w:cs="Arial"/>
          <w:b/>
          <w:bCs/>
          <w:color w:val="B92517"/>
          <w:spacing w:val="-5"/>
          <w:kern w:val="36"/>
          <w:sz w:val="58"/>
          <w:szCs w:val="58"/>
          <w:lang w:eastAsia="es-MX"/>
        </w:rPr>
      </w:pPr>
      <w:r w:rsidRPr="00794DB8">
        <w:rPr>
          <w:rFonts w:ascii="Georgia" w:eastAsia="Times New Roman" w:hAnsi="Georgia" w:cs="Arial"/>
          <w:b/>
          <w:bCs/>
          <w:color w:val="B92517"/>
          <w:spacing w:val="-5"/>
          <w:kern w:val="36"/>
          <w:sz w:val="58"/>
          <w:szCs w:val="58"/>
          <w:lang w:eastAsia="es-MX"/>
        </w:rPr>
        <w:t>C013 - Convenio sobre la cerusa (pintura), 1921 (núm. 13)</w:t>
      </w:r>
    </w:p>
    <w:p w:rsidR="00794DB8" w:rsidRPr="00794DB8" w:rsidRDefault="00794DB8" w:rsidP="00794DB8">
      <w:pPr>
        <w:pBdr>
          <w:bottom w:val="single" w:sz="6" w:space="0" w:color="CCCCCC"/>
        </w:pBdr>
        <w:shd w:val="clear" w:color="auto" w:fill="FFFFFF"/>
        <w:spacing w:after="312" w:line="360" w:lineRule="atLeast"/>
        <w:rPr>
          <w:rFonts w:ascii="Arial" w:eastAsia="Times New Roman" w:hAnsi="Arial" w:cs="Arial"/>
          <w:color w:val="333333"/>
          <w:sz w:val="18"/>
          <w:szCs w:val="18"/>
          <w:lang w:eastAsia="es-MX"/>
        </w:rPr>
      </w:pPr>
      <w:r w:rsidRPr="00794DB8">
        <w:rPr>
          <w:rFonts w:ascii="Arial" w:eastAsia="Times New Roman" w:hAnsi="Arial" w:cs="Arial"/>
          <w:color w:val="333333"/>
          <w:sz w:val="18"/>
          <w:szCs w:val="18"/>
          <w:lang w:eastAsia="es-MX"/>
        </w:rPr>
        <w:t>Visualizar en: </w:t>
      </w:r>
      <w:hyperlink r:id="rId5" w:history="1">
        <w:r w:rsidRPr="00794DB8">
          <w:rPr>
            <w:rFonts w:ascii="Arial" w:eastAsia="Times New Roman" w:hAnsi="Arial" w:cs="Arial"/>
            <w:color w:val="0644AA"/>
            <w:sz w:val="18"/>
            <w:szCs w:val="18"/>
            <w:u w:val="single"/>
            <w:lang w:eastAsia="es-MX"/>
          </w:rPr>
          <w:t>Inglés</w:t>
        </w:r>
      </w:hyperlink>
      <w:r w:rsidRPr="00794DB8">
        <w:rPr>
          <w:rFonts w:ascii="Arial" w:eastAsia="Times New Roman" w:hAnsi="Arial" w:cs="Arial"/>
          <w:color w:val="333333"/>
          <w:sz w:val="18"/>
          <w:szCs w:val="18"/>
          <w:lang w:eastAsia="es-MX"/>
        </w:rPr>
        <w:t> - </w:t>
      </w:r>
      <w:hyperlink r:id="rId6" w:history="1">
        <w:r w:rsidRPr="00794DB8">
          <w:rPr>
            <w:rFonts w:ascii="Arial" w:eastAsia="Times New Roman" w:hAnsi="Arial" w:cs="Arial"/>
            <w:color w:val="0644AA"/>
            <w:sz w:val="18"/>
            <w:szCs w:val="18"/>
            <w:u w:val="single"/>
            <w:lang w:eastAsia="es-MX"/>
          </w:rPr>
          <w:t>Francés</w:t>
        </w:r>
      </w:hyperlink>
      <w:r w:rsidRPr="00794DB8">
        <w:rPr>
          <w:rFonts w:ascii="Arial" w:eastAsia="Times New Roman" w:hAnsi="Arial" w:cs="Arial"/>
          <w:color w:val="333333"/>
          <w:sz w:val="18"/>
          <w:szCs w:val="18"/>
          <w:lang w:eastAsia="es-MX"/>
        </w:rPr>
        <w:t> - </w:t>
      </w:r>
      <w:hyperlink r:id="rId7" w:history="1">
        <w:r w:rsidRPr="00794DB8">
          <w:rPr>
            <w:rFonts w:ascii="Arial" w:eastAsia="Times New Roman" w:hAnsi="Arial" w:cs="Arial"/>
            <w:color w:val="0644AA"/>
            <w:sz w:val="18"/>
            <w:szCs w:val="18"/>
            <w:u w:val="single"/>
            <w:lang w:eastAsia="es-MX"/>
          </w:rPr>
          <w:t>árabe</w:t>
        </w:r>
      </w:hyperlink>
      <w:r w:rsidRPr="00794DB8">
        <w:rPr>
          <w:rFonts w:ascii="Arial" w:eastAsia="Times New Roman" w:hAnsi="Arial" w:cs="Arial"/>
          <w:color w:val="333333"/>
          <w:sz w:val="18"/>
          <w:szCs w:val="18"/>
          <w:lang w:eastAsia="es-MX"/>
        </w:rPr>
        <w:t> - </w:t>
      </w:r>
      <w:hyperlink r:id="rId8" w:history="1">
        <w:r w:rsidRPr="00794DB8">
          <w:rPr>
            <w:rFonts w:ascii="Arial" w:eastAsia="Times New Roman" w:hAnsi="Arial" w:cs="Arial"/>
            <w:color w:val="0644AA"/>
            <w:sz w:val="18"/>
            <w:szCs w:val="18"/>
            <w:u w:val="single"/>
            <w:lang w:eastAsia="es-MX"/>
          </w:rPr>
          <w:t>alemán</w:t>
        </w:r>
      </w:hyperlink>
      <w:r w:rsidRPr="00794DB8">
        <w:rPr>
          <w:rFonts w:ascii="Arial" w:eastAsia="Times New Roman" w:hAnsi="Arial" w:cs="Arial"/>
          <w:color w:val="333333"/>
          <w:sz w:val="18"/>
          <w:szCs w:val="18"/>
          <w:lang w:eastAsia="es-MX"/>
        </w:rPr>
        <w:t> - </w:t>
      </w:r>
      <w:hyperlink r:id="rId9" w:history="1">
        <w:r w:rsidRPr="00794DB8">
          <w:rPr>
            <w:rFonts w:ascii="Arial" w:eastAsia="Times New Roman" w:hAnsi="Arial" w:cs="Arial"/>
            <w:color w:val="0644AA"/>
            <w:sz w:val="18"/>
            <w:szCs w:val="18"/>
            <w:u w:val="single"/>
            <w:lang w:eastAsia="es-MX"/>
          </w:rPr>
          <w:t>ruso</w:t>
        </w:r>
      </w:hyperlink>
      <w:r w:rsidRPr="00794DB8">
        <w:rPr>
          <w:rFonts w:ascii="Arial" w:eastAsia="Times New Roman" w:hAnsi="Arial" w:cs="Arial"/>
          <w:color w:val="333333"/>
          <w:sz w:val="18"/>
          <w:szCs w:val="18"/>
          <w:lang w:eastAsia="es-MX"/>
        </w:rPr>
        <w:t> - </w:t>
      </w:r>
      <w:hyperlink r:id="rId10" w:history="1">
        <w:r w:rsidRPr="00794DB8">
          <w:rPr>
            <w:rFonts w:ascii="Arial" w:eastAsia="Times New Roman" w:hAnsi="Arial" w:cs="Arial"/>
            <w:color w:val="0644AA"/>
            <w:sz w:val="18"/>
            <w:szCs w:val="18"/>
            <w:u w:val="single"/>
            <w:lang w:eastAsia="es-MX"/>
          </w:rPr>
          <w:t>chino</w:t>
        </w:r>
      </w:hyperlink>
    </w:p>
    <w:p w:rsidR="00794DB8" w:rsidRPr="00794DB8" w:rsidRDefault="00794DB8" w:rsidP="00794DB8">
      <w:pPr>
        <w:shd w:val="clear" w:color="auto" w:fill="FFFFFF"/>
        <w:spacing w:after="240" w:line="408" w:lineRule="atLeast"/>
        <w:rPr>
          <w:rFonts w:ascii="Georgia" w:eastAsia="Times New Roman" w:hAnsi="Georgia" w:cs="Arial"/>
          <w:color w:val="333333"/>
          <w:sz w:val="18"/>
          <w:szCs w:val="18"/>
          <w:lang w:eastAsia="es-MX"/>
        </w:rPr>
      </w:pPr>
      <w:r w:rsidRPr="00794DB8">
        <w:rPr>
          <w:rFonts w:ascii="Georgia" w:eastAsia="Times New Roman" w:hAnsi="Georgia" w:cs="Arial"/>
          <w:b/>
          <w:bCs/>
          <w:color w:val="333333"/>
          <w:sz w:val="18"/>
          <w:szCs w:val="18"/>
          <w:lang w:eastAsia="es-MX"/>
        </w:rPr>
        <w:t>Ir al artículo : </w:t>
      </w:r>
      <w:hyperlink r:id="rId11" w:anchor="A1" w:history="1">
        <w:r w:rsidRPr="00794DB8">
          <w:rPr>
            <w:rFonts w:ascii="Georgia" w:eastAsia="Times New Roman" w:hAnsi="Georgia" w:cs="Arial"/>
            <w:color w:val="0644AA"/>
            <w:sz w:val="18"/>
            <w:szCs w:val="18"/>
            <w:u w:val="single"/>
            <w:lang w:eastAsia="es-MX"/>
          </w:rPr>
          <w:t>1</w:t>
        </w:r>
      </w:hyperlink>
      <w:r w:rsidRPr="00794DB8">
        <w:rPr>
          <w:rFonts w:ascii="Georgia" w:eastAsia="Times New Roman" w:hAnsi="Georgia" w:cs="Arial"/>
          <w:color w:val="333333"/>
          <w:sz w:val="18"/>
          <w:szCs w:val="18"/>
          <w:lang w:eastAsia="es-MX"/>
        </w:rPr>
        <w:t> </w:t>
      </w:r>
      <w:hyperlink r:id="rId12" w:anchor="A2" w:history="1">
        <w:r w:rsidRPr="00794DB8">
          <w:rPr>
            <w:rFonts w:ascii="Georgia" w:eastAsia="Times New Roman" w:hAnsi="Georgia" w:cs="Arial"/>
            <w:color w:val="0644AA"/>
            <w:sz w:val="18"/>
            <w:szCs w:val="18"/>
            <w:u w:val="single"/>
            <w:lang w:eastAsia="es-MX"/>
          </w:rPr>
          <w:t>2</w:t>
        </w:r>
      </w:hyperlink>
      <w:r w:rsidRPr="00794DB8">
        <w:rPr>
          <w:rFonts w:ascii="Georgia" w:eastAsia="Times New Roman" w:hAnsi="Georgia" w:cs="Arial"/>
          <w:color w:val="333333"/>
          <w:sz w:val="18"/>
          <w:szCs w:val="18"/>
          <w:lang w:eastAsia="es-MX"/>
        </w:rPr>
        <w:t> </w:t>
      </w:r>
      <w:hyperlink r:id="rId13" w:anchor="A3" w:history="1">
        <w:r w:rsidRPr="00794DB8">
          <w:rPr>
            <w:rFonts w:ascii="Georgia" w:eastAsia="Times New Roman" w:hAnsi="Georgia" w:cs="Arial"/>
            <w:color w:val="0644AA"/>
            <w:sz w:val="18"/>
            <w:szCs w:val="18"/>
            <w:u w:val="single"/>
            <w:lang w:eastAsia="es-MX"/>
          </w:rPr>
          <w:t>3</w:t>
        </w:r>
      </w:hyperlink>
      <w:r w:rsidRPr="00794DB8">
        <w:rPr>
          <w:rFonts w:ascii="Georgia" w:eastAsia="Times New Roman" w:hAnsi="Georgia" w:cs="Arial"/>
          <w:color w:val="333333"/>
          <w:sz w:val="18"/>
          <w:szCs w:val="18"/>
          <w:lang w:eastAsia="es-MX"/>
        </w:rPr>
        <w:t> </w:t>
      </w:r>
      <w:hyperlink r:id="rId14" w:anchor="A4" w:history="1">
        <w:r w:rsidRPr="00794DB8">
          <w:rPr>
            <w:rFonts w:ascii="Georgia" w:eastAsia="Times New Roman" w:hAnsi="Georgia" w:cs="Arial"/>
            <w:color w:val="0644AA"/>
            <w:sz w:val="18"/>
            <w:szCs w:val="18"/>
            <w:u w:val="single"/>
            <w:lang w:eastAsia="es-MX"/>
          </w:rPr>
          <w:t>4</w:t>
        </w:r>
      </w:hyperlink>
      <w:r w:rsidRPr="00794DB8">
        <w:rPr>
          <w:rFonts w:ascii="Georgia" w:eastAsia="Times New Roman" w:hAnsi="Georgia" w:cs="Arial"/>
          <w:color w:val="333333"/>
          <w:sz w:val="18"/>
          <w:szCs w:val="18"/>
          <w:lang w:eastAsia="es-MX"/>
        </w:rPr>
        <w:t> </w:t>
      </w:r>
      <w:hyperlink r:id="rId15" w:anchor="A5" w:history="1">
        <w:r w:rsidRPr="00794DB8">
          <w:rPr>
            <w:rFonts w:ascii="Georgia" w:eastAsia="Times New Roman" w:hAnsi="Georgia" w:cs="Arial"/>
            <w:color w:val="0644AA"/>
            <w:sz w:val="18"/>
            <w:szCs w:val="18"/>
            <w:u w:val="single"/>
            <w:lang w:eastAsia="es-MX"/>
          </w:rPr>
          <w:t>5</w:t>
        </w:r>
      </w:hyperlink>
      <w:r w:rsidRPr="00794DB8">
        <w:rPr>
          <w:rFonts w:ascii="Georgia" w:eastAsia="Times New Roman" w:hAnsi="Georgia" w:cs="Arial"/>
          <w:color w:val="333333"/>
          <w:sz w:val="18"/>
          <w:szCs w:val="18"/>
          <w:lang w:eastAsia="es-MX"/>
        </w:rPr>
        <w:t> </w:t>
      </w:r>
      <w:hyperlink r:id="rId16" w:anchor="A6" w:history="1">
        <w:r w:rsidRPr="00794DB8">
          <w:rPr>
            <w:rFonts w:ascii="Georgia" w:eastAsia="Times New Roman" w:hAnsi="Georgia" w:cs="Arial"/>
            <w:color w:val="0644AA"/>
            <w:sz w:val="18"/>
            <w:szCs w:val="18"/>
            <w:u w:val="single"/>
            <w:lang w:eastAsia="es-MX"/>
          </w:rPr>
          <w:t>6</w:t>
        </w:r>
      </w:hyperlink>
      <w:r w:rsidRPr="00794DB8">
        <w:rPr>
          <w:rFonts w:ascii="Georgia" w:eastAsia="Times New Roman" w:hAnsi="Georgia" w:cs="Arial"/>
          <w:color w:val="333333"/>
          <w:sz w:val="18"/>
          <w:szCs w:val="18"/>
          <w:lang w:eastAsia="es-MX"/>
        </w:rPr>
        <w:t> </w:t>
      </w:r>
      <w:hyperlink r:id="rId17" w:anchor="A7" w:history="1">
        <w:r w:rsidRPr="00794DB8">
          <w:rPr>
            <w:rFonts w:ascii="Georgia" w:eastAsia="Times New Roman" w:hAnsi="Georgia" w:cs="Arial"/>
            <w:color w:val="0644AA"/>
            <w:sz w:val="18"/>
            <w:szCs w:val="18"/>
            <w:u w:val="single"/>
            <w:lang w:eastAsia="es-MX"/>
          </w:rPr>
          <w:t>7</w:t>
        </w:r>
      </w:hyperlink>
      <w:r w:rsidRPr="00794DB8">
        <w:rPr>
          <w:rFonts w:ascii="Georgia" w:eastAsia="Times New Roman" w:hAnsi="Georgia" w:cs="Arial"/>
          <w:color w:val="333333"/>
          <w:sz w:val="18"/>
          <w:szCs w:val="18"/>
          <w:lang w:eastAsia="es-MX"/>
        </w:rPr>
        <w:t> </w:t>
      </w:r>
      <w:hyperlink r:id="rId18" w:anchor="A8" w:history="1">
        <w:r w:rsidRPr="00794DB8">
          <w:rPr>
            <w:rFonts w:ascii="Georgia" w:eastAsia="Times New Roman" w:hAnsi="Georgia" w:cs="Arial"/>
            <w:color w:val="0644AA"/>
            <w:sz w:val="18"/>
            <w:szCs w:val="18"/>
            <w:u w:val="single"/>
            <w:lang w:eastAsia="es-MX"/>
          </w:rPr>
          <w:t>8</w:t>
        </w:r>
      </w:hyperlink>
      <w:r w:rsidRPr="00794DB8">
        <w:rPr>
          <w:rFonts w:ascii="Georgia" w:eastAsia="Times New Roman" w:hAnsi="Georgia" w:cs="Arial"/>
          <w:color w:val="333333"/>
          <w:sz w:val="18"/>
          <w:szCs w:val="18"/>
          <w:lang w:eastAsia="es-MX"/>
        </w:rPr>
        <w:t> </w:t>
      </w:r>
      <w:hyperlink r:id="rId19" w:anchor="A9" w:history="1">
        <w:r w:rsidRPr="00794DB8">
          <w:rPr>
            <w:rFonts w:ascii="Georgia" w:eastAsia="Times New Roman" w:hAnsi="Georgia" w:cs="Arial"/>
            <w:color w:val="0644AA"/>
            <w:sz w:val="18"/>
            <w:szCs w:val="18"/>
            <w:u w:val="single"/>
            <w:lang w:eastAsia="es-MX"/>
          </w:rPr>
          <w:t>9</w:t>
        </w:r>
      </w:hyperlink>
      <w:r w:rsidRPr="00794DB8">
        <w:rPr>
          <w:rFonts w:ascii="Georgia" w:eastAsia="Times New Roman" w:hAnsi="Georgia" w:cs="Arial"/>
          <w:color w:val="333333"/>
          <w:sz w:val="18"/>
          <w:szCs w:val="18"/>
          <w:lang w:eastAsia="es-MX"/>
        </w:rPr>
        <w:t> </w:t>
      </w:r>
      <w:hyperlink r:id="rId20" w:anchor="A10" w:history="1">
        <w:r w:rsidRPr="00794DB8">
          <w:rPr>
            <w:rFonts w:ascii="Georgia" w:eastAsia="Times New Roman" w:hAnsi="Georgia" w:cs="Arial"/>
            <w:color w:val="0644AA"/>
            <w:sz w:val="18"/>
            <w:szCs w:val="18"/>
            <w:u w:val="single"/>
            <w:lang w:eastAsia="es-MX"/>
          </w:rPr>
          <w:t>10</w:t>
        </w:r>
      </w:hyperlink>
      <w:r w:rsidRPr="00794DB8">
        <w:rPr>
          <w:rFonts w:ascii="Georgia" w:eastAsia="Times New Roman" w:hAnsi="Georgia" w:cs="Arial"/>
          <w:color w:val="333333"/>
          <w:sz w:val="18"/>
          <w:szCs w:val="18"/>
          <w:lang w:eastAsia="es-MX"/>
        </w:rPr>
        <w:t> </w:t>
      </w:r>
      <w:hyperlink r:id="rId21" w:anchor="A11" w:history="1">
        <w:r w:rsidRPr="00794DB8">
          <w:rPr>
            <w:rFonts w:ascii="Georgia" w:eastAsia="Times New Roman" w:hAnsi="Georgia" w:cs="Arial"/>
            <w:color w:val="0644AA"/>
            <w:sz w:val="18"/>
            <w:szCs w:val="18"/>
            <w:u w:val="single"/>
            <w:lang w:eastAsia="es-MX"/>
          </w:rPr>
          <w:t>11</w:t>
        </w:r>
      </w:hyperlink>
      <w:r w:rsidRPr="00794DB8">
        <w:rPr>
          <w:rFonts w:ascii="Georgia" w:eastAsia="Times New Roman" w:hAnsi="Georgia" w:cs="Arial"/>
          <w:color w:val="333333"/>
          <w:sz w:val="18"/>
          <w:szCs w:val="18"/>
          <w:lang w:eastAsia="es-MX"/>
        </w:rPr>
        <w:t> </w:t>
      </w:r>
      <w:hyperlink r:id="rId22" w:anchor="A12" w:history="1">
        <w:r w:rsidRPr="00794DB8">
          <w:rPr>
            <w:rFonts w:ascii="Georgia" w:eastAsia="Times New Roman" w:hAnsi="Georgia" w:cs="Arial"/>
            <w:color w:val="0644AA"/>
            <w:sz w:val="18"/>
            <w:szCs w:val="18"/>
            <w:u w:val="single"/>
            <w:lang w:eastAsia="es-MX"/>
          </w:rPr>
          <w:t>12</w:t>
        </w:r>
      </w:hyperlink>
      <w:r w:rsidRPr="00794DB8">
        <w:rPr>
          <w:rFonts w:ascii="Georgia" w:eastAsia="Times New Roman" w:hAnsi="Georgia" w:cs="Arial"/>
          <w:color w:val="333333"/>
          <w:sz w:val="18"/>
          <w:szCs w:val="18"/>
          <w:lang w:eastAsia="es-MX"/>
        </w:rPr>
        <w:t> </w:t>
      </w:r>
      <w:hyperlink r:id="rId23" w:anchor="A13" w:history="1">
        <w:r w:rsidRPr="00794DB8">
          <w:rPr>
            <w:rFonts w:ascii="Georgia" w:eastAsia="Times New Roman" w:hAnsi="Georgia" w:cs="Arial"/>
            <w:color w:val="0644AA"/>
            <w:sz w:val="18"/>
            <w:szCs w:val="18"/>
            <w:u w:val="single"/>
            <w:lang w:eastAsia="es-MX"/>
          </w:rPr>
          <w:t>13</w:t>
        </w:r>
      </w:hyperlink>
      <w:r w:rsidRPr="00794DB8">
        <w:rPr>
          <w:rFonts w:ascii="Georgia" w:eastAsia="Times New Roman" w:hAnsi="Georgia" w:cs="Arial"/>
          <w:color w:val="333333"/>
          <w:sz w:val="18"/>
          <w:szCs w:val="18"/>
          <w:lang w:eastAsia="es-MX"/>
        </w:rPr>
        <w:t> </w:t>
      </w:r>
      <w:hyperlink r:id="rId24" w:anchor="A14" w:history="1">
        <w:r w:rsidRPr="00794DB8">
          <w:rPr>
            <w:rFonts w:ascii="Georgia" w:eastAsia="Times New Roman" w:hAnsi="Georgia" w:cs="Arial"/>
            <w:color w:val="0644AA"/>
            <w:sz w:val="18"/>
            <w:szCs w:val="18"/>
            <w:u w:val="single"/>
            <w:lang w:eastAsia="es-MX"/>
          </w:rPr>
          <w:t>14</w:t>
        </w:r>
      </w:hyperlink>
      <w:r w:rsidRPr="00794DB8">
        <w:rPr>
          <w:rFonts w:ascii="Georgia" w:eastAsia="Times New Roman" w:hAnsi="Georgia" w:cs="Arial"/>
          <w:color w:val="333333"/>
          <w:sz w:val="18"/>
          <w:szCs w:val="18"/>
          <w:lang w:eastAsia="es-MX"/>
        </w:rPr>
        <w:t> </w:t>
      </w:r>
      <w:hyperlink r:id="rId25" w:anchor="A15" w:history="1">
        <w:r w:rsidRPr="00794DB8">
          <w:rPr>
            <w:rFonts w:ascii="Georgia" w:eastAsia="Times New Roman" w:hAnsi="Georgia" w:cs="Arial"/>
            <w:color w:val="0644AA"/>
            <w:sz w:val="18"/>
            <w:szCs w:val="18"/>
            <w:u w:val="single"/>
            <w:lang w:eastAsia="es-MX"/>
          </w:rPr>
          <w:t>15</w:t>
        </w:r>
      </w:hyperlink>
    </w:p>
    <w:p w:rsidR="00794DB8" w:rsidRPr="00794DB8" w:rsidRDefault="00794DB8" w:rsidP="00794DB8">
      <w:pPr>
        <w:pBdr>
          <w:top w:val="single" w:sz="6" w:space="2" w:color="BBBBBB"/>
          <w:bottom w:val="single" w:sz="6" w:space="2" w:color="BBBBBB"/>
        </w:pBdr>
        <w:shd w:val="clear" w:color="auto" w:fill="F6F0E1"/>
        <w:spacing w:after="225" w:line="408" w:lineRule="atLeast"/>
        <w:jc w:val="center"/>
        <w:outlineLvl w:val="1"/>
        <w:rPr>
          <w:rFonts w:ascii="Georgia" w:eastAsia="Times New Roman" w:hAnsi="Georgia" w:cs="Arial"/>
          <w:b/>
          <w:bCs/>
          <w:color w:val="B92517"/>
          <w:sz w:val="23"/>
          <w:szCs w:val="23"/>
          <w:lang w:eastAsia="es-MX"/>
        </w:rPr>
      </w:pPr>
      <w:r w:rsidRPr="00794DB8">
        <w:rPr>
          <w:rFonts w:ascii="Georgia" w:eastAsia="Times New Roman" w:hAnsi="Georgia" w:cs="Arial"/>
          <w:b/>
          <w:bCs/>
          <w:color w:val="B92517"/>
          <w:sz w:val="23"/>
          <w:szCs w:val="23"/>
          <w:lang w:eastAsia="es-MX"/>
        </w:rPr>
        <w:t>Preámbulo</w:t>
      </w:r>
    </w:p>
    <w:p w:rsidR="00794DB8" w:rsidRPr="00794DB8" w:rsidRDefault="00794DB8" w:rsidP="00794DB8">
      <w:pPr>
        <w:shd w:val="clear" w:color="auto" w:fill="F3F3F3"/>
        <w:spacing w:after="240" w:line="408" w:lineRule="atLeast"/>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La Conferencia General de la Organización Internacional del Trabajo:</w:t>
      </w:r>
    </w:p>
    <w:p w:rsidR="00794DB8" w:rsidRPr="00794DB8" w:rsidRDefault="00794DB8" w:rsidP="00794DB8">
      <w:pPr>
        <w:shd w:val="clear" w:color="auto" w:fill="F3F3F3"/>
        <w:spacing w:after="240" w:line="408" w:lineRule="atLeast"/>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Convocada en Ginebra por el Consejo de Administración de la Oficina Internacional del Trabajo, y congregada en dicha ciudad, en su tercera reunión, el 25 de octubre de 1921;</w:t>
      </w:r>
    </w:p>
    <w:p w:rsidR="00794DB8" w:rsidRPr="00794DB8" w:rsidRDefault="00794DB8" w:rsidP="00794DB8">
      <w:pPr>
        <w:shd w:val="clear" w:color="auto" w:fill="F3F3F3"/>
        <w:spacing w:after="240" w:line="408" w:lineRule="atLeast"/>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Después de haber decidido adoptar diversas proposiciones relativas a la prohibición del empleo de la cerusa en la pintura, cuestión que constituye el sexto punto del orden del día de la reunión, y</w:t>
      </w:r>
    </w:p>
    <w:p w:rsidR="00794DB8" w:rsidRPr="00794DB8" w:rsidRDefault="00794DB8" w:rsidP="00794DB8">
      <w:pPr>
        <w:shd w:val="clear" w:color="auto" w:fill="F3F3F3"/>
        <w:spacing w:after="240" w:line="408" w:lineRule="atLeast"/>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Después de haber decidido que dichas proposiciones revistan la forma de un convenio internacional,</w:t>
      </w:r>
    </w:p>
    <w:p w:rsidR="00794DB8" w:rsidRPr="00794DB8" w:rsidRDefault="00794DB8" w:rsidP="00794DB8">
      <w:pPr>
        <w:shd w:val="clear" w:color="auto" w:fill="F3F3F3"/>
        <w:spacing w:line="408" w:lineRule="atLeast"/>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adopta el siguiente Convenio, que podrá ser citado como el Convenio sobre la cerusa (pintura), 1921, y que será sometido a la ratificación de los Miembros de la Organización Internacional del Trabajo, de acuerdo con las disposiciones de la Constitución de la Organización Internacional del Trabajo:</w:t>
      </w:r>
    </w:p>
    <w:p w:rsidR="00794DB8" w:rsidRPr="00794DB8" w:rsidRDefault="00794DB8" w:rsidP="00794DB8">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0" w:name="A1"/>
      <w:bookmarkEnd w:id="0"/>
      <w:r w:rsidRPr="00794DB8">
        <w:rPr>
          <w:rFonts w:ascii="Georgia" w:eastAsia="Times New Roman" w:hAnsi="Georgia" w:cs="Arial"/>
          <w:b/>
          <w:bCs/>
          <w:i/>
          <w:iCs/>
          <w:color w:val="333333"/>
          <w:sz w:val="21"/>
          <w:szCs w:val="21"/>
          <w:lang w:eastAsia="es-MX"/>
        </w:rPr>
        <w:t>Artículo 1</w:t>
      </w:r>
    </w:p>
    <w:p w:rsidR="00794DB8" w:rsidRPr="00794DB8" w:rsidRDefault="00794DB8" w:rsidP="00794DB8">
      <w:pPr>
        <w:numPr>
          <w:ilvl w:val="0"/>
          <w:numId w:val="3"/>
        </w:numPr>
        <w:shd w:val="clear" w:color="auto" w:fill="FFFFFF"/>
        <w:spacing w:after="144" w:line="408" w:lineRule="atLeast"/>
        <w:ind w:left="0"/>
        <w:rPr>
          <w:rFonts w:ascii="Georgia" w:eastAsia="Times New Roman" w:hAnsi="Georgia" w:cs="Arial"/>
          <w:color w:val="333333"/>
          <w:sz w:val="18"/>
          <w:szCs w:val="18"/>
          <w:lang w:eastAsia="es-MX"/>
        </w:rPr>
      </w:pPr>
      <w:bookmarkStart w:id="1" w:name="A1P1"/>
      <w:bookmarkEnd w:id="1"/>
      <w:r w:rsidRPr="00794DB8">
        <w:rPr>
          <w:rFonts w:ascii="Georgia" w:eastAsia="Times New Roman" w:hAnsi="Georgia" w:cs="Arial"/>
          <w:color w:val="333333"/>
          <w:sz w:val="18"/>
          <w:szCs w:val="18"/>
          <w:lang w:eastAsia="es-MX"/>
        </w:rPr>
        <w:t>1. Todo Miembro de la Organización Internacional del Trabajo que ratifique el presente Convenio se obliga a prohibir, a reserva de las excepciones previstas en el artículo 2, el empleo de cerusa, de sulfato de plomo y de cualquier otro producto que contenga dichos pigmentos, en los trabajos de pintura interior de los edificios, con excepción de las estaciones de ferrocarril y de los establecimientos industriales en los que el empleo de la cerusa, del sulfato de plomo o de cualquier otro producto que contenga dichos pigmentos sea declarado necesario por las autoridades competentes, previa consulta a las organizaciones interesadas de empleadores y de trabajadores.</w:t>
      </w:r>
    </w:p>
    <w:p w:rsidR="00794DB8" w:rsidRPr="00794DB8" w:rsidRDefault="00794DB8" w:rsidP="00794DB8">
      <w:pPr>
        <w:numPr>
          <w:ilvl w:val="0"/>
          <w:numId w:val="3"/>
        </w:numPr>
        <w:shd w:val="clear" w:color="auto" w:fill="FFFFFF"/>
        <w:spacing w:after="144" w:line="408" w:lineRule="atLeast"/>
        <w:ind w:left="0"/>
        <w:rPr>
          <w:rFonts w:ascii="Georgia" w:eastAsia="Times New Roman" w:hAnsi="Georgia" w:cs="Arial"/>
          <w:color w:val="333333"/>
          <w:sz w:val="18"/>
          <w:szCs w:val="18"/>
          <w:lang w:eastAsia="es-MX"/>
        </w:rPr>
      </w:pPr>
      <w:bookmarkStart w:id="2" w:name="A1P2"/>
      <w:bookmarkEnd w:id="2"/>
      <w:r w:rsidRPr="00794DB8">
        <w:rPr>
          <w:rFonts w:ascii="Georgia" w:eastAsia="Times New Roman" w:hAnsi="Georgia" w:cs="Arial"/>
          <w:color w:val="333333"/>
          <w:sz w:val="18"/>
          <w:szCs w:val="18"/>
          <w:lang w:eastAsia="es-MX"/>
        </w:rPr>
        <w:lastRenderedPageBreak/>
        <w:t>2. Queda, no obstante, autorizado el empleo de pigmentos blancos que contengan como máximo un 2 por ciento de plomo, expresado en plomo metal.</w:t>
      </w:r>
    </w:p>
    <w:p w:rsidR="00794DB8" w:rsidRPr="00794DB8" w:rsidRDefault="00794DB8" w:rsidP="00794DB8">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3" w:name="A2"/>
      <w:bookmarkEnd w:id="3"/>
      <w:r w:rsidRPr="00794DB8">
        <w:rPr>
          <w:rFonts w:ascii="Georgia" w:eastAsia="Times New Roman" w:hAnsi="Georgia" w:cs="Arial"/>
          <w:b/>
          <w:bCs/>
          <w:i/>
          <w:iCs/>
          <w:color w:val="333333"/>
          <w:sz w:val="21"/>
          <w:szCs w:val="21"/>
          <w:lang w:eastAsia="es-MX"/>
        </w:rPr>
        <w:t>Artículo 2</w:t>
      </w:r>
    </w:p>
    <w:p w:rsidR="00794DB8" w:rsidRPr="00794DB8" w:rsidRDefault="00794DB8" w:rsidP="00794DB8">
      <w:pPr>
        <w:numPr>
          <w:ilvl w:val="0"/>
          <w:numId w:val="4"/>
        </w:numPr>
        <w:shd w:val="clear" w:color="auto" w:fill="FFFFFF"/>
        <w:spacing w:after="144" w:line="408" w:lineRule="atLeast"/>
        <w:ind w:left="0"/>
        <w:rPr>
          <w:rFonts w:ascii="Georgia" w:eastAsia="Times New Roman" w:hAnsi="Georgia" w:cs="Arial"/>
          <w:color w:val="333333"/>
          <w:sz w:val="18"/>
          <w:szCs w:val="18"/>
          <w:lang w:eastAsia="es-MX"/>
        </w:rPr>
      </w:pPr>
      <w:bookmarkStart w:id="4" w:name="A2P1"/>
      <w:bookmarkEnd w:id="4"/>
      <w:r w:rsidRPr="00794DB8">
        <w:rPr>
          <w:rFonts w:ascii="Georgia" w:eastAsia="Times New Roman" w:hAnsi="Georgia" w:cs="Arial"/>
          <w:color w:val="333333"/>
          <w:sz w:val="18"/>
          <w:szCs w:val="18"/>
          <w:lang w:eastAsia="es-MX"/>
        </w:rPr>
        <w:t>1. Las disposiciones del artículo 1 no se aplicarán a la pintura decorativa ni a los trabajos de hilatura y de plastecido.</w:t>
      </w:r>
    </w:p>
    <w:p w:rsidR="00794DB8" w:rsidRPr="00794DB8" w:rsidRDefault="00794DB8" w:rsidP="00794DB8">
      <w:pPr>
        <w:numPr>
          <w:ilvl w:val="0"/>
          <w:numId w:val="4"/>
        </w:numPr>
        <w:shd w:val="clear" w:color="auto" w:fill="FFFFFF"/>
        <w:spacing w:after="144" w:line="408" w:lineRule="atLeast"/>
        <w:ind w:left="0"/>
        <w:rPr>
          <w:rFonts w:ascii="Georgia" w:eastAsia="Times New Roman" w:hAnsi="Georgia" w:cs="Arial"/>
          <w:color w:val="333333"/>
          <w:sz w:val="18"/>
          <w:szCs w:val="18"/>
          <w:lang w:eastAsia="es-MX"/>
        </w:rPr>
      </w:pPr>
      <w:bookmarkStart w:id="5" w:name="A2P2"/>
      <w:bookmarkEnd w:id="5"/>
      <w:r w:rsidRPr="00794DB8">
        <w:rPr>
          <w:rFonts w:ascii="Georgia" w:eastAsia="Times New Roman" w:hAnsi="Georgia" w:cs="Arial"/>
          <w:color w:val="333333"/>
          <w:sz w:val="18"/>
          <w:szCs w:val="18"/>
          <w:lang w:eastAsia="es-MX"/>
        </w:rPr>
        <w:t>2. Cada gobierno determinará la línea de demarcación entre los diferentes géneros de pintura, y reglamentará el empleo de la cerusa, del sulfato de plomo y de cualquier producto que contenga dichos pigmentos, en los expresados trabajos, de conformidad con las disposiciones de los artículos 5, 6 y 7 del presente Convenio.</w:t>
      </w:r>
    </w:p>
    <w:p w:rsidR="00794DB8" w:rsidRPr="00794DB8" w:rsidRDefault="00794DB8" w:rsidP="00794DB8">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6" w:name="A3"/>
      <w:bookmarkEnd w:id="6"/>
      <w:r w:rsidRPr="00794DB8">
        <w:rPr>
          <w:rFonts w:ascii="Georgia" w:eastAsia="Times New Roman" w:hAnsi="Georgia" w:cs="Arial"/>
          <w:b/>
          <w:bCs/>
          <w:i/>
          <w:iCs/>
          <w:color w:val="333333"/>
          <w:sz w:val="21"/>
          <w:szCs w:val="21"/>
          <w:lang w:eastAsia="es-MX"/>
        </w:rPr>
        <w:t>Artículo 3</w:t>
      </w:r>
    </w:p>
    <w:p w:rsidR="00794DB8" w:rsidRPr="00794DB8" w:rsidRDefault="00794DB8" w:rsidP="00794DB8">
      <w:pPr>
        <w:numPr>
          <w:ilvl w:val="0"/>
          <w:numId w:val="5"/>
        </w:numPr>
        <w:shd w:val="clear" w:color="auto" w:fill="FFFFFF"/>
        <w:spacing w:after="144" w:line="408" w:lineRule="atLeast"/>
        <w:ind w:left="0"/>
        <w:rPr>
          <w:rFonts w:ascii="Georgia" w:eastAsia="Times New Roman" w:hAnsi="Georgia" w:cs="Arial"/>
          <w:color w:val="333333"/>
          <w:sz w:val="18"/>
          <w:szCs w:val="18"/>
          <w:lang w:eastAsia="es-MX"/>
        </w:rPr>
      </w:pPr>
      <w:bookmarkStart w:id="7" w:name="A3P1"/>
      <w:bookmarkEnd w:id="7"/>
      <w:r w:rsidRPr="00794DB8">
        <w:rPr>
          <w:rFonts w:ascii="Georgia" w:eastAsia="Times New Roman" w:hAnsi="Georgia" w:cs="Arial"/>
          <w:color w:val="333333"/>
          <w:sz w:val="18"/>
          <w:szCs w:val="18"/>
          <w:lang w:eastAsia="es-MX"/>
        </w:rPr>
        <w:t>1. Queda prohibido emplear a los jóvenes menores de dieciocho años y a las mujeres en trabajos de pintura industrial que entrañen el empleo de cerusa, de sulfato de plomo o de cualquier otro producto que contenga dichos pigmentos.</w:t>
      </w:r>
    </w:p>
    <w:p w:rsidR="00794DB8" w:rsidRPr="00794DB8" w:rsidRDefault="00794DB8" w:rsidP="00794DB8">
      <w:pPr>
        <w:numPr>
          <w:ilvl w:val="0"/>
          <w:numId w:val="5"/>
        </w:numPr>
        <w:shd w:val="clear" w:color="auto" w:fill="FFFFFF"/>
        <w:spacing w:after="144" w:line="408" w:lineRule="atLeast"/>
        <w:ind w:left="0"/>
        <w:rPr>
          <w:rFonts w:ascii="Georgia" w:eastAsia="Times New Roman" w:hAnsi="Georgia" w:cs="Arial"/>
          <w:color w:val="333333"/>
          <w:sz w:val="18"/>
          <w:szCs w:val="18"/>
          <w:lang w:eastAsia="es-MX"/>
        </w:rPr>
      </w:pPr>
      <w:bookmarkStart w:id="8" w:name="A3P2"/>
      <w:bookmarkEnd w:id="8"/>
      <w:r w:rsidRPr="00794DB8">
        <w:rPr>
          <w:rFonts w:ascii="Georgia" w:eastAsia="Times New Roman" w:hAnsi="Georgia" w:cs="Arial"/>
          <w:color w:val="333333"/>
          <w:sz w:val="18"/>
          <w:szCs w:val="18"/>
          <w:lang w:eastAsia="es-MX"/>
        </w:rPr>
        <w:t>2. Las autoridades competentes, previa consulta a las organizaciones interesadas de empleadores y de trabajadores, podrán permitir que los aprendices de pintor sean empleados, para su educación profesional, en los trabajos prohibidos en el párrafo precedente.</w:t>
      </w:r>
    </w:p>
    <w:p w:rsidR="00794DB8" w:rsidRPr="00794DB8" w:rsidRDefault="00794DB8" w:rsidP="00794DB8">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9" w:name="A4"/>
      <w:bookmarkEnd w:id="9"/>
      <w:r w:rsidRPr="00794DB8">
        <w:rPr>
          <w:rFonts w:ascii="Georgia" w:eastAsia="Times New Roman" w:hAnsi="Georgia" w:cs="Arial"/>
          <w:b/>
          <w:bCs/>
          <w:i/>
          <w:iCs/>
          <w:color w:val="333333"/>
          <w:sz w:val="21"/>
          <w:szCs w:val="21"/>
          <w:lang w:eastAsia="es-MX"/>
        </w:rPr>
        <w:t>Artículo 4</w:t>
      </w:r>
    </w:p>
    <w:p w:rsidR="00794DB8" w:rsidRPr="00794DB8" w:rsidRDefault="00794DB8" w:rsidP="00794DB8">
      <w:pPr>
        <w:shd w:val="clear" w:color="auto" w:fill="FFFFFF"/>
        <w:spacing w:after="240" w:line="408" w:lineRule="atLeast"/>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Las prohibiciones contenidas en los artículos 1 y 3 entrarán en vigor seis años después de la fecha de clausura de la tercera reunión de la Conferencia Internacional del Trabajo.</w:t>
      </w:r>
    </w:p>
    <w:p w:rsidR="00794DB8" w:rsidRPr="00794DB8" w:rsidRDefault="00794DB8" w:rsidP="00794DB8">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0" w:name="A5"/>
      <w:bookmarkEnd w:id="10"/>
      <w:r w:rsidRPr="00794DB8">
        <w:rPr>
          <w:rFonts w:ascii="Georgia" w:eastAsia="Times New Roman" w:hAnsi="Georgia" w:cs="Arial"/>
          <w:b/>
          <w:bCs/>
          <w:i/>
          <w:iCs/>
          <w:color w:val="333333"/>
          <w:sz w:val="21"/>
          <w:szCs w:val="21"/>
          <w:lang w:eastAsia="es-MX"/>
        </w:rPr>
        <w:t>Artículo 5</w:t>
      </w:r>
    </w:p>
    <w:p w:rsidR="00794DB8" w:rsidRPr="00794DB8" w:rsidRDefault="00794DB8" w:rsidP="00794DB8">
      <w:pPr>
        <w:shd w:val="clear" w:color="auto" w:fill="FFFFFF"/>
        <w:spacing w:after="240" w:line="408" w:lineRule="atLeast"/>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Todo Miembro de la Organización Internacional del Trabajo que ratifique el presente Convenio se obliga a reglamentar, sobre la base de los siguientes principios, el empleo de cerusa, de sulfato de plomo y de cualquier otro producto que contenga estos pigmentos en los trabajos en que no esté prohibido su empleo:</w:t>
      </w:r>
    </w:p>
    <w:p w:rsidR="00794DB8" w:rsidRPr="00794DB8" w:rsidRDefault="00794DB8" w:rsidP="00794DB8">
      <w:pPr>
        <w:numPr>
          <w:ilvl w:val="0"/>
          <w:numId w:val="6"/>
        </w:numPr>
        <w:shd w:val="clear" w:color="auto" w:fill="FFFFFF"/>
        <w:spacing w:after="144" w:line="408" w:lineRule="atLeast"/>
        <w:ind w:left="480"/>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I.</w:t>
      </w:r>
    </w:p>
    <w:p w:rsidR="00794DB8" w:rsidRPr="00794DB8" w:rsidRDefault="00794DB8" w:rsidP="00794DB8">
      <w:pPr>
        <w:numPr>
          <w:ilvl w:val="1"/>
          <w:numId w:val="6"/>
        </w:numPr>
        <w:shd w:val="clear" w:color="auto" w:fill="FFFFFF"/>
        <w:spacing w:after="144" w:line="408" w:lineRule="atLeast"/>
        <w:ind w:left="960"/>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(a) La cerusa, el sulfato de plomo o los productos que contengan dichos pigmentos no podrán ser utilizados en los trabajos de pintura sino en forma de pasta o de pintura ya preparada para su empleo.</w:t>
      </w:r>
    </w:p>
    <w:p w:rsidR="00794DB8" w:rsidRPr="00794DB8" w:rsidRDefault="00794DB8" w:rsidP="00794DB8">
      <w:pPr>
        <w:numPr>
          <w:ilvl w:val="1"/>
          <w:numId w:val="6"/>
        </w:numPr>
        <w:shd w:val="clear" w:color="auto" w:fill="FFFFFF"/>
        <w:spacing w:after="144" w:line="408" w:lineRule="atLeast"/>
        <w:ind w:left="960"/>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lastRenderedPageBreak/>
        <w:t>(b) Se deberán tomar medidas para evitar el peligro procedente de la aplicación de la pintura por pulverización.</w:t>
      </w:r>
    </w:p>
    <w:p w:rsidR="00794DB8" w:rsidRPr="00794DB8" w:rsidRDefault="00794DB8" w:rsidP="00794DB8">
      <w:pPr>
        <w:numPr>
          <w:ilvl w:val="1"/>
          <w:numId w:val="6"/>
        </w:numPr>
        <w:shd w:val="clear" w:color="auto" w:fill="FFFFFF"/>
        <w:spacing w:after="144" w:line="408" w:lineRule="atLeast"/>
        <w:ind w:left="960"/>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(c) Se deberán tomar medidas, siempre que sea posible, para evitar el peligro del polvo provocado por el apomazado y el raspado en seco.</w:t>
      </w:r>
    </w:p>
    <w:p w:rsidR="00794DB8" w:rsidRPr="00794DB8" w:rsidRDefault="00794DB8" w:rsidP="00794DB8">
      <w:pPr>
        <w:numPr>
          <w:ilvl w:val="0"/>
          <w:numId w:val="6"/>
        </w:numPr>
        <w:shd w:val="clear" w:color="auto" w:fill="FFFFFF"/>
        <w:spacing w:after="144" w:line="408" w:lineRule="atLeast"/>
        <w:ind w:left="480"/>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II.</w:t>
      </w:r>
    </w:p>
    <w:p w:rsidR="00794DB8" w:rsidRPr="00794DB8" w:rsidRDefault="00794DB8" w:rsidP="00794DB8">
      <w:pPr>
        <w:numPr>
          <w:ilvl w:val="1"/>
          <w:numId w:val="6"/>
        </w:numPr>
        <w:shd w:val="clear" w:color="auto" w:fill="FFFFFF"/>
        <w:spacing w:after="144" w:line="408" w:lineRule="atLeast"/>
        <w:ind w:left="960"/>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(a) Se deberán tomar medidas para que los obreros pintores puedan lavarse durante el trabajo y a la terminación del mismo.</w:t>
      </w:r>
    </w:p>
    <w:p w:rsidR="00794DB8" w:rsidRPr="00794DB8" w:rsidRDefault="00794DB8" w:rsidP="00794DB8">
      <w:pPr>
        <w:numPr>
          <w:ilvl w:val="1"/>
          <w:numId w:val="6"/>
        </w:numPr>
        <w:shd w:val="clear" w:color="auto" w:fill="FFFFFF"/>
        <w:spacing w:after="144" w:line="408" w:lineRule="atLeast"/>
        <w:ind w:left="960"/>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(b) Los obreros pintores deberán usar ropa de trabajo todo el tiempo que dure el trabajo.</w:t>
      </w:r>
    </w:p>
    <w:p w:rsidR="00794DB8" w:rsidRPr="00794DB8" w:rsidRDefault="00794DB8" w:rsidP="00794DB8">
      <w:pPr>
        <w:numPr>
          <w:ilvl w:val="1"/>
          <w:numId w:val="6"/>
        </w:numPr>
        <w:shd w:val="clear" w:color="auto" w:fill="FFFFFF"/>
        <w:spacing w:after="144" w:line="408" w:lineRule="atLeast"/>
        <w:ind w:left="960"/>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(c) Se deberán establecer disposiciones apropiadas para evitar que la ropa que no se use durante el trabajo se ensucie con los materiales empleados en la pintura.</w:t>
      </w:r>
    </w:p>
    <w:p w:rsidR="00794DB8" w:rsidRPr="00794DB8" w:rsidRDefault="00794DB8" w:rsidP="00794DB8">
      <w:pPr>
        <w:numPr>
          <w:ilvl w:val="0"/>
          <w:numId w:val="6"/>
        </w:numPr>
        <w:shd w:val="clear" w:color="auto" w:fill="FFFFFF"/>
        <w:spacing w:after="144" w:line="408" w:lineRule="atLeast"/>
        <w:ind w:left="480"/>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III.</w:t>
      </w:r>
    </w:p>
    <w:p w:rsidR="00794DB8" w:rsidRPr="00794DB8" w:rsidRDefault="00794DB8" w:rsidP="00794DB8">
      <w:pPr>
        <w:numPr>
          <w:ilvl w:val="1"/>
          <w:numId w:val="6"/>
        </w:numPr>
        <w:shd w:val="clear" w:color="auto" w:fill="FFFFFF"/>
        <w:spacing w:after="144" w:line="408" w:lineRule="atLeast"/>
        <w:ind w:left="960"/>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(a) Se deberán declarar los casos de saturnismo y los casos presuntos de saturnismo, y más tarde deberán ser comprobados por un médico designado por la autoridad competente.</w:t>
      </w:r>
    </w:p>
    <w:p w:rsidR="00794DB8" w:rsidRPr="00794DB8" w:rsidRDefault="00794DB8" w:rsidP="00794DB8">
      <w:pPr>
        <w:numPr>
          <w:ilvl w:val="1"/>
          <w:numId w:val="6"/>
        </w:numPr>
        <w:shd w:val="clear" w:color="auto" w:fill="FFFFFF"/>
        <w:spacing w:after="144" w:line="408" w:lineRule="atLeast"/>
        <w:ind w:left="960"/>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(b) La autoridad competente podrá exigir, cuando lo estime necesario, el examen médico de los trabajadores.</w:t>
      </w:r>
    </w:p>
    <w:p w:rsidR="00794DB8" w:rsidRPr="00794DB8" w:rsidRDefault="00794DB8" w:rsidP="00794DB8">
      <w:pPr>
        <w:numPr>
          <w:ilvl w:val="0"/>
          <w:numId w:val="6"/>
        </w:numPr>
        <w:shd w:val="clear" w:color="auto" w:fill="FFFFFF"/>
        <w:spacing w:after="144" w:line="408" w:lineRule="atLeast"/>
        <w:ind w:left="480"/>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IV. Se deberán distribuir entre los obreros pintores instrucciones sobre las precauciones especiales de higiene concernientes a su profesión</w:t>
      </w:r>
    </w:p>
    <w:p w:rsidR="00794DB8" w:rsidRPr="00794DB8" w:rsidRDefault="00794DB8" w:rsidP="00794DB8">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1" w:name="A6"/>
      <w:bookmarkEnd w:id="11"/>
      <w:r w:rsidRPr="00794DB8">
        <w:rPr>
          <w:rFonts w:ascii="Georgia" w:eastAsia="Times New Roman" w:hAnsi="Georgia" w:cs="Arial"/>
          <w:b/>
          <w:bCs/>
          <w:i/>
          <w:iCs/>
          <w:color w:val="333333"/>
          <w:sz w:val="21"/>
          <w:szCs w:val="21"/>
          <w:lang w:eastAsia="es-MX"/>
        </w:rPr>
        <w:t>Artículo 6</w:t>
      </w:r>
    </w:p>
    <w:p w:rsidR="00794DB8" w:rsidRPr="00794DB8" w:rsidRDefault="00794DB8" w:rsidP="00794DB8">
      <w:pPr>
        <w:shd w:val="clear" w:color="auto" w:fill="FFFFFF"/>
        <w:spacing w:after="240" w:line="408" w:lineRule="atLeast"/>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A fin de lograr el cumplimiento de la reglamentación prevista en los artículos precedentes, la autoridad competente adoptará las medidas que juzgue necesarias, previa consulta a las organizaciones interesadas de empleadores y de trabajadores.</w:t>
      </w:r>
    </w:p>
    <w:p w:rsidR="00794DB8" w:rsidRPr="00794DB8" w:rsidRDefault="00794DB8" w:rsidP="00794DB8">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2" w:name="A7"/>
      <w:bookmarkEnd w:id="12"/>
      <w:r w:rsidRPr="00794DB8">
        <w:rPr>
          <w:rFonts w:ascii="Georgia" w:eastAsia="Times New Roman" w:hAnsi="Georgia" w:cs="Arial"/>
          <w:b/>
          <w:bCs/>
          <w:i/>
          <w:iCs/>
          <w:color w:val="333333"/>
          <w:sz w:val="21"/>
          <w:szCs w:val="21"/>
          <w:lang w:eastAsia="es-MX"/>
        </w:rPr>
        <w:t>Artículo 7</w:t>
      </w:r>
    </w:p>
    <w:p w:rsidR="00794DB8" w:rsidRPr="00794DB8" w:rsidRDefault="00794DB8" w:rsidP="00794DB8">
      <w:pPr>
        <w:shd w:val="clear" w:color="auto" w:fill="FFFFFF"/>
        <w:spacing w:after="240" w:line="408" w:lineRule="atLeast"/>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Se deberán elaborar estadísticas sobre el saturnismo de los obreros pintores en lo que respecta a:</w:t>
      </w:r>
    </w:p>
    <w:p w:rsidR="00794DB8" w:rsidRPr="00794DB8" w:rsidRDefault="00794DB8" w:rsidP="00794DB8">
      <w:pPr>
        <w:numPr>
          <w:ilvl w:val="0"/>
          <w:numId w:val="7"/>
        </w:numPr>
        <w:shd w:val="clear" w:color="auto" w:fill="FFFFFF"/>
        <w:spacing w:after="144" w:line="408" w:lineRule="atLeast"/>
        <w:ind w:left="480"/>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(a) la morbilidad, por medio de la declaración y comprobación de todos los casos de saturnismo;</w:t>
      </w:r>
    </w:p>
    <w:p w:rsidR="00794DB8" w:rsidRPr="00794DB8" w:rsidRDefault="00794DB8" w:rsidP="00794DB8">
      <w:pPr>
        <w:numPr>
          <w:ilvl w:val="0"/>
          <w:numId w:val="7"/>
        </w:numPr>
        <w:shd w:val="clear" w:color="auto" w:fill="FFFFFF"/>
        <w:spacing w:after="144" w:line="408" w:lineRule="atLeast"/>
        <w:ind w:left="480"/>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(b) la mortalidad, de acuerdo con un procedimiento aprobado por el servicio oficial de estadística de cada país.</w:t>
      </w:r>
    </w:p>
    <w:p w:rsidR="00794DB8" w:rsidRPr="00794DB8" w:rsidRDefault="00794DB8" w:rsidP="00794DB8">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3" w:name="A8"/>
      <w:bookmarkEnd w:id="13"/>
      <w:r w:rsidRPr="00794DB8">
        <w:rPr>
          <w:rFonts w:ascii="Georgia" w:eastAsia="Times New Roman" w:hAnsi="Georgia" w:cs="Arial"/>
          <w:b/>
          <w:bCs/>
          <w:i/>
          <w:iCs/>
          <w:color w:val="333333"/>
          <w:sz w:val="21"/>
          <w:szCs w:val="21"/>
          <w:lang w:eastAsia="es-MX"/>
        </w:rPr>
        <w:lastRenderedPageBreak/>
        <w:t>Artículo 8</w:t>
      </w:r>
    </w:p>
    <w:p w:rsidR="00794DB8" w:rsidRPr="00794DB8" w:rsidRDefault="00794DB8" w:rsidP="00794DB8">
      <w:pPr>
        <w:shd w:val="clear" w:color="auto" w:fill="FFFFFF"/>
        <w:spacing w:after="240" w:line="408" w:lineRule="atLeast"/>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Las ratificaciones formales del presente Convenio, de acuerdo con las condiciones establecidas por la Constitución de la Organización Internacional del Trabajo, serán comunicadas, para su registro, al Director General de la Oficina Internacional del Trabajo.</w:t>
      </w:r>
    </w:p>
    <w:p w:rsidR="00794DB8" w:rsidRPr="00794DB8" w:rsidRDefault="00794DB8" w:rsidP="00794DB8">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4" w:name="A9"/>
      <w:bookmarkEnd w:id="14"/>
      <w:r w:rsidRPr="00794DB8">
        <w:rPr>
          <w:rFonts w:ascii="Georgia" w:eastAsia="Times New Roman" w:hAnsi="Georgia" w:cs="Arial"/>
          <w:b/>
          <w:bCs/>
          <w:i/>
          <w:iCs/>
          <w:color w:val="333333"/>
          <w:sz w:val="21"/>
          <w:szCs w:val="21"/>
          <w:lang w:eastAsia="es-MX"/>
        </w:rPr>
        <w:t>Artículo 9</w:t>
      </w:r>
    </w:p>
    <w:p w:rsidR="00794DB8" w:rsidRPr="00794DB8" w:rsidRDefault="00794DB8" w:rsidP="00794DB8">
      <w:pPr>
        <w:numPr>
          <w:ilvl w:val="0"/>
          <w:numId w:val="8"/>
        </w:numPr>
        <w:shd w:val="clear" w:color="auto" w:fill="FFFFFF"/>
        <w:spacing w:after="144" w:line="408" w:lineRule="atLeast"/>
        <w:ind w:left="0"/>
        <w:rPr>
          <w:rFonts w:ascii="Georgia" w:eastAsia="Times New Roman" w:hAnsi="Georgia" w:cs="Arial"/>
          <w:color w:val="333333"/>
          <w:sz w:val="18"/>
          <w:szCs w:val="18"/>
          <w:lang w:eastAsia="es-MX"/>
        </w:rPr>
      </w:pPr>
      <w:bookmarkStart w:id="15" w:name="A9P1"/>
      <w:bookmarkEnd w:id="15"/>
      <w:r w:rsidRPr="00794DB8">
        <w:rPr>
          <w:rFonts w:ascii="Georgia" w:eastAsia="Times New Roman" w:hAnsi="Georgia" w:cs="Arial"/>
          <w:color w:val="333333"/>
          <w:sz w:val="18"/>
          <w:szCs w:val="18"/>
          <w:lang w:eastAsia="es-MX"/>
        </w:rPr>
        <w:t>1. Este Convenio entrará en vigor en la fecha en que las ratificaciones de dos Miembros de la Organización Internacional del Trabajo hayan sido registradas por el Director General.</w:t>
      </w:r>
    </w:p>
    <w:p w:rsidR="00794DB8" w:rsidRPr="00794DB8" w:rsidRDefault="00794DB8" w:rsidP="00794DB8">
      <w:pPr>
        <w:numPr>
          <w:ilvl w:val="0"/>
          <w:numId w:val="8"/>
        </w:numPr>
        <w:shd w:val="clear" w:color="auto" w:fill="FFFFFF"/>
        <w:spacing w:after="144" w:line="408" w:lineRule="atLeast"/>
        <w:ind w:left="0"/>
        <w:rPr>
          <w:rFonts w:ascii="Georgia" w:eastAsia="Times New Roman" w:hAnsi="Georgia" w:cs="Arial"/>
          <w:color w:val="333333"/>
          <w:sz w:val="18"/>
          <w:szCs w:val="18"/>
          <w:lang w:eastAsia="es-MX"/>
        </w:rPr>
      </w:pPr>
      <w:bookmarkStart w:id="16" w:name="A9P2"/>
      <w:bookmarkEnd w:id="16"/>
      <w:r w:rsidRPr="00794DB8">
        <w:rPr>
          <w:rFonts w:ascii="Georgia" w:eastAsia="Times New Roman" w:hAnsi="Georgia" w:cs="Arial"/>
          <w:color w:val="333333"/>
          <w:sz w:val="18"/>
          <w:szCs w:val="18"/>
          <w:lang w:eastAsia="es-MX"/>
        </w:rPr>
        <w:t>2. Sólo obligará a los Miembros cuya ratificación haya sido registrada en la Oficina Internacional del Trabajo.</w:t>
      </w:r>
    </w:p>
    <w:p w:rsidR="00794DB8" w:rsidRPr="00794DB8" w:rsidRDefault="00794DB8" w:rsidP="00794DB8">
      <w:pPr>
        <w:numPr>
          <w:ilvl w:val="0"/>
          <w:numId w:val="8"/>
        </w:numPr>
        <w:shd w:val="clear" w:color="auto" w:fill="FFFFFF"/>
        <w:spacing w:after="144" w:line="408" w:lineRule="atLeast"/>
        <w:ind w:left="0"/>
        <w:rPr>
          <w:rFonts w:ascii="Georgia" w:eastAsia="Times New Roman" w:hAnsi="Georgia" w:cs="Arial"/>
          <w:color w:val="333333"/>
          <w:sz w:val="18"/>
          <w:szCs w:val="18"/>
          <w:lang w:eastAsia="es-MX"/>
        </w:rPr>
      </w:pPr>
      <w:bookmarkStart w:id="17" w:name="A9P3"/>
      <w:bookmarkEnd w:id="17"/>
      <w:r w:rsidRPr="00794DB8">
        <w:rPr>
          <w:rFonts w:ascii="Georgia" w:eastAsia="Times New Roman" w:hAnsi="Georgia" w:cs="Arial"/>
          <w:color w:val="333333"/>
          <w:sz w:val="18"/>
          <w:szCs w:val="18"/>
          <w:lang w:eastAsia="es-MX"/>
        </w:rPr>
        <w:t>3. Posteriormente, este Convenio entrará en vigor, para cada Miembro, en la fecha en que su ratificación haya sido registrada en la Oficina Internacional del Trabajo.</w:t>
      </w:r>
    </w:p>
    <w:p w:rsidR="00794DB8" w:rsidRPr="00794DB8" w:rsidRDefault="00794DB8" w:rsidP="00794DB8">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8" w:name="A10"/>
      <w:bookmarkEnd w:id="18"/>
      <w:r w:rsidRPr="00794DB8">
        <w:rPr>
          <w:rFonts w:ascii="Georgia" w:eastAsia="Times New Roman" w:hAnsi="Georgia" w:cs="Arial"/>
          <w:b/>
          <w:bCs/>
          <w:i/>
          <w:iCs/>
          <w:color w:val="333333"/>
          <w:sz w:val="21"/>
          <w:szCs w:val="21"/>
          <w:lang w:eastAsia="es-MX"/>
        </w:rPr>
        <w:t>Artículo 10</w:t>
      </w:r>
    </w:p>
    <w:p w:rsidR="00794DB8" w:rsidRPr="00794DB8" w:rsidRDefault="00794DB8" w:rsidP="00794DB8">
      <w:pPr>
        <w:shd w:val="clear" w:color="auto" w:fill="FFFFFF"/>
        <w:spacing w:after="240" w:line="408" w:lineRule="atLeast"/>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Tan pronto como las ratificaciones de dos Miembros de la Organización Internacional del Trabajo hayan sido registradas en la Oficina Internacional del Trabajo, el Director General de la Oficina notificará el hecho a todos los Miembros de la Organización Internacional del Trabajo. Igualmente les notificará el registro de las ratificaciones que le comuniquen posteriormente los demás Miembros de la Organización.</w:t>
      </w:r>
    </w:p>
    <w:p w:rsidR="00794DB8" w:rsidRPr="00794DB8" w:rsidRDefault="00794DB8" w:rsidP="00794DB8">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9" w:name="A11"/>
      <w:bookmarkEnd w:id="19"/>
      <w:r w:rsidRPr="00794DB8">
        <w:rPr>
          <w:rFonts w:ascii="Georgia" w:eastAsia="Times New Roman" w:hAnsi="Georgia" w:cs="Arial"/>
          <w:b/>
          <w:bCs/>
          <w:i/>
          <w:iCs/>
          <w:color w:val="333333"/>
          <w:sz w:val="21"/>
          <w:szCs w:val="21"/>
          <w:lang w:eastAsia="es-MX"/>
        </w:rPr>
        <w:t>Artículo 11</w:t>
      </w:r>
    </w:p>
    <w:p w:rsidR="00794DB8" w:rsidRPr="00794DB8" w:rsidRDefault="00794DB8" w:rsidP="00794DB8">
      <w:pPr>
        <w:shd w:val="clear" w:color="auto" w:fill="FFFFFF"/>
        <w:spacing w:after="240" w:line="408" w:lineRule="atLeast"/>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Todo Miembro que ratifique el presente Convenio se obliga a aplicar las disposiciones de los artículos 1, 2, 3, 4, 5, 6 y 7 a más tardar el 1 de enero de 1924, y a tomar las medidas necesarias para el cumplimiento de dichas disposiciones.</w:t>
      </w:r>
    </w:p>
    <w:p w:rsidR="00794DB8" w:rsidRPr="00794DB8" w:rsidRDefault="00794DB8" w:rsidP="00794DB8">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20" w:name="A12"/>
      <w:bookmarkEnd w:id="20"/>
      <w:r w:rsidRPr="00794DB8">
        <w:rPr>
          <w:rFonts w:ascii="Georgia" w:eastAsia="Times New Roman" w:hAnsi="Georgia" w:cs="Arial"/>
          <w:b/>
          <w:bCs/>
          <w:i/>
          <w:iCs/>
          <w:color w:val="333333"/>
          <w:sz w:val="21"/>
          <w:szCs w:val="21"/>
          <w:lang w:eastAsia="es-MX"/>
        </w:rPr>
        <w:t>Artículo 12</w:t>
      </w:r>
    </w:p>
    <w:p w:rsidR="00794DB8" w:rsidRPr="00794DB8" w:rsidRDefault="00794DB8" w:rsidP="00794DB8">
      <w:pPr>
        <w:shd w:val="clear" w:color="auto" w:fill="FFFFFF"/>
        <w:spacing w:after="240" w:line="408" w:lineRule="atLeast"/>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Todo Miembro de la Organización Internacional del Trabajo que ratifique el presente Convenio se obliga a aplicarlo en sus colonias, posesiones y protectorados, de acuerdo con las disposiciones del artículo 35 de la Constitución de la Organización Internacional del Trabajo.</w:t>
      </w:r>
    </w:p>
    <w:p w:rsidR="00794DB8" w:rsidRPr="00794DB8" w:rsidRDefault="00794DB8" w:rsidP="00794DB8">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21" w:name="A13"/>
      <w:bookmarkEnd w:id="21"/>
      <w:r w:rsidRPr="00794DB8">
        <w:rPr>
          <w:rFonts w:ascii="Georgia" w:eastAsia="Times New Roman" w:hAnsi="Georgia" w:cs="Arial"/>
          <w:b/>
          <w:bCs/>
          <w:i/>
          <w:iCs/>
          <w:color w:val="333333"/>
          <w:sz w:val="21"/>
          <w:szCs w:val="21"/>
          <w:lang w:eastAsia="es-MX"/>
        </w:rPr>
        <w:t>Artículo 13</w:t>
      </w:r>
    </w:p>
    <w:p w:rsidR="00794DB8" w:rsidRPr="00794DB8" w:rsidRDefault="00794DB8" w:rsidP="00794DB8">
      <w:pPr>
        <w:shd w:val="clear" w:color="auto" w:fill="FFFFFF"/>
        <w:spacing w:after="240" w:line="408" w:lineRule="atLeast"/>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 xml:space="preserve">Todo Miembro que haya ratificado el presente Convenio podrá denunciarlo a la expiración de un período de diez años, a partir de la fecha en que se haya puesto inicialmente en vigor, mediante un acta comunicada, para </w:t>
      </w:r>
      <w:r w:rsidRPr="00794DB8">
        <w:rPr>
          <w:rFonts w:ascii="Georgia" w:eastAsia="Times New Roman" w:hAnsi="Georgia" w:cs="Arial"/>
          <w:color w:val="333333"/>
          <w:sz w:val="18"/>
          <w:szCs w:val="18"/>
          <w:lang w:eastAsia="es-MX"/>
        </w:rPr>
        <w:lastRenderedPageBreak/>
        <w:t>su registro, al Director General de la Oficina Internacional del Trabajo. La denuncia no surtirá efecto hasta un año después de la fecha en que se haya registrado en la Oficina Internacional del Trabajo.</w:t>
      </w:r>
    </w:p>
    <w:p w:rsidR="00794DB8" w:rsidRPr="00794DB8" w:rsidRDefault="00794DB8" w:rsidP="00794DB8">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22" w:name="A14"/>
      <w:bookmarkEnd w:id="22"/>
      <w:r w:rsidRPr="00794DB8">
        <w:rPr>
          <w:rFonts w:ascii="Georgia" w:eastAsia="Times New Roman" w:hAnsi="Georgia" w:cs="Arial"/>
          <w:b/>
          <w:bCs/>
          <w:i/>
          <w:iCs/>
          <w:color w:val="333333"/>
          <w:sz w:val="21"/>
          <w:szCs w:val="21"/>
          <w:lang w:eastAsia="es-MX"/>
        </w:rPr>
        <w:t>Artículo 14</w:t>
      </w:r>
    </w:p>
    <w:p w:rsidR="00794DB8" w:rsidRPr="00794DB8" w:rsidRDefault="00794DB8" w:rsidP="00794DB8">
      <w:pPr>
        <w:shd w:val="clear" w:color="auto" w:fill="FFFFFF"/>
        <w:spacing w:after="240" w:line="408" w:lineRule="atLeast"/>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Por los menos una vez cada diez años, el Consejo de Administración de la Oficina Internacional del Trabajo deberá presentar a la Conferencia General una memoria sobre la aplicación de este Convenio, y deberá considerar la conveniencia de incluir en el orden del día de la Conferencia la cuestión de la revisión o modificación del mismo.</w:t>
      </w:r>
    </w:p>
    <w:p w:rsidR="00794DB8" w:rsidRPr="00794DB8" w:rsidRDefault="00794DB8" w:rsidP="00794DB8">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23" w:name="A15"/>
      <w:bookmarkEnd w:id="23"/>
      <w:r w:rsidRPr="00794DB8">
        <w:rPr>
          <w:rFonts w:ascii="Georgia" w:eastAsia="Times New Roman" w:hAnsi="Georgia" w:cs="Arial"/>
          <w:b/>
          <w:bCs/>
          <w:i/>
          <w:iCs/>
          <w:color w:val="333333"/>
          <w:sz w:val="21"/>
          <w:szCs w:val="21"/>
          <w:lang w:eastAsia="es-MX"/>
        </w:rPr>
        <w:t>Artículo 15</w:t>
      </w:r>
    </w:p>
    <w:p w:rsidR="00794DB8" w:rsidRPr="00794DB8" w:rsidRDefault="00794DB8" w:rsidP="00794DB8">
      <w:pPr>
        <w:shd w:val="clear" w:color="auto" w:fill="FFFFFF"/>
        <w:spacing w:after="240" w:line="408" w:lineRule="atLeast"/>
        <w:rPr>
          <w:rFonts w:ascii="Georgia" w:eastAsia="Times New Roman" w:hAnsi="Georgia" w:cs="Arial"/>
          <w:color w:val="333333"/>
          <w:sz w:val="18"/>
          <w:szCs w:val="18"/>
          <w:lang w:eastAsia="es-MX"/>
        </w:rPr>
      </w:pPr>
      <w:r w:rsidRPr="00794DB8">
        <w:rPr>
          <w:rFonts w:ascii="Georgia" w:eastAsia="Times New Roman" w:hAnsi="Georgia" w:cs="Arial"/>
          <w:color w:val="333333"/>
          <w:sz w:val="18"/>
          <w:szCs w:val="18"/>
          <w:lang w:eastAsia="es-MX"/>
        </w:rPr>
        <w:t>Las versiones inglesa y francesa del texto de este Convenio son igualmente auténticas.</w:t>
      </w:r>
    </w:p>
    <w:p w:rsidR="00CB5801" w:rsidRDefault="00CB5801">
      <w:bookmarkStart w:id="24" w:name="_GoBack"/>
      <w:bookmarkEnd w:id="24"/>
    </w:p>
    <w:sectPr w:rsidR="00CB58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25114"/>
    <w:multiLevelType w:val="multilevel"/>
    <w:tmpl w:val="5FEEA0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E4159"/>
    <w:multiLevelType w:val="multilevel"/>
    <w:tmpl w:val="6EF403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B08C7"/>
    <w:multiLevelType w:val="multilevel"/>
    <w:tmpl w:val="F20AEC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C2566"/>
    <w:multiLevelType w:val="multilevel"/>
    <w:tmpl w:val="E20691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26049"/>
    <w:multiLevelType w:val="multilevel"/>
    <w:tmpl w:val="4F6898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F015E"/>
    <w:multiLevelType w:val="multilevel"/>
    <w:tmpl w:val="396C6A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901FE"/>
    <w:multiLevelType w:val="multilevel"/>
    <w:tmpl w:val="2200C5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8822E9"/>
    <w:multiLevelType w:val="multilevel"/>
    <w:tmpl w:val="04BCF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7"/>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A85"/>
    <w:rsid w:val="00794DB8"/>
    <w:rsid w:val="00A94A2D"/>
    <w:rsid w:val="00CB5801"/>
    <w:rsid w:val="00FC3A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E9F3"/>
  <w15:chartTrackingRefBased/>
  <w15:docId w15:val="{299279D7-DE3B-4ADA-BA4E-DC9DBF4D1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C3A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FC3A8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FC3A85"/>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3A85"/>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FC3A85"/>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FC3A85"/>
    <w:rPr>
      <w:rFonts w:ascii="Times New Roman" w:eastAsia="Times New Roman" w:hAnsi="Times New Roman" w:cs="Times New Roman"/>
      <w:b/>
      <w:bCs/>
      <w:sz w:val="20"/>
      <w:szCs w:val="20"/>
      <w:lang w:eastAsia="es-MX"/>
    </w:rPr>
  </w:style>
  <w:style w:type="paragraph" w:customStyle="1" w:styleId="borderbottom">
    <w:name w:val="borderbottom"/>
    <w:basedOn w:val="Normal"/>
    <w:rsid w:val="00FC3A8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FC3A85"/>
    <w:rPr>
      <w:color w:val="0000FF"/>
      <w:u w:val="single"/>
    </w:rPr>
  </w:style>
  <w:style w:type="paragraph" w:customStyle="1" w:styleId="bordertop">
    <w:name w:val="bordertop"/>
    <w:basedOn w:val="Normal"/>
    <w:rsid w:val="00FC3A8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C3A85"/>
    <w:rPr>
      <w:b/>
      <w:bCs/>
    </w:rPr>
  </w:style>
  <w:style w:type="paragraph" w:styleId="NormalWeb">
    <w:name w:val="Normal (Web)"/>
    <w:basedOn w:val="Normal"/>
    <w:uiPriority w:val="99"/>
    <w:semiHidden/>
    <w:unhideWhenUsed/>
    <w:rsid w:val="00FC3A8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23283">
      <w:bodyDiv w:val="1"/>
      <w:marLeft w:val="0"/>
      <w:marRight w:val="0"/>
      <w:marTop w:val="0"/>
      <w:marBottom w:val="0"/>
      <w:divBdr>
        <w:top w:val="none" w:sz="0" w:space="0" w:color="auto"/>
        <w:left w:val="none" w:sz="0" w:space="0" w:color="auto"/>
        <w:bottom w:val="none" w:sz="0" w:space="0" w:color="auto"/>
        <w:right w:val="none" w:sz="0" w:space="0" w:color="auto"/>
      </w:divBdr>
      <w:divsChild>
        <w:div w:id="1380980247">
          <w:marLeft w:val="0"/>
          <w:marRight w:val="0"/>
          <w:marTop w:val="0"/>
          <w:marBottom w:val="225"/>
          <w:divBdr>
            <w:top w:val="none" w:sz="0" w:space="0" w:color="auto"/>
            <w:left w:val="none" w:sz="0" w:space="0" w:color="auto"/>
            <w:bottom w:val="none" w:sz="0" w:space="0" w:color="auto"/>
            <w:right w:val="none" w:sz="0" w:space="0" w:color="auto"/>
          </w:divBdr>
        </w:div>
        <w:div w:id="623927736">
          <w:marLeft w:val="0"/>
          <w:marRight w:val="0"/>
          <w:marTop w:val="0"/>
          <w:marBottom w:val="0"/>
          <w:divBdr>
            <w:top w:val="none" w:sz="0" w:space="0" w:color="auto"/>
            <w:left w:val="none" w:sz="0" w:space="0" w:color="auto"/>
            <w:bottom w:val="none" w:sz="0" w:space="0" w:color="auto"/>
            <w:right w:val="none" w:sz="0" w:space="0" w:color="auto"/>
          </w:divBdr>
          <w:divsChild>
            <w:div w:id="22677629">
              <w:marLeft w:val="0"/>
              <w:marRight w:val="0"/>
              <w:marTop w:val="0"/>
              <w:marBottom w:val="0"/>
              <w:divBdr>
                <w:top w:val="none" w:sz="0" w:space="0" w:color="auto"/>
                <w:left w:val="none" w:sz="0" w:space="0" w:color="auto"/>
                <w:bottom w:val="none" w:sz="0" w:space="0" w:color="auto"/>
                <w:right w:val="none" w:sz="0" w:space="0" w:color="auto"/>
              </w:divBdr>
              <w:divsChild>
                <w:div w:id="980884632">
                  <w:marLeft w:val="0"/>
                  <w:marRight w:val="0"/>
                  <w:marTop w:val="0"/>
                  <w:marBottom w:val="0"/>
                  <w:divBdr>
                    <w:top w:val="none" w:sz="0" w:space="0" w:color="auto"/>
                    <w:left w:val="none" w:sz="0" w:space="0" w:color="auto"/>
                    <w:bottom w:val="none" w:sz="0" w:space="0" w:color="auto"/>
                    <w:right w:val="none" w:sz="0" w:space="0" w:color="auto"/>
                  </w:divBdr>
                  <w:divsChild>
                    <w:div w:id="1956985083">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066610950">
      <w:bodyDiv w:val="1"/>
      <w:marLeft w:val="0"/>
      <w:marRight w:val="0"/>
      <w:marTop w:val="0"/>
      <w:marBottom w:val="0"/>
      <w:divBdr>
        <w:top w:val="none" w:sz="0" w:space="0" w:color="auto"/>
        <w:left w:val="none" w:sz="0" w:space="0" w:color="auto"/>
        <w:bottom w:val="none" w:sz="0" w:space="0" w:color="auto"/>
        <w:right w:val="none" w:sz="0" w:space="0" w:color="auto"/>
      </w:divBdr>
      <w:divsChild>
        <w:div w:id="1863351689">
          <w:marLeft w:val="0"/>
          <w:marRight w:val="0"/>
          <w:marTop w:val="0"/>
          <w:marBottom w:val="225"/>
          <w:divBdr>
            <w:top w:val="none" w:sz="0" w:space="0" w:color="auto"/>
            <w:left w:val="none" w:sz="0" w:space="0" w:color="auto"/>
            <w:bottom w:val="none" w:sz="0" w:space="0" w:color="auto"/>
            <w:right w:val="none" w:sz="0" w:space="0" w:color="auto"/>
          </w:divBdr>
        </w:div>
        <w:div w:id="1407922228">
          <w:marLeft w:val="0"/>
          <w:marRight w:val="0"/>
          <w:marTop w:val="0"/>
          <w:marBottom w:val="0"/>
          <w:divBdr>
            <w:top w:val="none" w:sz="0" w:space="0" w:color="auto"/>
            <w:left w:val="none" w:sz="0" w:space="0" w:color="auto"/>
            <w:bottom w:val="none" w:sz="0" w:space="0" w:color="auto"/>
            <w:right w:val="none" w:sz="0" w:space="0" w:color="auto"/>
          </w:divBdr>
          <w:divsChild>
            <w:div w:id="788205321">
              <w:marLeft w:val="0"/>
              <w:marRight w:val="0"/>
              <w:marTop w:val="0"/>
              <w:marBottom w:val="0"/>
              <w:divBdr>
                <w:top w:val="none" w:sz="0" w:space="0" w:color="auto"/>
                <w:left w:val="none" w:sz="0" w:space="0" w:color="auto"/>
                <w:bottom w:val="none" w:sz="0" w:space="0" w:color="auto"/>
                <w:right w:val="none" w:sz="0" w:space="0" w:color="auto"/>
              </w:divBdr>
              <w:divsChild>
                <w:div w:id="1971979876">
                  <w:marLeft w:val="0"/>
                  <w:marRight w:val="0"/>
                  <w:marTop w:val="0"/>
                  <w:marBottom w:val="0"/>
                  <w:divBdr>
                    <w:top w:val="none" w:sz="0" w:space="0" w:color="auto"/>
                    <w:left w:val="none" w:sz="0" w:space="0" w:color="auto"/>
                    <w:bottom w:val="none" w:sz="0" w:space="0" w:color="auto"/>
                    <w:right w:val="none" w:sz="0" w:space="0" w:color="auto"/>
                  </w:divBdr>
                  <w:divsChild>
                    <w:div w:id="615213598">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790394713">
      <w:bodyDiv w:val="1"/>
      <w:marLeft w:val="0"/>
      <w:marRight w:val="0"/>
      <w:marTop w:val="0"/>
      <w:marBottom w:val="0"/>
      <w:divBdr>
        <w:top w:val="none" w:sz="0" w:space="0" w:color="auto"/>
        <w:left w:val="none" w:sz="0" w:space="0" w:color="auto"/>
        <w:bottom w:val="none" w:sz="0" w:space="0" w:color="auto"/>
        <w:right w:val="none" w:sz="0" w:space="0" w:color="auto"/>
      </w:divBdr>
      <w:divsChild>
        <w:div w:id="838736493">
          <w:marLeft w:val="0"/>
          <w:marRight w:val="0"/>
          <w:marTop w:val="0"/>
          <w:marBottom w:val="225"/>
          <w:divBdr>
            <w:top w:val="none" w:sz="0" w:space="0" w:color="auto"/>
            <w:left w:val="none" w:sz="0" w:space="0" w:color="auto"/>
            <w:bottom w:val="none" w:sz="0" w:space="0" w:color="auto"/>
            <w:right w:val="none" w:sz="0" w:space="0" w:color="auto"/>
          </w:divBdr>
        </w:div>
        <w:div w:id="598946445">
          <w:marLeft w:val="0"/>
          <w:marRight w:val="0"/>
          <w:marTop w:val="0"/>
          <w:marBottom w:val="0"/>
          <w:divBdr>
            <w:top w:val="none" w:sz="0" w:space="0" w:color="auto"/>
            <w:left w:val="none" w:sz="0" w:space="0" w:color="auto"/>
            <w:bottom w:val="none" w:sz="0" w:space="0" w:color="auto"/>
            <w:right w:val="none" w:sz="0" w:space="0" w:color="auto"/>
          </w:divBdr>
          <w:divsChild>
            <w:div w:id="115830936">
              <w:marLeft w:val="0"/>
              <w:marRight w:val="0"/>
              <w:marTop w:val="0"/>
              <w:marBottom w:val="0"/>
              <w:divBdr>
                <w:top w:val="none" w:sz="0" w:space="0" w:color="auto"/>
                <w:left w:val="none" w:sz="0" w:space="0" w:color="auto"/>
                <w:bottom w:val="none" w:sz="0" w:space="0" w:color="auto"/>
                <w:right w:val="none" w:sz="0" w:space="0" w:color="auto"/>
              </w:divBdr>
              <w:divsChild>
                <w:div w:id="1205363379">
                  <w:marLeft w:val="0"/>
                  <w:marRight w:val="0"/>
                  <w:marTop w:val="0"/>
                  <w:marBottom w:val="0"/>
                  <w:divBdr>
                    <w:top w:val="none" w:sz="0" w:space="0" w:color="auto"/>
                    <w:left w:val="none" w:sz="0" w:space="0" w:color="auto"/>
                    <w:bottom w:val="none" w:sz="0" w:space="0" w:color="auto"/>
                    <w:right w:val="none" w:sz="0" w:space="0" w:color="auto"/>
                  </w:divBdr>
                  <w:divsChild>
                    <w:div w:id="1725175980">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lo.org/wcmsp5/groups/public/---ed_norm/---normes/documents/normativeinstrument/wcms_c013_de.htm" TargetMode="External"/><Relationship Id="rId13" Type="http://schemas.openxmlformats.org/officeDocument/2006/relationships/hyperlink" Target="https://www.ilo.org/dyn/normlex/es/f?p=NORMLEXPUB:12100:0::NO::P12100_ILO_CODE:C013" TargetMode="External"/><Relationship Id="rId18" Type="http://schemas.openxmlformats.org/officeDocument/2006/relationships/hyperlink" Target="https://www.ilo.org/dyn/normlex/es/f?p=NORMLEXPUB:12100:0::NO::P12100_ILO_CODE:C01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lo.org/dyn/normlex/es/f?p=NORMLEXPUB:12100:0::NO::P12100_ILO_CODE:C013" TargetMode="External"/><Relationship Id="rId7" Type="http://schemas.openxmlformats.org/officeDocument/2006/relationships/hyperlink" Target="http://www.ilo.org/wcmsp5/groups/public/---ed_norm/---normes/documents/normativeinstrument/wcms_c013_ar.pdf" TargetMode="External"/><Relationship Id="rId12" Type="http://schemas.openxmlformats.org/officeDocument/2006/relationships/hyperlink" Target="https://www.ilo.org/dyn/normlex/es/f?p=NORMLEXPUB:12100:0::NO::P12100_ILO_CODE:C013" TargetMode="External"/><Relationship Id="rId17" Type="http://schemas.openxmlformats.org/officeDocument/2006/relationships/hyperlink" Target="https://www.ilo.org/dyn/normlex/es/f?p=NORMLEXPUB:12100:0::NO::P12100_ILO_CODE:C013" TargetMode="External"/><Relationship Id="rId25" Type="http://schemas.openxmlformats.org/officeDocument/2006/relationships/hyperlink" Target="https://www.ilo.org/dyn/normlex/es/f?p=NORMLEXPUB:12100:0::NO::P12100_ILO_CODE:C013" TargetMode="External"/><Relationship Id="rId2" Type="http://schemas.openxmlformats.org/officeDocument/2006/relationships/styles" Target="styles.xml"/><Relationship Id="rId16" Type="http://schemas.openxmlformats.org/officeDocument/2006/relationships/hyperlink" Target="https://www.ilo.org/dyn/normlex/es/f?p=NORMLEXPUB:12100:0::NO::P12100_ILO_CODE:C013" TargetMode="External"/><Relationship Id="rId20" Type="http://schemas.openxmlformats.org/officeDocument/2006/relationships/hyperlink" Target="https://www.ilo.org/dyn/normlex/es/f?p=NORMLEXPUB:12100:0::NO::P12100_ILO_CODE:C013" TargetMode="External"/><Relationship Id="rId1" Type="http://schemas.openxmlformats.org/officeDocument/2006/relationships/numbering" Target="numbering.xml"/><Relationship Id="rId6" Type="http://schemas.openxmlformats.org/officeDocument/2006/relationships/hyperlink" Target="https://www.ilo.org/dyn/normlex/es/f?p=1000:12100:0::NO::P12100_INSTRUMENT_ID,P12100_LANG_CODE:312158,fr:NO" TargetMode="External"/><Relationship Id="rId11" Type="http://schemas.openxmlformats.org/officeDocument/2006/relationships/hyperlink" Target="https://www.ilo.org/dyn/normlex/es/f?p=NORMLEXPUB:12100:0::NO::P12100_ILO_CODE:C013" TargetMode="External"/><Relationship Id="rId24" Type="http://schemas.openxmlformats.org/officeDocument/2006/relationships/hyperlink" Target="https://www.ilo.org/dyn/normlex/es/f?p=NORMLEXPUB:12100:0::NO::P12100_ILO_CODE:C013" TargetMode="External"/><Relationship Id="rId5" Type="http://schemas.openxmlformats.org/officeDocument/2006/relationships/hyperlink" Target="https://www.ilo.org/dyn/normlex/es/f?p=1000:12100:0::NO::P12100_INSTRUMENT_ID,P12100_LANG_CODE:312158,en:NO" TargetMode="External"/><Relationship Id="rId15" Type="http://schemas.openxmlformats.org/officeDocument/2006/relationships/hyperlink" Target="https://www.ilo.org/dyn/normlex/es/f?p=NORMLEXPUB:12100:0::NO::P12100_ILO_CODE:C013" TargetMode="External"/><Relationship Id="rId23" Type="http://schemas.openxmlformats.org/officeDocument/2006/relationships/hyperlink" Target="https://www.ilo.org/dyn/normlex/es/f?p=NORMLEXPUB:12100:0::NO::P12100_ILO_CODE:C013" TargetMode="External"/><Relationship Id="rId10" Type="http://schemas.openxmlformats.org/officeDocument/2006/relationships/hyperlink" Target="http://www.ilo.org/wcmsp5/groups/public/---ed_norm/---normes/documents/normativeinstrument/wcms_c013_zh.pdf" TargetMode="External"/><Relationship Id="rId19" Type="http://schemas.openxmlformats.org/officeDocument/2006/relationships/hyperlink" Target="https://www.ilo.org/dyn/normlex/es/f?p=NORMLEXPUB:12100:0::NO::P12100_ILO_CODE:C013" TargetMode="External"/><Relationship Id="rId4" Type="http://schemas.openxmlformats.org/officeDocument/2006/relationships/webSettings" Target="webSettings.xml"/><Relationship Id="rId9" Type="http://schemas.openxmlformats.org/officeDocument/2006/relationships/hyperlink" Target="http://www.ilo.org/wcmsp5/groups/public/---ed_norm/---normes/documents/normativeinstrument/wcms_c013_ru.htm" TargetMode="External"/><Relationship Id="rId14" Type="http://schemas.openxmlformats.org/officeDocument/2006/relationships/hyperlink" Target="https://www.ilo.org/dyn/normlex/es/f?p=NORMLEXPUB:12100:0::NO::P12100_ILO_CODE:C013" TargetMode="External"/><Relationship Id="rId22" Type="http://schemas.openxmlformats.org/officeDocument/2006/relationships/hyperlink" Target="https://www.ilo.org/dyn/normlex/es/f?p=NORMLEXPUB:12100:0::NO::P12100_ILO_CODE:C013"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1555</Words>
  <Characters>8553</Characters>
  <Application>Microsoft Office Word</Application>
  <DocSecurity>0</DocSecurity>
  <Lines>71</Lines>
  <Paragraphs>20</Paragraphs>
  <ScaleCrop>false</ScaleCrop>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2</cp:revision>
  <dcterms:created xsi:type="dcterms:W3CDTF">2023-01-13T20:07:00Z</dcterms:created>
  <dcterms:modified xsi:type="dcterms:W3CDTF">2023-01-13T20:07:00Z</dcterms:modified>
</cp:coreProperties>
</file>