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4E7" w:rsidRPr="001734E7" w:rsidRDefault="001734E7" w:rsidP="001734E7">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1734E7">
        <w:rPr>
          <w:rFonts w:ascii="Georgia" w:eastAsia="Times New Roman" w:hAnsi="Georgia" w:cs="Arial"/>
          <w:b/>
          <w:bCs/>
          <w:color w:val="B92517"/>
          <w:spacing w:val="-5"/>
          <w:kern w:val="36"/>
          <w:sz w:val="58"/>
          <w:szCs w:val="58"/>
          <w:lang w:eastAsia="es-MX"/>
        </w:rPr>
        <w:t>C017 - Convenio sobre la indemnización por accidentes del trabajo, 1925 (núm. 17)</w:t>
      </w:r>
    </w:p>
    <w:p w:rsidR="001734E7" w:rsidRPr="001734E7" w:rsidRDefault="001734E7" w:rsidP="001734E7">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1734E7">
        <w:rPr>
          <w:rFonts w:ascii="Arial" w:eastAsia="Times New Roman" w:hAnsi="Arial" w:cs="Arial"/>
          <w:color w:val="333333"/>
          <w:sz w:val="18"/>
          <w:szCs w:val="18"/>
          <w:lang w:eastAsia="es-MX"/>
        </w:rPr>
        <w:t>Visualizar en: </w:t>
      </w:r>
      <w:hyperlink r:id="rId5" w:history="1">
        <w:r w:rsidRPr="001734E7">
          <w:rPr>
            <w:rFonts w:ascii="Arial" w:eastAsia="Times New Roman" w:hAnsi="Arial" w:cs="Arial"/>
            <w:color w:val="0644AA"/>
            <w:sz w:val="18"/>
            <w:szCs w:val="18"/>
            <w:u w:val="single"/>
            <w:lang w:eastAsia="es-MX"/>
          </w:rPr>
          <w:t>Inglés</w:t>
        </w:r>
      </w:hyperlink>
      <w:r w:rsidRPr="001734E7">
        <w:rPr>
          <w:rFonts w:ascii="Arial" w:eastAsia="Times New Roman" w:hAnsi="Arial" w:cs="Arial"/>
          <w:color w:val="333333"/>
          <w:sz w:val="18"/>
          <w:szCs w:val="18"/>
          <w:lang w:eastAsia="es-MX"/>
        </w:rPr>
        <w:t> - </w:t>
      </w:r>
      <w:hyperlink r:id="rId6" w:history="1">
        <w:r w:rsidRPr="001734E7">
          <w:rPr>
            <w:rFonts w:ascii="Arial" w:eastAsia="Times New Roman" w:hAnsi="Arial" w:cs="Arial"/>
            <w:color w:val="0644AA"/>
            <w:sz w:val="18"/>
            <w:szCs w:val="18"/>
            <w:u w:val="single"/>
            <w:lang w:eastAsia="es-MX"/>
          </w:rPr>
          <w:t>Francés</w:t>
        </w:r>
      </w:hyperlink>
      <w:r w:rsidRPr="001734E7">
        <w:rPr>
          <w:rFonts w:ascii="Arial" w:eastAsia="Times New Roman" w:hAnsi="Arial" w:cs="Arial"/>
          <w:color w:val="333333"/>
          <w:sz w:val="18"/>
          <w:szCs w:val="18"/>
          <w:lang w:eastAsia="es-MX"/>
        </w:rPr>
        <w:t> - </w:t>
      </w:r>
      <w:hyperlink r:id="rId7" w:history="1">
        <w:r w:rsidRPr="001734E7">
          <w:rPr>
            <w:rFonts w:ascii="Arial" w:eastAsia="Times New Roman" w:hAnsi="Arial" w:cs="Arial"/>
            <w:color w:val="0644AA"/>
            <w:sz w:val="18"/>
            <w:szCs w:val="18"/>
            <w:u w:val="single"/>
            <w:lang w:eastAsia="es-MX"/>
          </w:rPr>
          <w:t>árabe</w:t>
        </w:r>
      </w:hyperlink>
      <w:r w:rsidRPr="001734E7">
        <w:rPr>
          <w:rFonts w:ascii="Arial" w:eastAsia="Times New Roman" w:hAnsi="Arial" w:cs="Arial"/>
          <w:color w:val="333333"/>
          <w:sz w:val="18"/>
          <w:szCs w:val="18"/>
          <w:lang w:eastAsia="es-MX"/>
        </w:rPr>
        <w:t> - </w:t>
      </w:r>
      <w:hyperlink r:id="rId8" w:history="1">
        <w:r w:rsidRPr="001734E7">
          <w:rPr>
            <w:rFonts w:ascii="Arial" w:eastAsia="Times New Roman" w:hAnsi="Arial" w:cs="Arial"/>
            <w:color w:val="0644AA"/>
            <w:sz w:val="18"/>
            <w:szCs w:val="18"/>
            <w:u w:val="single"/>
            <w:lang w:eastAsia="es-MX"/>
          </w:rPr>
          <w:t>alemán</w:t>
        </w:r>
      </w:hyperlink>
      <w:r w:rsidRPr="001734E7">
        <w:rPr>
          <w:rFonts w:ascii="Arial" w:eastAsia="Times New Roman" w:hAnsi="Arial" w:cs="Arial"/>
          <w:color w:val="333333"/>
          <w:sz w:val="18"/>
          <w:szCs w:val="18"/>
          <w:lang w:eastAsia="es-MX"/>
        </w:rPr>
        <w:t> - </w:t>
      </w:r>
      <w:hyperlink r:id="rId9" w:history="1">
        <w:r w:rsidRPr="001734E7">
          <w:rPr>
            <w:rFonts w:ascii="Arial" w:eastAsia="Times New Roman" w:hAnsi="Arial" w:cs="Arial"/>
            <w:color w:val="0644AA"/>
            <w:sz w:val="18"/>
            <w:szCs w:val="18"/>
            <w:u w:val="single"/>
            <w:lang w:eastAsia="es-MX"/>
          </w:rPr>
          <w:t>portugués</w:t>
        </w:r>
      </w:hyperlink>
      <w:r w:rsidRPr="001734E7">
        <w:rPr>
          <w:rFonts w:ascii="Arial" w:eastAsia="Times New Roman" w:hAnsi="Arial" w:cs="Arial"/>
          <w:color w:val="333333"/>
          <w:sz w:val="18"/>
          <w:szCs w:val="18"/>
          <w:lang w:eastAsia="es-MX"/>
        </w:rPr>
        <w:t> - </w:t>
      </w:r>
      <w:hyperlink r:id="rId10" w:history="1">
        <w:r w:rsidRPr="001734E7">
          <w:rPr>
            <w:rFonts w:ascii="Arial" w:eastAsia="Times New Roman" w:hAnsi="Arial" w:cs="Arial"/>
            <w:color w:val="0644AA"/>
            <w:sz w:val="18"/>
            <w:szCs w:val="18"/>
            <w:u w:val="single"/>
            <w:lang w:eastAsia="es-MX"/>
          </w:rPr>
          <w:t>ruso</w:t>
        </w:r>
      </w:hyperlink>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b/>
          <w:bCs/>
          <w:color w:val="333333"/>
          <w:sz w:val="18"/>
          <w:szCs w:val="18"/>
          <w:lang w:eastAsia="es-MX"/>
        </w:rPr>
        <w:t>Ir al artículo : </w:t>
      </w:r>
      <w:hyperlink r:id="rId11" w:anchor="A1" w:history="1">
        <w:r w:rsidRPr="001734E7">
          <w:rPr>
            <w:rFonts w:ascii="Georgia" w:eastAsia="Times New Roman" w:hAnsi="Georgia" w:cs="Arial"/>
            <w:color w:val="0644AA"/>
            <w:sz w:val="18"/>
            <w:szCs w:val="18"/>
            <w:u w:val="single"/>
            <w:lang w:eastAsia="es-MX"/>
          </w:rPr>
          <w:t>1</w:t>
        </w:r>
      </w:hyperlink>
      <w:r w:rsidRPr="001734E7">
        <w:rPr>
          <w:rFonts w:ascii="Georgia" w:eastAsia="Times New Roman" w:hAnsi="Georgia" w:cs="Arial"/>
          <w:color w:val="333333"/>
          <w:sz w:val="18"/>
          <w:szCs w:val="18"/>
          <w:lang w:eastAsia="es-MX"/>
        </w:rPr>
        <w:t> </w:t>
      </w:r>
      <w:hyperlink r:id="rId12" w:anchor="A2" w:history="1">
        <w:r w:rsidRPr="001734E7">
          <w:rPr>
            <w:rFonts w:ascii="Georgia" w:eastAsia="Times New Roman" w:hAnsi="Georgia" w:cs="Arial"/>
            <w:color w:val="0644AA"/>
            <w:sz w:val="18"/>
            <w:szCs w:val="18"/>
            <w:u w:val="single"/>
            <w:lang w:eastAsia="es-MX"/>
          </w:rPr>
          <w:t>2</w:t>
        </w:r>
      </w:hyperlink>
      <w:r w:rsidRPr="001734E7">
        <w:rPr>
          <w:rFonts w:ascii="Georgia" w:eastAsia="Times New Roman" w:hAnsi="Georgia" w:cs="Arial"/>
          <w:color w:val="333333"/>
          <w:sz w:val="18"/>
          <w:szCs w:val="18"/>
          <w:lang w:eastAsia="es-MX"/>
        </w:rPr>
        <w:t> </w:t>
      </w:r>
      <w:hyperlink r:id="rId13" w:anchor="A3" w:history="1">
        <w:r w:rsidRPr="001734E7">
          <w:rPr>
            <w:rFonts w:ascii="Georgia" w:eastAsia="Times New Roman" w:hAnsi="Georgia" w:cs="Arial"/>
            <w:color w:val="0644AA"/>
            <w:sz w:val="18"/>
            <w:szCs w:val="18"/>
            <w:u w:val="single"/>
            <w:lang w:eastAsia="es-MX"/>
          </w:rPr>
          <w:t>3</w:t>
        </w:r>
      </w:hyperlink>
      <w:r w:rsidRPr="001734E7">
        <w:rPr>
          <w:rFonts w:ascii="Georgia" w:eastAsia="Times New Roman" w:hAnsi="Georgia" w:cs="Arial"/>
          <w:color w:val="333333"/>
          <w:sz w:val="18"/>
          <w:szCs w:val="18"/>
          <w:lang w:eastAsia="es-MX"/>
        </w:rPr>
        <w:t> </w:t>
      </w:r>
      <w:hyperlink r:id="rId14" w:anchor="A4" w:history="1">
        <w:r w:rsidRPr="001734E7">
          <w:rPr>
            <w:rFonts w:ascii="Georgia" w:eastAsia="Times New Roman" w:hAnsi="Georgia" w:cs="Arial"/>
            <w:color w:val="0644AA"/>
            <w:sz w:val="18"/>
            <w:szCs w:val="18"/>
            <w:u w:val="single"/>
            <w:lang w:eastAsia="es-MX"/>
          </w:rPr>
          <w:t>4</w:t>
        </w:r>
      </w:hyperlink>
      <w:r w:rsidRPr="001734E7">
        <w:rPr>
          <w:rFonts w:ascii="Georgia" w:eastAsia="Times New Roman" w:hAnsi="Georgia" w:cs="Arial"/>
          <w:color w:val="333333"/>
          <w:sz w:val="18"/>
          <w:szCs w:val="18"/>
          <w:lang w:eastAsia="es-MX"/>
        </w:rPr>
        <w:t> </w:t>
      </w:r>
      <w:hyperlink r:id="rId15" w:anchor="A5" w:history="1">
        <w:r w:rsidRPr="001734E7">
          <w:rPr>
            <w:rFonts w:ascii="Georgia" w:eastAsia="Times New Roman" w:hAnsi="Georgia" w:cs="Arial"/>
            <w:color w:val="0644AA"/>
            <w:sz w:val="18"/>
            <w:szCs w:val="18"/>
            <w:u w:val="single"/>
            <w:lang w:eastAsia="es-MX"/>
          </w:rPr>
          <w:t>5</w:t>
        </w:r>
      </w:hyperlink>
      <w:r w:rsidRPr="001734E7">
        <w:rPr>
          <w:rFonts w:ascii="Georgia" w:eastAsia="Times New Roman" w:hAnsi="Georgia" w:cs="Arial"/>
          <w:color w:val="333333"/>
          <w:sz w:val="18"/>
          <w:szCs w:val="18"/>
          <w:lang w:eastAsia="es-MX"/>
        </w:rPr>
        <w:t> </w:t>
      </w:r>
      <w:hyperlink r:id="rId16" w:anchor="A6" w:history="1">
        <w:r w:rsidRPr="001734E7">
          <w:rPr>
            <w:rFonts w:ascii="Georgia" w:eastAsia="Times New Roman" w:hAnsi="Georgia" w:cs="Arial"/>
            <w:color w:val="0644AA"/>
            <w:sz w:val="18"/>
            <w:szCs w:val="18"/>
            <w:u w:val="single"/>
            <w:lang w:eastAsia="es-MX"/>
          </w:rPr>
          <w:t>6</w:t>
        </w:r>
      </w:hyperlink>
      <w:r w:rsidRPr="001734E7">
        <w:rPr>
          <w:rFonts w:ascii="Georgia" w:eastAsia="Times New Roman" w:hAnsi="Georgia" w:cs="Arial"/>
          <w:color w:val="333333"/>
          <w:sz w:val="18"/>
          <w:szCs w:val="18"/>
          <w:lang w:eastAsia="es-MX"/>
        </w:rPr>
        <w:t> </w:t>
      </w:r>
      <w:hyperlink r:id="rId17" w:anchor="A7" w:history="1">
        <w:r w:rsidRPr="001734E7">
          <w:rPr>
            <w:rFonts w:ascii="Georgia" w:eastAsia="Times New Roman" w:hAnsi="Georgia" w:cs="Arial"/>
            <w:color w:val="0644AA"/>
            <w:sz w:val="18"/>
            <w:szCs w:val="18"/>
            <w:u w:val="single"/>
            <w:lang w:eastAsia="es-MX"/>
          </w:rPr>
          <w:t>7</w:t>
        </w:r>
      </w:hyperlink>
      <w:r w:rsidRPr="001734E7">
        <w:rPr>
          <w:rFonts w:ascii="Georgia" w:eastAsia="Times New Roman" w:hAnsi="Georgia" w:cs="Arial"/>
          <w:color w:val="333333"/>
          <w:sz w:val="18"/>
          <w:szCs w:val="18"/>
          <w:lang w:eastAsia="es-MX"/>
        </w:rPr>
        <w:t> </w:t>
      </w:r>
      <w:hyperlink r:id="rId18" w:anchor="A8" w:history="1">
        <w:r w:rsidRPr="001734E7">
          <w:rPr>
            <w:rFonts w:ascii="Georgia" w:eastAsia="Times New Roman" w:hAnsi="Georgia" w:cs="Arial"/>
            <w:color w:val="0644AA"/>
            <w:sz w:val="18"/>
            <w:szCs w:val="18"/>
            <w:u w:val="single"/>
            <w:lang w:eastAsia="es-MX"/>
          </w:rPr>
          <w:t>8</w:t>
        </w:r>
      </w:hyperlink>
      <w:r w:rsidRPr="001734E7">
        <w:rPr>
          <w:rFonts w:ascii="Georgia" w:eastAsia="Times New Roman" w:hAnsi="Georgia" w:cs="Arial"/>
          <w:color w:val="333333"/>
          <w:sz w:val="18"/>
          <w:szCs w:val="18"/>
          <w:lang w:eastAsia="es-MX"/>
        </w:rPr>
        <w:t> </w:t>
      </w:r>
      <w:hyperlink r:id="rId19" w:anchor="A9" w:history="1">
        <w:r w:rsidRPr="001734E7">
          <w:rPr>
            <w:rFonts w:ascii="Georgia" w:eastAsia="Times New Roman" w:hAnsi="Georgia" w:cs="Arial"/>
            <w:color w:val="0644AA"/>
            <w:sz w:val="18"/>
            <w:szCs w:val="18"/>
            <w:u w:val="single"/>
            <w:lang w:eastAsia="es-MX"/>
          </w:rPr>
          <w:t>9</w:t>
        </w:r>
      </w:hyperlink>
      <w:r w:rsidRPr="001734E7">
        <w:rPr>
          <w:rFonts w:ascii="Georgia" w:eastAsia="Times New Roman" w:hAnsi="Georgia" w:cs="Arial"/>
          <w:color w:val="333333"/>
          <w:sz w:val="18"/>
          <w:szCs w:val="18"/>
          <w:lang w:eastAsia="es-MX"/>
        </w:rPr>
        <w:t> </w:t>
      </w:r>
      <w:hyperlink r:id="rId20" w:anchor="A10" w:history="1">
        <w:r w:rsidRPr="001734E7">
          <w:rPr>
            <w:rFonts w:ascii="Georgia" w:eastAsia="Times New Roman" w:hAnsi="Georgia" w:cs="Arial"/>
            <w:color w:val="0644AA"/>
            <w:sz w:val="18"/>
            <w:szCs w:val="18"/>
            <w:u w:val="single"/>
            <w:lang w:eastAsia="es-MX"/>
          </w:rPr>
          <w:t>10</w:t>
        </w:r>
      </w:hyperlink>
      <w:r w:rsidRPr="001734E7">
        <w:rPr>
          <w:rFonts w:ascii="Georgia" w:eastAsia="Times New Roman" w:hAnsi="Georgia" w:cs="Arial"/>
          <w:color w:val="333333"/>
          <w:sz w:val="18"/>
          <w:szCs w:val="18"/>
          <w:lang w:eastAsia="es-MX"/>
        </w:rPr>
        <w:t> </w:t>
      </w:r>
      <w:hyperlink r:id="rId21" w:anchor="A11" w:history="1">
        <w:r w:rsidRPr="001734E7">
          <w:rPr>
            <w:rFonts w:ascii="Georgia" w:eastAsia="Times New Roman" w:hAnsi="Georgia" w:cs="Arial"/>
            <w:color w:val="0644AA"/>
            <w:sz w:val="18"/>
            <w:szCs w:val="18"/>
            <w:u w:val="single"/>
            <w:lang w:eastAsia="es-MX"/>
          </w:rPr>
          <w:t>11</w:t>
        </w:r>
      </w:hyperlink>
      <w:r w:rsidRPr="001734E7">
        <w:rPr>
          <w:rFonts w:ascii="Georgia" w:eastAsia="Times New Roman" w:hAnsi="Georgia" w:cs="Arial"/>
          <w:color w:val="333333"/>
          <w:sz w:val="18"/>
          <w:szCs w:val="18"/>
          <w:lang w:eastAsia="es-MX"/>
        </w:rPr>
        <w:t> </w:t>
      </w:r>
      <w:hyperlink r:id="rId22" w:anchor="A12" w:history="1">
        <w:r w:rsidRPr="001734E7">
          <w:rPr>
            <w:rFonts w:ascii="Georgia" w:eastAsia="Times New Roman" w:hAnsi="Georgia" w:cs="Arial"/>
            <w:color w:val="0644AA"/>
            <w:sz w:val="18"/>
            <w:szCs w:val="18"/>
            <w:u w:val="single"/>
            <w:lang w:eastAsia="es-MX"/>
          </w:rPr>
          <w:t>12</w:t>
        </w:r>
      </w:hyperlink>
      <w:r w:rsidRPr="001734E7">
        <w:rPr>
          <w:rFonts w:ascii="Georgia" w:eastAsia="Times New Roman" w:hAnsi="Georgia" w:cs="Arial"/>
          <w:color w:val="333333"/>
          <w:sz w:val="18"/>
          <w:szCs w:val="18"/>
          <w:lang w:eastAsia="es-MX"/>
        </w:rPr>
        <w:t> </w:t>
      </w:r>
      <w:hyperlink r:id="rId23" w:anchor="A13" w:history="1">
        <w:r w:rsidRPr="001734E7">
          <w:rPr>
            <w:rFonts w:ascii="Georgia" w:eastAsia="Times New Roman" w:hAnsi="Georgia" w:cs="Arial"/>
            <w:color w:val="0644AA"/>
            <w:sz w:val="18"/>
            <w:szCs w:val="18"/>
            <w:u w:val="single"/>
            <w:lang w:eastAsia="es-MX"/>
          </w:rPr>
          <w:t>13</w:t>
        </w:r>
      </w:hyperlink>
      <w:r w:rsidRPr="001734E7">
        <w:rPr>
          <w:rFonts w:ascii="Georgia" w:eastAsia="Times New Roman" w:hAnsi="Georgia" w:cs="Arial"/>
          <w:color w:val="333333"/>
          <w:sz w:val="18"/>
          <w:szCs w:val="18"/>
          <w:lang w:eastAsia="es-MX"/>
        </w:rPr>
        <w:t> </w:t>
      </w:r>
      <w:hyperlink r:id="rId24" w:anchor="A14" w:history="1">
        <w:r w:rsidRPr="001734E7">
          <w:rPr>
            <w:rFonts w:ascii="Georgia" w:eastAsia="Times New Roman" w:hAnsi="Georgia" w:cs="Arial"/>
            <w:color w:val="0644AA"/>
            <w:sz w:val="18"/>
            <w:szCs w:val="18"/>
            <w:u w:val="single"/>
            <w:lang w:eastAsia="es-MX"/>
          </w:rPr>
          <w:t>14</w:t>
        </w:r>
      </w:hyperlink>
      <w:r w:rsidRPr="001734E7">
        <w:rPr>
          <w:rFonts w:ascii="Georgia" w:eastAsia="Times New Roman" w:hAnsi="Georgia" w:cs="Arial"/>
          <w:color w:val="333333"/>
          <w:sz w:val="18"/>
          <w:szCs w:val="18"/>
          <w:lang w:eastAsia="es-MX"/>
        </w:rPr>
        <w:t> </w:t>
      </w:r>
      <w:hyperlink r:id="rId25" w:anchor="A15" w:history="1">
        <w:r w:rsidRPr="001734E7">
          <w:rPr>
            <w:rFonts w:ascii="Georgia" w:eastAsia="Times New Roman" w:hAnsi="Georgia" w:cs="Arial"/>
            <w:color w:val="0644AA"/>
            <w:sz w:val="18"/>
            <w:szCs w:val="18"/>
            <w:u w:val="single"/>
            <w:lang w:eastAsia="es-MX"/>
          </w:rPr>
          <w:t>15</w:t>
        </w:r>
      </w:hyperlink>
      <w:r w:rsidRPr="001734E7">
        <w:rPr>
          <w:rFonts w:ascii="Georgia" w:eastAsia="Times New Roman" w:hAnsi="Georgia" w:cs="Arial"/>
          <w:color w:val="333333"/>
          <w:sz w:val="18"/>
          <w:szCs w:val="18"/>
          <w:lang w:eastAsia="es-MX"/>
        </w:rPr>
        <w:t> </w:t>
      </w:r>
      <w:hyperlink r:id="rId26" w:anchor="A16" w:history="1">
        <w:r w:rsidRPr="001734E7">
          <w:rPr>
            <w:rFonts w:ascii="Georgia" w:eastAsia="Times New Roman" w:hAnsi="Georgia" w:cs="Arial"/>
            <w:color w:val="0644AA"/>
            <w:sz w:val="18"/>
            <w:szCs w:val="18"/>
            <w:u w:val="single"/>
            <w:lang w:eastAsia="es-MX"/>
          </w:rPr>
          <w:t>16</w:t>
        </w:r>
      </w:hyperlink>
      <w:r w:rsidRPr="001734E7">
        <w:rPr>
          <w:rFonts w:ascii="Georgia" w:eastAsia="Times New Roman" w:hAnsi="Georgia" w:cs="Arial"/>
          <w:color w:val="333333"/>
          <w:sz w:val="18"/>
          <w:szCs w:val="18"/>
          <w:lang w:eastAsia="es-MX"/>
        </w:rPr>
        <w:t> </w:t>
      </w:r>
      <w:hyperlink r:id="rId27" w:anchor="A17" w:history="1">
        <w:r w:rsidRPr="001734E7">
          <w:rPr>
            <w:rFonts w:ascii="Georgia" w:eastAsia="Times New Roman" w:hAnsi="Georgia" w:cs="Arial"/>
            <w:color w:val="0644AA"/>
            <w:sz w:val="18"/>
            <w:szCs w:val="18"/>
            <w:u w:val="single"/>
            <w:lang w:eastAsia="es-MX"/>
          </w:rPr>
          <w:t>17</w:t>
        </w:r>
      </w:hyperlink>
      <w:r w:rsidRPr="001734E7">
        <w:rPr>
          <w:rFonts w:ascii="Georgia" w:eastAsia="Times New Roman" w:hAnsi="Georgia" w:cs="Arial"/>
          <w:color w:val="333333"/>
          <w:sz w:val="18"/>
          <w:szCs w:val="18"/>
          <w:lang w:eastAsia="es-MX"/>
        </w:rPr>
        <w:t> </w:t>
      </w:r>
      <w:hyperlink r:id="rId28" w:anchor="A18" w:history="1">
        <w:r w:rsidRPr="001734E7">
          <w:rPr>
            <w:rFonts w:ascii="Georgia" w:eastAsia="Times New Roman" w:hAnsi="Georgia" w:cs="Arial"/>
            <w:color w:val="0644AA"/>
            <w:sz w:val="18"/>
            <w:szCs w:val="18"/>
            <w:u w:val="single"/>
            <w:lang w:eastAsia="es-MX"/>
          </w:rPr>
          <w:t>18</w:t>
        </w:r>
      </w:hyperlink>
      <w:r w:rsidRPr="001734E7">
        <w:rPr>
          <w:rFonts w:ascii="Georgia" w:eastAsia="Times New Roman" w:hAnsi="Georgia" w:cs="Arial"/>
          <w:color w:val="333333"/>
          <w:sz w:val="18"/>
          <w:szCs w:val="18"/>
          <w:lang w:eastAsia="es-MX"/>
        </w:rPr>
        <w:t> </w:t>
      </w:r>
      <w:hyperlink r:id="rId29" w:anchor="A19" w:history="1">
        <w:r w:rsidRPr="001734E7">
          <w:rPr>
            <w:rFonts w:ascii="Georgia" w:eastAsia="Times New Roman" w:hAnsi="Georgia" w:cs="Arial"/>
            <w:color w:val="0644AA"/>
            <w:sz w:val="18"/>
            <w:szCs w:val="18"/>
            <w:u w:val="single"/>
            <w:lang w:eastAsia="es-MX"/>
          </w:rPr>
          <w:t>19</w:t>
        </w:r>
      </w:hyperlink>
    </w:p>
    <w:p w:rsidR="001734E7" w:rsidRPr="001734E7" w:rsidRDefault="001734E7" w:rsidP="001734E7">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1734E7">
        <w:rPr>
          <w:rFonts w:ascii="Georgia" w:eastAsia="Times New Roman" w:hAnsi="Georgia" w:cs="Arial"/>
          <w:b/>
          <w:bCs/>
          <w:color w:val="B92517"/>
          <w:sz w:val="23"/>
          <w:szCs w:val="23"/>
          <w:lang w:eastAsia="es-MX"/>
        </w:rPr>
        <w:t>Preámbulo</w:t>
      </w:r>
    </w:p>
    <w:p w:rsidR="001734E7" w:rsidRPr="001734E7" w:rsidRDefault="001734E7" w:rsidP="001734E7">
      <w:pPr>
        <w:shd w:val="clear" w:color="auto" w:fill="F3F3F3"/>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La Conferencia General de la Organización Internacional del Trabajo:</w:t>
      </w:r>
    </w:p>
    <w:p w:rsidR="001734E7" w:rsidRPr="001734E7" w:rsidRDefault="001734E7" w:rsidP="001734E7">
      <w:pPr>
        <w:shd w:val="clear" w:color="auto" w:fill="F3F3F3"/>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Convocada en Ginebra por el Consejo de Administración de la Oficina Internacional del Trabajo, y congregada en dicha ciudad el 19 de mayo de 1925 en su séptima reunión;</w:t>
      </w:r>
    </w:p>
    <w:p w:rsidR="001734E7" w:rsidRPr="001734E7" w:rsidRDefault="001734E7" w:rsidP="001734E7">
      <w:pPr>
        <w:shd w:val="clear" w:color="auto" w:fill="F3F3F3"/>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Después de haber decidido adoptar diversas proposiciones relativas a la indemnización por accidentes del trabajo, cuestión que está comprendida en el primer punto del orden del día de la reunión, y</w:t>
      </w:r>
    </w:p>
    <w:p w:rsidR="001734E7" w:rsidRPr="001734E7" w:rsidRDefault="001734E7" w:rsidP="001734E7">
      <w:pPr>
        <w:shd w:val="clear" w:color="auto" w:fill="F3F3F3"/>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Después de haber decidido que dichas proposiciones revistan la forma de un convenio internacional,</w:t>
      </w:r>
    </w:p>
    <w:p w:rsidR="001734E7" w:rsidRPr="001734E7" w:rsidRDefault="001734E7" w:rsidP="001734E7">
      <w:pPr>
        <w:shd w:val="clear" w:color="auto" w:fill="F3F3F3"/>
        <w:spacing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adopta, con fecha diez de junio de mil novecientos veinticinco, el siguiente Convenio, que podrá ser citado como el Convenio sobre la indemnización por accidentes del trabajo, 1925, y que será sometido a la ratificación de los Miembros de la Organización Internacional del Trabajo, de acuerdo con las disposiciones de la Constitución de la Organización Internacional del Trabajo: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1734E7">
        <w:rPr>
          <w:rFonts w:ascii="Georgia" w:eastAsia="Times New Roman" w:hAnsi="Georgia" w:cs="Arial"/>
          <w:b/>
          <w:bCs/>
          <w:i/>
          <w:iCs/>
          <w:color w:val="333333"/>
          <w:sz w:val="21"/>
          <w:szCs w:val="21"/>
          <w:lang w:eastAsia="es-MX"/>
        </w:rPr>
        <w:t>Artículo 1</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Todo Miembro de la Organización Internacional del Trabajo que ratifique el presente Convenio se obliga a garantizar a las víctimas de accidentes del trabajo, o a sus derechohabientes, una indemnización cuyas condiciones serán por lo menos iguales a las previstas en el presente Convenio.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 w:name="A2"/>
      <w:bookmarkEnd w:id="1"/>
      <w:r w:rsidRPr="001734E7">
        <w:rPr>
          <w:rFonts w:ascii="Georgia" w:eastAsia="Times New Roman" w:hAnsi="Georgia" w:cs="Arial"/>
          <w:b/>
          <w:bCs/>
          <w:i/>
          <w:iCs/>
          <w:color w:val="333333"/>
          <w:sz w:val="21"/>
          <w:szCs w:val="21"/>
          <w:lang w:eastAsia="es-MX"/>
        </w:rPr>
        <w:t>Artículo 2</w:t>
      </w:r>
    </w:p>
    <w:p w:rsidR="001734E7" w:rsidRPr="001734E7" w:rsidRDefault="001734E7" w:rsidP="001734E7">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2" w:name="A2P1"/>
      <w:bookmarkEnd w:id="2"/>
      <w:r w:rsidRPr="001734E7">
        <w:rPr>
          <w:rFonts w:ascii="Georgia" w:eastAsia="Times New Roman" w:hAnsi="Georgia" w:cs="Arial"/>
          <w:color w:val="333333"/>
          <w:sz w:val="18"/>
          <w:szCs w:val="18"/>
          <w:lang w:eastAsia="es-MX"/>
        </w:rPr>
        <w:lastRenderedPageBreak/>
        <w:t>1. La legislación sobre la indemnización por accidentes del trabajo deberá aplicarse a los obreros, empleados o aprendices que trabajen en empresas, explotaciones o establecimientos de cualquier naturaleza, públicos o privados.</w:t>
      </w:r>
    </w:p>
    <w:p w:rsidR="001734E7" w:rsidRPr="001734E7" w:rsidRDefault="001734E7" w:rsidP="001734E7">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3" w:name="A2P2"/>
      <w:bookmarkEnd w:id="3"/>
      <w:r w:rsidRPr="001734E7">
        <w:rPr>
          <w:rFonts w:ascii="Georgia" w:eastAsia="Times New Roman" w:hAnsi="Georgia" w:cs="Arial"/>
          <w:color w:val="333333"/>
          <w:sz w:val="18"/>
          <w:szCs w:val="18"/>
          <w:lang w:eastAsia="es-MX"/>
        </w:rPr>
        <w:t>2. Sin embargo, cada Miembro podrá prever en su legislación nacional las excepciones que estime necesarias en lo que se refiere a:</w:t>
      </w:r>
    </w:p>
    <w:p w:rsidR="001734E7" w:rsidRPr="001734E7" w:rsidRDefault="001734E7" w:rsidP="001734E7">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(a) las personas que realicen trabajos ocasionales ajenos a la empresa del empleador;</w:t>
      </w:r>
    </w:p>
    <w:p w:rsidR="001734E7" w:rsidRPr="001734E7" w:rsidRDefault="001734E7" w:rsidP="001734E7">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(b) los trabajadores a domicilio;</w:t>
      </w:r>
    </w:p>
    <w:p w:rsidR="001734E7" w:rsidRPr="001734E7" w:rsidRDefault="001734E7" w:rsidP="001734E7">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(c) los miembros de la familia del empleador que trabajen exclusivamente por cuenta de éste y que vivan con él;</w:t>
      </w:r>
    </w:p>
    <w:p w:rsidR="001734E7" w:rsidRPr="001734E7" w:rsidRDefault="001734E7" w:rsidP="001734E7">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(d) los trabajadores no manuales cuyas ganancias excedan del límite que fije l legislación nacional.</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 w:name="A3"/>
      <w:bookmarkEnd w:id="4"/>
      <w:r w:rsidRPr="001734E7">
        <w:rPr>
          <w:rFonts w:ascii="Georgia" w:eastAsia="Times New Roman" w:hAnsi="Georgia" w:cs="Arial"/>
          <w:b/>
          <w:bCs/>
          <w:i/>
          <w:iCs/>
          <w:color w:val="333333"/>
          <w:sz w:val="21"/>
          <w:szCs w:val="21"/>
          <w:lang w:eastAsia="es-MX"/>
        </w:rPr>
        <w:t>Artículo 3</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Este Convenio no se aplica:</w:t>
      </w:r>
    </w:p>
    <w:p w:rsidR="001734E7" w:rsidRPr="001734E7" w:rsidRDefault="001734E7" w:rsidP="001734E7">
      <w:pPr>
        <w:numPr>
          <w:ilvl w:val="0"/>
          <w:numId w:val="2"/>
        </w:numPr>
        <w:shd w:val="clear" w:color="auto" w:fill="FFFFFF"/>
        <w:spacing w:after="144" w:line="408" w:lineRule="atLeast"/>
        <w:ind w:left="480"/>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(1) a la gente de mar ni a los pescadores, a los cuales se referirá un convenio ulterior;</w:t>
      </w:r>
    </w:p>
    <w:p w:rsidR="001734E7" w:rsidRPr="001734E7" w:rsidRDefault="001734E7" w:rsidP="001734E7">
      <w:pPr>
        <w:numPr>
          <w:ilvl w:val="0"/>
          <w:numId w:val="2"/>
        </w:numPr>
        <w:shd w:val="clear" w:color="auto" w:fill="FFFFFF"/>
        <w:spacing w:after="144" w:line="408" w:lineRule="atLeast"/>
        <w:ind w:left="480"/>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(2) a las personas que gocen de un régimen especial equivalente, por lo menos, al previsto en el presente Convenio.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 w:name="A4"/>
      <w:bookmarkEnd w:id="5"/>
      <w:r w:rsidRPr="001734E7">
        <w:rPr>
          <w:rFonts w:ascii="Georgia" w:eastAsia="Times New Roman" w:hAnsi="Georgia" w:cs="Arial"/>
          <w:b/>
          <w:bCs/>
          <w:i/>
          <w:iCs/>
          <w:color w:val="333333"/>
          <w:sz w:val="21"/>
          <w:szCs w:val="21"/>
          <w:lang w:eastAsia="es-MX"/>
        </w:rPr>
        <w:t>Artículo 4</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El presente Convenio no se aplica a la agricultura, para la cual continuará en vigor el Convenio relativo a la indemnización por accidentes del trabajo en la agricultura, adoptado por la Conferencia Internacional del Trabajo en su tercera reunión.</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5"/>
      <w:bookmarkEnd w:id="6"/>
      <w:r w:rsidRPr="001734E7">
        <w:rPr>
          <w:rFonts w:ascii="Georgia" w:eastAsia="Times New Roman" w:hAnsi="Georgia" w:cs="Arial"/>
          <w:b/>
          <w:bCs/>
          <w:i/>
          <w:iCs/>
          <w:color w:val="333333"/>
          <w:sz w:val="21"/>
          <w:szCs w:val="21"/>
          <w:lang w:eastAsia="es-MX"/>
        </w:rPr>
        <w:t>Artículo 5</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Las indemnizaciones debidas en caso de accidente seguido de defunción, o en caso de accidente que cause una incapacidad permanente, se pagarán a la víctima o a sus derechohabientes en forma de renta. Sin embargo, estas indemnizaciones podrán pagarse total o parcialmente en forma de capital cuando se garantice a las autoridades competentes un empleo razonable del mismo.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7" w:name="A6"/>
      <w:bookmarkEnd w:id="7"/>
      <w:r w:rsidRPr="001734E7">
        <w:rPr>
          <w:rFonts w:ascii="Georgia" w:eastAsia="Times New Roman" w:hAnsi="Georgia" w:cs="Arial"/>
          <w:b/>
          <w:bCs/>
          <w:i/>
          <w:iCs/>
          <w:color w:val="333333"/>
          <w:sz w:val="21"/>
          <w:szCs w:val="21"/>
          <w:lang w:eastAsia="es-MX"/>
        </w:rPr>
        <w:t>Artículo 6</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lastRenderedPageBreak/>
        <w:t>En caso de incapacidad, la indemnización se concederá, a más tardar, a partir del quinto día después del accidente, ya sea el empleador, una institución de seguro contra accidentes o una institución de seguro contra enfermedades quien deba pagarla.</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8" w:name="A7"/>
      <w:bookmarkEnd w:id="8"/>
      <w:r w:rsidRPr="001734E7">
        <w:rPr>
          <w:rFonts w:ascii="Georgia" w:eastAsia="Times New Roman" w:hAnsi="Georgia" w:cs="Arial"/>
          <w:b/>
          <w:bCs/>
          <w:i/>
          <w:iCs/>
          <w:color w:val="333333"/>
          <w:sz w:val="21"/>
          <w:szCs w:val="21"/>
          <w:lang w:eastAsia="es-MX"/>
        </w:rPr>
        <w:t>Artículo 7</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Se concederá una indemnización suplementaria a las víctimas de accidentes que queden incapacitadas y necesiten la asistencia constante de otra persona.</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9" w:name="A8"/>
      <w:bookmarkEnd w:id="9"/>
      <w:r w:rsidRPr="001734E7">
        <w:rPr>
          <w:rFonts w:ascii="Georgia" w:eastAsia="Times New Roman" w:hAnsi="Georgia" w:cs="Arial"/>
          <w:b/>
          <w:bCs/>
          <w:i/>
          <w:iCs/>
          <w:color w:val="333333"/>
          <w:sz w:val="21"/>
          <w:szCs w:val="21"/>
          <w:lang w:eastAsia="es-MX"/>
        </w:rPr>
        <w:t>Artículo 8</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Las legislaciones nacionales establecerán las medidas de control y los procedimientos para la revisión de las indemnizaciones que se estimen necesarios.</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0" w:name="A9"/>
      <w:bookmarkEnd w:id="10"/>
      <w:r w:rsidRPr="001734E7">
        <w:rPr>
          <w:rFonts w:ascii="Georgia" w:eastAsia="Times New Roman" w:hAnsi="Georgia" w:cs="Arial"/>
          <w:b/>
          <w:bCs/>
          <w:i/>
          <w:iCs/>
          <w:color w:val="333333"/>
          <w:sz w:val="21"/>
          <w:szCs w:val="21"/>
          <w:lang w:eastAsia="es-MX"/>
        </w:rPr>
        <w:t>Artículo 9</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Las víctimas de accidentes del trabajo tendrán derecho a la asistencia médica y a la asistencia quirúrgica y farmacéutica que se considere necesaria a consecuencia de los accidentes. La asistencia médica correrá por cuenta del empleador, de las instituciones de seguro contra accidentes o de las instituciones de seguro contra enfermedad o invalidez.</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10"/>
      <w:bookmarkEnd w:id="11"/>
      <w:r w:rsidRPr="001734E7">
        <w:rPr>
          <w:rFonts w:ascii="Georgia" w:eastAsia="Times New Roman" w:hAnsi="Georgia" w:cs="Arial"/>
          <w:b/>
          <w:bCs/>
          <w:i/>
          <w:iCs/>
          <w:color w:val="333333"/>
          <w:sz w:val="21"/>
          <w:szCs w:val="21"/>
          <w:lang w:eastAsia="es-MX"/>
        </w:rPr>
        <w:t>Artículo 10</w:t>
      </w:r>
    </w:p>
    <w:p w:rsidR="001734E7" w:rsidRPr="001734E7" w:rsidRDefault="001734E7" w:rsidP="001734E7">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2" w:name="A10P1"/>
      <w:bookmarkEnd w:id="12"/>
      <w:r w:rsidRPr="001734E7">
        <w:rPr>
          <w:rFonts w:ascii="Georgia" w:eastAsia="Times New Roman" w:hAnsi="Georgia" w:cs="Arial"/>
          <w:color w:val="333333"/>
          <w:sz w:val="18"/>
          <w:szCs w:val="18"/>
          <w:lang w:eastAsia="es-MX"/>
        </w:rPr>
        <w:t>1. Las víctimas de accidentes del trabajo tendrán derecho al suministro y a la renovación normal, por el empleador o por el asegurador, de los aparatos de prótesis y de ortopedia cuyo uso se considere necesario. Sin embargo, las legislaciones nacionales podrán admitir, a título excepcional, que se sustituyan el suministro y la renovación de los aparatos por la concesión a la víctima del accidente de una indemnización suplementaria, que se fijará al determinarse o revisarse el importe de la indemnización, y representará el coste probable del suministro y de la renovación de dichos aparatos.</w:t>
      </w:r>
    </w:p>
    <w:p w:rsidR="001734E7" w:rsidRPr="001734E7" w:rsidRDefault="001734E7" w:rsidP="001734E7">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3" w:name="A10P2"/>
      <w:bookmarkEnd w:id="13"/>
      <w:r w:rsidRPr="001734E7">
        <w:rPr>
          <w:rFonts w:ascii="Georgia" w:eastAsia="Times New Roman" w:hAnsi="Georgia" w:cs="Arial"/>
          <w:color w:val="333333"/>
          <w:sz w:val="18"/>
          <w:szCs w:val="18"/>
          <w:lang w:eastAsia="es-MX"/>
        </w:rPr>
        <w:t>2. Las legislaciones nacionales establecerán, en lo que se refiere a la renovación de los aparatos, las medidas de control necesarias para evitar abusos o para garantizar el debido uso de las indemnizaciones suplementarias.</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4" w:name="A11"/>
      <w:bookmarkEnd w:id="14"/>
      <w:r w:rsidRPr="001734E7">
        <w:rPr>
          <w:rFonts w:ascii="Georgia" w:eastAsia="Times New Roman" w:hAnsi="Georgia" w:cs="Arial"/>
          <w:b/>
          <w:bCs/>
          <w:i/>
          <w:iCs/>
          <w:color w:val="333333"/>
          <w:sz w:val="21"/>
          <w:szCs w:val="21"/>
          <w:lang w:eastAsia="es-MX"/>
        </w:rPr>
        <w:t>Artículo 11</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 xml:space="preserve">Las legislaciones nacionales establecerán las disposiciones que, de acuerdo con las condiciones particulares de cada país, sean más adecuadas para garantizar, en toda circunstancia, el pago de la indemnización a las </w:t>
      </w:r>
      <w:r w:rsidRPr="001734E7">
        <w:rPr>
          <w:rFonts w:ascii="Georgia" w:eastAsia="Times New Roman" w:hAnsi="Georgia" w:cs="Arial"/>
          <w:color w:val="333333"/>
          <w:sz w:val="18"/>
          <w:szCs w:val="18"/>
          <w:lang w:eastAsia="es-MX"/>
        </w:rPr>
        <w:lastRenderedPageBreak/>
        <w:t>víctimas de accidentes y a sus derechohabientes, y para garantizarlos contra la insolvencia del empleador o del asegurador.</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5" w:name="A12"/>
      <w:bookmarkEnd w:id="15"/>
      <w:r w:rsidRPr="001734E7">
        <w:rPr>
          <w:rFonts w:ascii="Georgia" w:eastAsia="Times New Roman" w:hAnsi="Georgia" w:cs="Arial"/>
          <w:b/>
          <w:bCs/>
          <w:i/>
          <w:iCs/>
          <w:color w:val="333333"/>
          <w:sz w:val="21"/>
          <w:szCs w:val="21"/>
          <w:lang w:eastAsia="es-MX"/>
        </w:rPr>
        <w:t>Artículo 12</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Las ratificaciones formales del presente Convenio, de acuerdo con las condiciones establecidas por la Constitución de la Organización Internacional del Trabajo, serán comunicadas, para su registro, al Director General de la Oficina Internacional del Trabajo.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6" w:name="A13"/>
      <w:bookmarkEnd w:id="16"/>
      <w:r w:rsidRPr="001734E7">
        <w:rPr>
          <w:rFonts w:ascii="Georgia" w:eastAsia="Times New Roman" w:hAnsi="Georgia" w:cs="Arial"/>
          <w:b/>
          <w:bCs/>
          <w:i/>
          <w:iCs/>
          <w:color w:val="333333"/>
          <w:sz w:val="21"/>
          <w:szCs w:val="21"/>
          <w:lang w:eastAsia="es-MX"/>
        </w:rPr>
        <w:t>Artículo 13</w:t>
      </w:r>
    </w:p>
    <w:p w:rsidR="001734E7" w:rsidRPr="001734E7" w:rsidRDefault="001734E7" w:rsidP="001734E7">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7" w:name="A13P1"/>
      <w:bookmarkEnd w:id="17"/>
      <w:r w:rsidRPr="001734E7">
        <w:rPr>
          <w:rFonts w:ascii="Georgia" w:eastAsia="Times New Roman" w:hAnsi="Georgia" w:cs="Arial"/>
          <w:color w:val="333333"/>
          <w:sz w:val="18"/>
          <w:szCs w:val="18"/>
          <w:lang w:eastAsia="es-MX"/>
        </w:rPr>
        <w:t>1. Este Convenio entrará en vigor en la fecha en que las ratificaciones de dos Miembros de la Organización Internacional del Trabajo hayan sido registradas por el Director General.</w:t>
      </w:r>
    </w:p>
    <w:p w:rsidR="001734E7" w:rsidRPr="001734E7" w:rsidRDefault="001734E7" w:rsidP="001734E7">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8" w:name="A13P2"/>
      <w:bookmarkEnd w:id="18"/>
      <w:r w:rsidRPr="001734E7">
        <w:rPr>
          <w:rFonts w:ascii="Georgia" w:eastAsia="Times New Roman" w:hAnsi="Georgia" w:cs="Arial"/>
          <w:color w:val="333333"/>
          <w:sz w:val="18"/>
          <w:szCs w:val="18"/>
          <w:lang w:eastAsia="es-MX"/>
        </w:rPr>
        <w:t>2. Sólo obligará a los Miembros cuya ratificación haya sido registrada en la Oficina Internacional del Trabajo.</w:t>
      </w:r>
    </w:p>
    <w:p w:rsidR="001734E7" w:rsidRPr="001734E7" w:rsidRDefault="001734E7" w:rsidP="001734E7">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9" w:name="A13P3"/>
      <w:bookmarkEnd w:id="19"/>
      <w:r w:rsidRPr="001734E7">
        <w:rPr>
          <w:rFonts w:ascii="Georgia" w:eastAsia="Times New Roman" w:hAnsi="Georgia" w:cs="Arial"/>
          <w:color w:val="333333"/>
          <w:sz w:val="18"/>
          <w:szCs w:val="18"/>
          <w:lang w:eastAsia="es-MX"/>
        </w:rPr>
        <w:t>3. Posteriormente, este Convenio entrará en vigor, para cada Miembro, en la fecha en que su ratificación haya sido registrada en la Oficina Internacional del Trabajo.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0" w:name="A14"/>
      <w:bookmarkEnd w:id="20"/>
      <w:r w:rsidRPr="001734E7">
        <w:rPr>
          <w:rFonts w:ascii="Georgia" w:eastAsia="Times New Roman" w:hAnsi="Georgia" w:cs="Arial"/>
          <w:b/>
          <w:bCs/>
          <w:i/>
          <w:iCs/>
          <w:color w:val="333333"/>
          <w:sz w:val="21"/>
          <w:szCs w:val="21"/>
          <w:lang w:eastAsia="es-MX"/>
        </w:rPr>
        <w:t>Artículo 14</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Tan pronto como las ratificaciones de dos Miembros de la Organización Internacional del Trabajo hayan sido registradas en la Oficina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1" w:name="A15"/>
      <w:bookmarkEnd w:id="21"/>
      <w:r w:rsidRPr="001734E7">
        <w:rPr>
          <w:rFonts w:ascii="Georgia" w:eastAsia="Times New Roman" w:hAnsi="Georgia" w:cs="Arial"/>
          <w:b/>
          <w:bCs/>
          <w:i/>
          <w:iCs/>
          <w:color w:val="333333"/>
          <w:sz w:val="21"/>
          <w:szCs w:val="21"/>
          <w:lang w:eastAsia="es-MX"/>
        </w:rPr>
        <w:t>Artículo 15</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A reserva de las disposiciones del artículo 13, todo Miembro que ratifique el presente Convenio se obliga a aplicar las disposiciones de los artículos 1, 2, 3, 4, 5, 6, 7, 8, 9, 10 y 11 a más tardar el 1 de enero de 1927, y a tomar las medidas que fueren necesarias para el cumplimiento de dichas disposiciones.</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2" w:name="A16"/>
      <w:bookmarkEnd w:id="22"/>
      <w:r w:rsidRPr="001734E7">
        <w:rPr>
          <w:rFonts w:ascii="Georgia" w:eastAsia="Times New Roman" w:hAnsi="Georgia" w:cs="Arial"/>
          <w:b/>
          <w:bCs/>
          <w:i/>
          <w:iCs/>
          <w:color w:val="333333"/>
          <w:sz w:val="21"/>
          <w:szCs w:val="21"/>
          <w:lang w:eastAsia="es-MX"/>
        </w:rPr>
        <w:t>Artículo 16</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Todo Miembro de la Organización Internacional del Trabajo que ratifique el presente Convenio se obliga a aplicarlo en sus colonias, posesiones o protectorados, de acuerdo con las disposiciones del artículo 35 de la Constitución de la Organización Internacional del Trabajo.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3" w:name="A17"/>
      <w:bookmarkEnd w:id="23"/>
      <w:r w:rsidRPr="001734E7">
        <w:rPr>
          <w:rFonts w:ascii="Georgia" w:eastAsia="Times New Roman" w:hAnsi="Georgia" w:cs="Arial"/>
          <w:b/>
          <w:bCs/>
          <w:i/>
          <w:iCs/>
          <w:color w:val="333333"/>
          <w:sz w:val="21"/>
          <w:szCs w:val="21"/>
          <w:lang w:eastAsia="es-MX"/>
        </w:rPr>
        <w:t>Artículo 17</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lastRenderedPageBreak/>
        <w:t>Todo Miembro que haya ratificado este Convenio podrá denunciarlo a la expiración de un período de cinco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4" w:name="A18"/>
      <w:bookmarkEnd w:id="24"/>
      <w:r w:rsidRPr="001734E7">
        <w:rPr>
          <w:rFonts w:ascii="Georgia" w:eastAsia="Times New Roman" w:hAnsi="Georgia" w:cs="Arial"/>
          <w:b/>
          <w:bCs/>
          <w:i/>
          <w:iCs/>
          <w:color w:val="333333"/>
          <w:sz w:val="21"/>
          <w:szCs w:val="21"/>
          <w:lang w:eastAsia="es-MX"/>
        </w:rPr>
        <w:t>Artículo 18</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Por los menos una vez cada diez años,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o modificación del mismo.</w:t>
      </w:r>
    </w:p>
    <w:p w:rsidR="001734E7" w:rsidRPr="001734E7" w:rsidRDefault="001734E7" w:rsidP="001734E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5" w:name="A19"/>
      <w:bookmarkEnd w:id="25"/>
      <w:r w:rsidRPr="001734E7">
        <w:rPr>
          <w:rFonts w:ascii="Georgia" w:eastAsia="Times New Roman" w:hAnsi="Georgia" w:cs="Arial"/>
          <w:b/>
          <w:bCs/>
          <w:i/>
          <w:iCs/>
          <w:color w:val="333333"/>
          <w:sz w:val="21"/>
          <w:szCs w:val="21"/>
          <w:lang w:eastAsia="es-MX"/>
        </w:rPr>
        <w:t>Artículo 19</w:t>
      </w:r>
    </w:p>
    <w:p w:rsidR="001734E7" w:rsidRPr="001734E7" w:rsidRDefault="001734E7" w:rsidP="001734E7">
      <w:pPr>
        <w:shd w:val="clear" w:color="auto" w:fill="FFFFFF"/>
        <w:spacing w:after="240" w:line="408" w:lineRule="atLeast"/>
        <w:rPr>
          <w:rFonts w:ascii="Georgia" w:eastAsia="Times New Roman" w:hAnsi="Georgia" w:cs="Arial"/>
          <w:color w:val="333333"/>
          <w:sz w:val="18"/>
          <w:szCs w:val="18"/>
          <w:lang w:eastAsia="es-MX"/>
        </w:rPr>
      </w:pPr>
      <w:r w:rsidRPr="001734E7">
        <w:rPr>
          <w:rFonts w:ascii="Georgia" w:eastAsia="Times New Roman" w:hAnsi="Georgia" w:cs="Arial"/>
          <w:color w:val="333333"/>
          <w:sz w:val="18"/>
          <w:szCs w:val="18"/>
          <w:lang w:eastAsia="es-MX"/>
        </w:rPr>
        <w:t>Las versiones inglesa y francesa del texto de este Convenio son igualmente auténticas.</w:t>
      </w:r>
    </w:p>
    <w:p w:rsidR="00CB5801" w:rsidRDefault="00CB5801">
      <w:bookmarkStart w:id="26" w:name="_GoBack"/>
      <w:bookmarkEnd w:id="26"/>
    </w:p>
    <w:sectPr w:rsidR="00CB58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7B64"/>
    <w:multiLevelType w:val="multilevel"/>
    <w:tmpl w:val="D742B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B1CD3"/>
    <w:multiLevelType w:val="multilevel"/>
    <w:tmpl w:val="11E6F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31619"/>
    <w:multiLevelType w:val="multilevel"/>
    <w:tmpl w:val="FF5C0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3378F"/>
    <w:multiLevelType w:val="multilevel"/>
    <w:tmpl w:val="34ACFF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E7"/>
    <w:rsid w:val="001734E7"/>
    <w:rsid w:val="00CB58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25EC7-104C-4D4D-9B27-8660A3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73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1734E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1734E7"/>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34E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1734E7"/>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1734E7"/>
    <w:rPr>
      <w:rFonts w:ascii="Times New Roman" w:eastAsia="Times New Roman" w:hAnsi="Times New Roman" w:cs="Times New Roman"/>
      <w:b/>
      <w:bCs/>
      <w:sz w:val="20"/>
      <w:szCs w:val="20"/>
      <w:lang w:eastAsia="es-MX"/>
    </w:rPr>
  </w:style>
  <w:style w:type="paragraph" w:customStyle="1" w:styleId="borderbottom">
    <w:name w:val="borderbottom"/>
    <w:basedOn w:val="Normal"/>
    <w:rsid w:val="001734E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734E7"/>
    <w:rPr>
      <w:color w:val="0000FF"/>
      <w:u w:val="single"/>
    </w:rPr>
  </w:style>
  <w:style w:type="paragraph" w:customStyle="1" w:styleId="bordertop">
    <w:name w:val="bordertop"/>
    <w:basedOn w:val="Normal"/>
    <w:rsid w:val="001734E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734E7"/>
    <w:rPr>
      <w:b/>
      <w:bCs/>
    </w:rPr>
  </w:style>
  <w:style w:type="paragraph" w:styleId="NormalWeb">
    <w:name w:val="Normal (Web)"/>
    <w:basedOn w:val="Normal"/>
    <w:uiPriority w:val="99"/>
    <w:semiHidden/>
    <w:unhideWhenUsed/>
    <w:rsid w:val="001734E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1214">
      <w:bodyDiv w:val="1"/>
      <w:marLeft w:val="0"/>
      <w:marRight w:val="0"/>
      <w:marTop w:val="0"/>
      <w:marBottom w:val="0"/>
      <w:divBdr>
        <w:top w:val="none" w:sz="0" w:space="0" w:color="auto"/>
        <w:left w:val="none" w:sz="0" w:space="0" w:color="auto"/>
        <w:bottom w:val="none" w:sz="0" w:space="0" w:color="auto"/>
        <w:right w:val="none" w:sz="0" w:space="0" w:color="auto"/>
      </w:divBdr>
      <w:divsChild>
        <w:div w:id="1899704003">
          <w:marLeft w:val="0"/>
          <w:marRight w:val="0"/>
          <w:marTop w:val="0"/>
          <w:marBottom w:val="225"/>
          <w:divBdr>
            <w:top w:val="none" w:sz="0" w:space="0" w:color="auto"/>
            <w:left w:val="none" w:sz="0" w:space="0" w:color="auto"/>
            <w:bottom w:val="none" w:sz="0" w:space="0" w:color="auto"/>
            <w:right w:val="none" w:sz="0" w:space="0" w:color="auto"/>
          </w:divBdr>
        </w:div>
        <w:div w:id="2089844358">
          <w:marLeft w:val="0"/>
          <w:marRight w:val="0"/>
          <w:marTop w:val="0"/>
          <w:marBottom w:val="0"/>
          <w:divBdr>
            <w:top w:val="none" w:sz="0" w:space="0" w:color="auto"/>
            <w:left w:val="none" w:sz="0" w:space="0" w:color="auto"/>
            <w:bottom w:val="none" w:sz="0" w:space="0" w:color="auto"/>
            <w:right w:val="none" w:sz="0" w:space="0" w:color="auto"/>
          </w:divBdr>
          <w:divsChild>
            <w:div w:id="1551456312">
              <w:marLeft w:val="0"/>
              <w:marRight w:val="0"/>
              <w:marTop w:val="0"/>
              <w:marBottom w:val="0"/>
              <w:divBdr>
                <w:top w:val="none" w:sz="0" w:space="0" w:color="auto"/>
                <w:left w:val="none" w:sz="0" w:space="0" w:color="auto"/>
                <w:bottom w:val="none" w:sz="0" w:space="0" w:color="auto"/>
                <w:right w:val="none" w:sz="0" w:space="0" w:color="auto"/>
              </w:divBdr>
              <w:divsChild>
                <w:div w:id="1718776329">
                  <w:marLeft w:val="0"/>
                  <w:marRight w:val="0"/>
                  <w:marTop w:val="0"/>
                  <w:marBottom w:val="0"/>
                  <w:divBdr>
                    <w:top w:val="none" w:sz="0" w:space="0" w:color="auto"/>
                    <w:left w:val="none" w:sz="0" w:space="0" w:color="auto"/>
                    <w:bottom w:val="none" w:sz="0" w:space="0" w:color="auto"/>
                    <w:right w:val="none" w:sz="0" w:space="0" w:color="auto"/>
                  </w:divBdr>
                  <w:divsChild>
                    <w:div w:id="32047436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17_de.htm" TargetMode="External"/><Relationship Id="rId13" Type="http://schemas.openxmlformats.org/officeDocument/2006/relationships/hyperlink" Target="https://www.ilo.org/dyn/normlex/es/f?p=NORMLEXPUB:12100:0::NO::P12100_ILO_CODE:C017" TargetMode="External"/><Relationship Id="rId18" Type="http://schemas.openxmlformats.org/officeDocument/2006/relationships/hyperlink" Target="https://www.ilo.org/dyn/normlex/es/f?p=NORMLEXPUB:12100:0::NO::P12100_ILO_CODE:C017" TargetMode="External"/><Relationship Id="rId26" Type="http://schemas.openxmlformats.org/officeDocument/2006/relationships/hyperlink" Target="https://www.ilo.org/dyn/normlex/es/f?p=NORMLEXPUB:12100:0::NO::P12100_ILO_CODE:C017" TargetMode="External"/><Relationship Id="rId3" Type="http://schemas.openxmlformats.org/officeDocument/2006/relationships/settings" Target="settings.xml"/><Relationship Id="rId21" Type="http://schemas.openxmlformats.org/officeDocument/2006/relationships/hyperlink" Target="https://www.ilo.org/dyn/normlex/es/f?p=NORMLEXPUB:12100:0::NO::P12100_ILO_CODE:C017" TargetMode="External"/><Relationship Id="rId7" Type="http://schemas.openxmlformats.org/officeDocument/2006/relationships/hyperlink" Target="http://www.ilo.org/wcmsp5/groups/public/---ed_norm/---normes/documents/normativeinstrument/wcms_c017_ar.pdf" TargetMode="External"/><Relationship Id="rId12" Type="http://schemas.openxmlformats.org/officeDocument/2006/relationships/hyperlink" Target="https://www.ilo.org/dyn/normlex/es/f?p=NORMLEXPUB:12100:0::NO::P12100_ILO_CODE:C017" TargetMode="External"/><Relationship Id="rId17" Type="http://schemas.openxmlformats.org/officeDocument/2006/relationships/hyperlink" Target="https://www.ilo.org/dyn/normlex/es/f?p=NORMLEXPUB:12100:0::NO::P12100_ILO_CODE:C017" TargetMode="External"/><Relationship Id="rId25" Type="http://schemas.openxmlformats.org/officeDocument/2006/relationships/hyperlink" Target="https://www.ilo.org/dyn/normlex/es/f?p=NORMLEXPUB:12100:0::NO::P12100_ILO_CODE:C017" TargetMode="External"/><Relationship Id="rId2" Type="http://schemas.openxmlformats.org/officeDocument/2006/relationships/styles" Target="styles.xml"/><Relationship Id="rId16" Type="http://schemas.openxmlformats.org/officeDocument/2006/relationships/hyperlink" Target="https://www.ilo.org/dyn/normlex/es/f?p=NORMLEXPUB:12100:0::NO::P12100_ILO_CODE:C017" TargetMode="External"/><Relationship Id="rId20" Type="http://schemas.openxmlformats.org/officeDocument/2006/relationships/hyperlink" Target="https://www.ilo.org/dyn/normlex/es/f?p=NORMLEXPUB:12100:0::NO::P12100_ILO_CODE:C017" TargetMode="External"/><Relationship Id="rId29" Type="http://schemas.openxmlformats.org/officeDocument/2006/relationships/hyperlink" Target="https://www.ilo.org/dyn/normlex/es/f?p=NORMLEXPUB:12100:0::NO::P12100_ILO_CODE:C017" TargetMode="Externa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62,fr:NO" TargetMode="External"/><Relationship Id="rId11" Type="http://schemas.openxmlformats.org/officeDocument/2006/relationships/hyperlink" Target="https://www.ilo.org/dyn/normlex/es/f?p=NORMLEXPUB:12100:0::NO::P12100_ILO_CODE:C017" TargetMode="External"/><Relationship Id="rId24" Type="http://schemas.openxmlformats.org/officeDocument/2006/relationships/hyperlink" Target="https://www.ilo.org/dyn/normlex/es/f?p=NORMLEXPUB:12100:0::NO::P12100_ILO_CODE:C017" TargetMode="External"/><Relationship Id="rId5" Type="http://schemas.openxmlformats.org/officeDocument/2006/relationships/hyperlink" Target="https://www.ilo.org/dyn/normlex/es/f?p=1000:12100:0::NO::P12100_INSTRUMENT_ID,P12100_LANG_CODE:312162,en:NO" TargetMode="External"/><Relationship Id="rId15" Type="http://schemas.openxmlformats.org/officeDocument/2006/relationships/hyperlink" Target="https://www.ilo.org/dyn/normlex/es/f?p=NORMLEXPUB:12100:0::NO::P12100_ILO_CODE:C017" TargetMode="External"/><Relationship Id="rId23" Type="http://schemas.openxmlformats.org/officeDocument/2006/relationships/hyperlink" Target="https://www.ilo.org/dyn/normlex/es/f?p=NORMLEXPUB:12100:0::NO::P12100_ILO_CODE:C017" TargetMode="External"/><Relationship Id="rId28" Type="http://schemas.openxmlformats.org/officeDocument/2006/relationships/hyperlink" Target="https://www.ilo.org/dyn/normlex/es/f?p=NORMLEXPUB:12100:0::NO::P12100_ILO_CODE:C017" TargetMode="External"/><Relationship Id="rId10" Type="http://schemas.openxmlformats.org/officeDocument/2006/relationships/hyperlink" Target="http://www.ilo.org/wcmsp5/groups/public/---ed_norm/---normes/documents/normativeinstrument/wcms_c017_ru.htm" TargetMode="External"/><Relationship Id="rId19" Type="http://schemas.openxmlformats.org/officeDocument/2006/relationships/hyperlink" Target="https://www.ilo.org/dyn/normlex/es/f?p=NORMLEXPUB:12100:0::NO::P12100_ILO_CODE:C01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17_pt.pdf" TargetMode="External"/><Relationship Id="rId14" Type="http://schemas.openxmlformats.org/officeDocument/2006/relationships/hyperlink" Target="https://www.ilo.org/dyn/normlex/es/f?p=NORMLEXPUB:12100:0::NO::P12100_ILO_CODE:C017" TargetMode="External"/><Relationship Id="rId22" Type="http://schemas.openxmlformats.org/officeDocument/2006/relationships/hyperlink" Target="https://www.ilo.org/dyn/normlex/es/f?p=NORMLEXPUB:12100:0::NO::P12100_ILO_CODE:C017" TargetMode="External"/><Relationship Id="rId27" Type="http://schemas.openxmlformats.org/officeDocument/2006/relationships/hyperlink" Target="https://www.ilo.org/dyn/normlex/es/f?p=NORMLEXPUB:12100:0::NO::P12100_ILO_CODE:C017"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1634</Words>
  <Characters>8988</Characters>
  <Application>Microsoft Office Word</Application>
  <DocSecurity>0</DocSecurity>
  <Lines>74</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2023-01-13T20:12:00Z</dcterms:created>
  <dcterms:modified xsi:type="dcterms:W3CDTF">2023-01-13T20:12:00Z</dcterms:modified>
</cp:coreProperties>
</file>